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675E2" w14:textId="6A1103E9" w:rsidR="00F67C28" w:rsidRPr="000170BE" w:rsidRDefault="00F67C28" w:rsidP="0004093B">
      <w:pPr>
        <w:ind w:left="6480" w:firstLine="1296"/>
        <w:rPr>
          <w:bCs/>
        </w:rPr>
      </w:pPr>
      <w:r w:rsidRPr="000170BE">
        <w:rPr>
          <w:bCs/>
        </w:rPr>
        <w:t>P</w:t>
      </w:r>
      <w:r w:rsidR="0004093B">
        <w:rPr>
          <w:bCs/>
        </w:rPr>
        <w:t>irkimo dokumentų</w:t>
      </w:r>
    </w:p>
    <w:p w14:paraId="48D53126" w14:textId="2FB3715F" w:rsidR="00F67C28" w:rsidRPr="000A539F" w:rsidRDefault="00F67C28" w:rsidP="00F67C28">
      <w:pPr>
        <w:ind w:left="-284" w:firstLine="284"/>
        <w:rPr>
          <w:b/>
        </w:rPr>
      </w:pPr>
      <w:r w:rsidRPr="000170BE">
        <w:rPr>
          <w:bCs/>
        </w:rPr>
        <w:t xml:space="preserve">               </w:t>
      </w:r>
      <w:r w:rsidRPr="000170BE">
        <w:rPr>
          <w:bCs/>
        </w:rPr>
        <w:tab/>
      </w:r>
      <w:r w:rsidRPr="000170BE">
        <w:rPr>
          <w:bCs/>
        </w:rPr>
        <w:tab/>
      </w:r>
      <w:r w:rsidRPr="000170BE">
        <w:rPr>
          <w:bCs/>
        </w:rPr>
        <w:tab/>
      </w:r>
      <w:r w:rsidRPr="000170BE">
        <w:rPr>
          <w:bCs/>
        </w:rPr>
        <w:tab/>
      </w:r>
      <w:r w:rsidRPr="000170BE">
        <w:rPr>
          <w:bCs/>
        </w:rPr>
        <w:tab/>
      </w:r>
      <w:r w:rsidRPr="000170BE">
        <w:rPr>
          <w:bCs/>
        </w:rPr>
        <w:tab/>
      </w:r>
      <w:r>
        <w:rPr>
          <w:bCs/>
        </w:rPr>
        <w:t>1</w:t>
      </w:r>
      <w:r w:rsidRPr="000170BE">
        <w:rPr>
          <w:bCs/>
        </w:rPr>
        <w:t xml:space="preserve"> priedas</w:t>
      </w:r>
    </w:p>
    <w:p w14:paraId="48D70D93" w14:textId="77777777" w:rsidR="00F67C28" w:rsidRDefault="00F67C28" w:rsidP="00A905F5">
      <w:pPr>
        <w:pStyle w:val="Style2"/>
        <w:shd w:val="clear" w:color="auto" w:fill="auto"/>
        <w:spacing w:before="0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8768E3D" w14:textId="1911542D" w:rsidR="00262176" w:rsidRPr="00032CB1" w:rsidRDefault="00B0792D" w:rsidP="00A905F5">
      <w:pPr>
        <w:pStyle w:val="Style2"/>
        <w:shd w:val="clear" w:color="auto" w:fill="auto"/>
        <w:spacing w:before="0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32CB1">
        <w:rPr>
          <w:rFonts w:ascii="Times New Roman" w:hAnsi="Times New Roman"/>
          <w:color w:val="000000"/>
          <w:sz w:val="24"/>
          <w:szCs w:val="24"/>
        </w:rPr>
        <w:t xml:space="preserve">INFORMACIJOS </w:t>
      </w:r>
      <w:r w:rsidR="00206DFD" w:rsidRPr="00032CB1">
        <w:rPr>
          <w:rFonts w:ascii="Times New Roman" w:hAnsi="Times New Roman"/>
          <w:color w:val="000000"/>
          <w:sz w:val="24"/>
          <w:szCs w:val="24"/>
        </w:rPr>
        <w:t>SAUGOS RIZIK</w:t>
      </w:r>
      <w:r w:rsidR="008835BF">
        <w:rPr>
          <w:rFonts w:ascii="Times New Roman" w:hAnsi="Times New Roman"/>
          <w:color w:val="000000"/>
          <w:sz w:val="24"/>
          <w:szCs w:val="24"/>
        </w:rPr>
        <w:t>OS</w:t>
      </w:r>
      <w:r w:rsidR="00DA6A5A" w:rsidRPr="00032CB1">
        <w:rPr>
          <w:rFonts w:ascii="Times New Roman" w:hAnsi="Times New Roman"/>
          <w:color w:val="000000"/>
          <w:sz w:val="24"/>
          <w:szCs w:val="24"/>
        </w:rPr>
        <w:t xml:space="preserve"> IR ATITIKTIES</w:t>
      </w:r>
      <w:r w:rsidR="00206DFD" w:rsidRPr="00032CB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8362F" w:rsidRPr="00032CB1">
        <w:rPr>
          <w:rFonts w:ascii="Times New Roman" w:hAnsi="Times New Roman"/>
          <w:color w:val="000000"/>
          <w:sz w:val="24"/>
          <w:szCs w:val="24"/>
        </w:rPr>
        <w:t>VERTINIMO</w:t>
      </w:r>
      <w:r w:rsidR="009F6276">
        <w:rPr>
          <w:rFonts w:ascii="Times New Roman" w:hAnsi="Times New Roman"/>
          <w:color w:val="000000"/>
          <w:sz w:val="24"/>
          <w:szCs w:val="24"/>
        </w:rPr>
        <w:t xml:space="preserve"> PASLAUGŲ</w:t>
      </w:r>
      <w:r w:rsidR="0088362F" w:rsidRPr="00032CB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62176" w:rsidRPr="00032CB1">
        <w:rPr>
          <w:rFonts w:ascii="Times New Roman" w:hAnsi="Times New Roman"/>
          <w:color w:val="000000"/>
          <w:sz w:val="24"/>
          <w:szCs w:val="24"/>
        </w:rPr>
        <w:t>TECHNINĖ SPECIFIKACIJA</w:t>
      </w:r>
    </w:p>
    <w:p w14:paraId="573BA7A1" w14:textId="77777777" w:rsidR="00262176" w:rsidRPr="00032CB1" w:rsidRDefault="00262176" w:rsidP="00A905F5">
      <w:pPr>
        <w:pStyle w:val="Style2"/>
        <w:shd w:val="clear" w:color="auto" w:fill="auto"/>
        <w:spacing w:before="0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6"/>
        <w:gridCol w:w="2925"/>
        <w:gridCol w:w="6229"/>
      </w:tblGrid>
      <w:tr w:rsidR="00262176" w:rsidRPr="00032CB1" w14:paraId="19208D61" w14:textId="77777777" w:rsidTr="00091B96">
        <w:tc>
          <w:tcPr>
            <w:tcW w:w="876" w:type="dxa"/>
          </w:tcPr>
          <w:p w14:paraId="269AB3CA" w14:textId="77777777" w:rsidR="00262176" w:rsidRPr="00032CB1" w:rsidRDefault="00262176" w:rsidP="0012405F">
            <w:pPr>
              <w:pStyle w:val="Style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CB1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2925" w:type="dxa"/>
          </w:tcPr>
          <w:p w14:paraId="17F0203B" w14:textId="68718318" w:rsidR="00262176" w:rsidRPr="00032CB1" w:rsidRDefault="002C0EB0" w:rsidP="0012405F">
            <w:pPr>
              <w:pStyle w:val="Style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CB1">
              <w:rPr>
                <w:rFonts w:ascii="Times New Roman" w:hAnsi="Times New Roman"/>
                <w:sz w:val="24"/>
                <w:szCs w:val="24"/>
              </w:rPr>
              <w:t>Reikalavimai</w:t>
            </w:r>
          </w:p>
        </w:tc>
        <w:tc>
          <w:tcPr>
            <w:tcW w:w="6229" w:type="dxa"/>
          </w:tcPr>
          <w:p w14:paraId="721134B9" w14:textId="01331425" w:rsidR="00262176" w:rsidRPr="00032CB1" w:rsidRDefault="00B66C0C" w:rsidP="0012405F">
            <w:pPr>
              <w:pStyle w:val="Style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CB1">
              <w:rPr>
                <w:rFonts w:ascii="Times New Roman" w:hAnsi="Times New Roman"/>
                <w:sz w:val="24"/>
                <w:szCs w:val="24"/>
              </w:rPr>
              <w:t>R</w:t>
            </w:r>
            <w:r w:rsidR="00262176" w:rsidRPr="00032CB1">
              <w:rPr>
                <w:rFonts w:ascii="Times New Roman" w:hAnsi="Times New Roman"/>
                <w:sz w:val="24"/>
                <w:szCs w:val="24"/>
              </w:rPr>
              <w:t>eikalaujama reikšmė</w:t>
            </w:r>
          </w:p>
        </w:tc>
      </w:tr>
      <w:tr w:rsidR="00965F96" w:rsidRPr="00032CB1" w14:paraId="3446A956" w14:textId="77777777" w:rsidTr="00091B96">
        <w:tc>
          <w:tcPr>
            <w:tcW w:w="876" w:type="dxa"/>
            <w:vMerge w:val="restart"/>
          </w:tcPr>
          <w:p w14:paraId="69EC0AA2" w14:textId="1BC50DB9" w:rsidR="00965F96" w:rsidRPr="00032CB1" w:rsidRDefault="00965F96" w:rsidP="00917BD2">
            <w:pPr>
              <w:pStyle w:val="Style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2925" w:type="dxa"/>
            <w:vMerge w:val="restart"/>
          </w:tcPr>
          <w:p w14:paraId="1F60EA1B" w14:textId="62EA6105" w:rsidR="00965F96" w:rsidRPr="00032CB1" w:rsidRDefault="0088362F" w:rsidP="00B0262E">
            <w:pPr>
              <w:pStyle w:val="Style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</w:t>
            </w:r>
            <w:r w:rsidR="00965F96"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aslaugų apimtis</w:t>
            </w:r>
          </w:p>
        </w:tc>
        <w:tc>
          <w:tcPr>
            <w:tcW w:w="6229" w:type="dxa"/>
          </w:tcPr>
          <w:p w14:paraId="5D3603B8" w14:textId="77777777" w:rsidR="00AD24F1" w:rsidRPr="00032CB1" w:rsidRDefault="00AD24F1" w:rsidP="00AD24F1">
            <w:pPr>
              <w:widowControl/>
              <w:tabs>
                <w:tab w:val="left" w:pos="1134"/>
                <w:tab w:val="left" w:pos="1843"/>
              </w:tabs>
              <w:contextualSpacing/>
              <w:jc w:val="both"/>
              <w:rPr>
                <w:color w:val="auto"/>
              </w:rPr>
            </w:pPr>
            <w:r w:rsidRPr="00032CB1">
              <w:t xml:space="preserve">Pirkimo objektą sudaro: </w:t>
            </w:r>
          </w:p>
          <w:p w14:paraId="7C39827B" w14:textId="4206AEFC" w:rsidR="00AD24F1" w:rsidRPr="00032CB1" w:rsidRDefault="00AD24F1" w:rsidP="00AD24F1">
            <w:pPr>
              <w:pStyle w:val="Style2"/>
              <w:numPr>
                <w:ilvl w:val="1"/>
                <w:numId w:val="47"/>
              </w:numPr>
              <w:spacing w:before="0" w:after="0" w:line="240" w:lineRule="auto"/>
              <w:ind w:left="747" w:hanging="425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D24F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Tinklų ir informacinių</w:t>
            </w:r>
            <w:r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="00B87DC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išteklių </w:t>
            </w:r>
            <w:r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rizikos vertinimas ir </w:t>
            </w:r>
            <w:r w:rsidRPr="00032CB1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rizikos vertinimo ataskaitos parengimas</w:t>
            </w:r>
            <w:r w:rsidR="00850B20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;</w:t>
            </w:r>
          </w:p>
          <w:p w14:paraId="6401CDF2" w14:textId="63C49F47" w:rsidR="00172214" w:rsidRPr="00850B20" w:rsidRDefault="00F806EB" w:rsidP="001B0501">
            <w:pPr>
              <w:pStyle w:val="Style2"/>
              <w:numPr>
                <w:ilvl w:val="0"/>
                <w:numId w:val="14"/>
              </w:numPr>
              <w:spacing w:before="0" w:after="0" w:line="240" w:lineRule="auto"/>
              <w:jc w:val="both"/>
            </w:pPr>
            <w:r w:rsidRPr="00E34D4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Informacijos s</w:t>
            </w:r>
            <w:r w:rsidR="00FA3745" w:rsidRPr="00E34D4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augos </w:t>
            </w:r>
            <w:r w:rsidR="00E34D48" w:rsidRPr="00E34D4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a</w:t>
            </w:r>
            <w:r w:rsidR="00FA374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titikties </w:t>
            </w:r>
            <w:r w:rsidR="00AD24F1"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Kibernetinio saugumo įstatymui</w:t>
            </w:r>
            <w:r w:rsidR="00D705F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, Kibernetinio saugumo</w:t>
            </w:r>
            <w:r w:rsidR="00AD24F1"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="00984B47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reikalavimų aprašui</w:t>
            </w:r>
            <w:r w:rsidR="00984B47"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="00AD24F1"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vertinimas ir </w:t>
            </w:r>
            <w:r w:rsidR="00AD24F1" w:rsidRPr="00032CB1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atitikties vertinimo ataskaitos </w:t>
            </w:r>
            <w:r w:rsidR="00AD24F1" w:rsidRPr="001B0501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parengimas</w:t>
            </w:r>
            <w:r w:rsidR="00B87DC1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.</w:t>
            </w:r>
          </w:p>
        </w:tc>
      </w:tr>
      <w:tr w:rsidR="00965F96" w:rsidRPr="00032CB1" w14:paraId="4BF6FA3B" w14:textId="77777777" w:rsidTr="00091B96">
        <w:trPr>
          <w:trHeight w:val="897"/>
        </w:trPr>
        <w:tc>
          <w:tcPr>
            <w:tcW w:w="876" w:type="dxa"/>
            <w:vMerge/>
          </w:tcPr>
          <w:p w14:paraId="76AF33C4" w14:textId="77777777" w:rsidR="00965F96" w:rsidRPr="00032CB1" w:rsidRDefault="00965F96" w:rsidP="00917BD2">
            <w:pPr>
              <w:pStyle w:val="Style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25" w:type="dxa"/>
            <w:vMerge/>
          </w:tcPr>
          <w:p w14:paraId="3A61DE64" w14:textId="77777777" w:rsidR="00965F96" w:rsidRPr="00032CB1" w:rsidRDefault="00965F96" w:rsidP="0012405F">
            <w:pPr>
              <w:pStyle w:val="Style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229" w:type="dxa"/>
          </w:tcPr>
          <w:p w14:paraId="61348A4D" w14:textId="01B48CAA" w:rsidR="00AD24F1" w:rsidRPr="005668D9" w:rsidRDefault="00AD24F1" w:rsidP="00AD24F1">
            <w:pPr>
              <w:pStyle w:val="Style2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668D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Vertinami </w:t>
            </w:r>
            <w:r w:rsidR="003E6C9B" w:rsidRPr="005668D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tinklai ir</w:t>
            </w:r>
            <w:r w:rsidRPr="005668D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informaciniai ištekliai:</w:t>
            </w:r>
          </w:p>
          <w:p w14:paraId="37AAA548" w14:textId="59B65E86" w:rsidR="00AD24F1" w:rsidRPr="005668D9" w:rsidRDefault="00AD24F1" w:rsidP="00AD24F1">
            <w:pPr>
              <w:pStyle w:val="Style2"/>
              <w:numPr>
                <w:ilvl w:val="0"/>
                <w:numId w:val="14"/>
              </w:numPr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668D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Dokumentų valdymo sistema (archyvin</w:t>
            </w:r>
            <w:r w:rsidR="00D705F3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ė</w:t>
            </w:r>
            <w:r w:rsidRPr="005668D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);</w:t>
            </w:r>
          </w:p>
          <w:p w14:paraId="289397EB" w14:textId="7263A7D9" w:rsidR="00AD24F1" w:rsidRDefault="00AD24F1" w:rsidP="00AD24F1">
            <w:pPr>
              <w:pStyle w:val="Style2"/>
              <w:numPr>
                <w:ilvl w:val="0"/>
                <w:numId w:val="14"/>
              </w:numPr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668D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Buhalterinės apskaitos sistema (archyvin</w:t>
            </w:r>
            <w:r w:rsidR="00D705F3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ė</w:t>
            </w:r>
            <w:r w:rsidRPr="005668D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);</w:t>
            </w:r>
          </w:p>
          <w:p w14:paraId="37AC7188" w14:textId="77777777" w:rsidR="00950200" w:rsidRDefault="00950200" w:rsidP="00950200">
            <w:pPr>
              <w:pStyle w:val="Style2"/>
              <w:numPr>
                <w:ilvl w:val="0"/>
                <w:numId w:val="14"/>
              </w:numPr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Transporto priemonių kontrolės informacinė sistema;</w:t>
            </w:r>
          </w:p>
          <w:p w14:paraId="7D5E3DEB" w14:textId="1853C4AE" w:rsidR="00387674" w:rsidRDefault="003509E1" w:rsidP="003509E1">
            <w:pPr>
              <w:pStyle w:val="Style2"/>
              <w:numPr>
                <w:ilvl w:val="0"/>
                <w:numId w:val="14"/>
              </w:numPr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F7A5D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Elektroninio pašto, komunikacijos ir duomenų saugojimo sistema</w:t>
            </w:r>
            <w:r w:rsidR="00ED5229" w:rsidRPr="00E34D4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;</w:t>
            </w:r>
          </w:p>
          <w:p w14:paraId="489445EC" w14:textId="2D2907E9" w:rsidR="003509E1" w:rsidRDefault="003509E1" w:rsidP="003509E1">
            <w:pPr>
              <w:pStyle w:val="Style2"/>
              <w:numPr>
                <w:ilvl w:val="0"/>
                <w:numId w:val="14"/>
              </w:numPr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668D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Transporto sraut</w:t>
            </w:r>
            <w:r w:rsidR="00ED522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ų duomenys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;</w:t>
            </w:r>
          </w:p>
          <w:p w14:paraId="0EED1B7A" w14:textId="0FFB688B" w:rsidR="005530C4" w:rsidRPr="005668D9" w:rsidRDefault="00ED04C1" w:rsidP="003509E1">
            <w:pPr>
              <w:pStyle w:val="Style2"/>
              <w:numPr>
                <w:ilvl w:val="0"/>
                <w:numId w:val="14"/>
              </w:numPr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D04C1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Darnaus judumo duomenų valdymo sistemą</w:t>
            </w:r>
            <w:r w:rsidR="00C9240D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;</w:t>
            </w:r>
          </w:p>
          <w:p w14:paraId="7B4B49EB" w14:textId="74C52EB6" w:rsidR="003509E1" w:rsidRPr="005668D9" w:rsidRDefault="003509E1" w:rsidP="003509E1">
            <w:pPr>
              <w:pStyle w:val="Style2"/>
              <w:numPr>
                <w:ilvl w:val="0"/>
                <w:numId w:val="14"/>
              </w:numPr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668D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Kitos duomenų bazės</w:t>
            </w:r>
            <w:r w:rsidR="00E34D48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:</w:t>
            </w:r>
            <w:r w:rsidRPr="005668D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Susisiekimo ministerijos Lietuvos transporto srautų duomenų bazė</w:t>
            </w:r>
            <w:r w:rsidR="00E34D48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94299B"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  <w:r w:rsidRPr="005668D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vaizdo stebėjimo duomenų sistema, praėjimo kontrolės sistema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;</w:t>
            </w:r>
          </w:p>
          <w:p w14:paraId="125FBEC0" w14:textId="77777777" w:rsidR="003509E1" w:rsidRPr="004A1C78" w:rsidRDefault="003509E1" w:rsidP="003509E1">
            <w:pPr>
              <w:pStyle w:val="Style2"/>
              <w:numPr>
                <w:ilvl w:val="0"/>
                <w:numId w:val="14"/>
              </w:numPr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N</w:t>
            </w:r>
            <w:r w:rsidRPr="004A1C7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audotojų kompiuterinės darbo vietos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;</w:t>
            </w:r>
          </w:p>
          <w:p w14:paraId="7E258152" w14:textId="77777777" w:rsidR="003509E1" w:rsidRPr="004A1C78" w:rsidRDefault="003509E1" w:rsidP="003509E1">
            <w:pPr>
              <w:pStyle w:val="Style2"/>
              <w:numPr>
                <w:ilvl w:val="0"/>
                <w:numId w:val="14"/>
              </w:numPr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V</w:t>
            </w:r>
            <w:r w:rsidRPr="004A1C7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irtualios mašinos;</w:t>
            </w:r>
          </w:p>
          <w:p w14:paraId="579D634A" w14:textId="17C94FDB" w:rsidR="003E6C9B" w:rsidRPr="00206244" w:rsidRDefault="003509E1" w:rsidP="00206244">
            <w:pPr>
              <w:pStyle w:val="Style2"/>
              <w:numPr>
                <w:ilvl w:val="0"/>
                <w:numId w:val="14"/>
              </w:numPr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K</w:t>
            </w:r>
            <w:r w:rsidRPr="004A1C7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ompiuterių tinklas LAN ir WLAN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8E3EA8" w:rsidRPr="00032CB1" w14:paraId="1CC705FA" w14:textId="77777777" w:rsidTr="00091B96">
        <w:tc>
          <w:tcPr>
            <w:tcW w:w="876" w:type="dxa"/>
            <w:vMerge w:val="restart"/>
          </w:tcPr>
          <w:p w14:paraId="791FAD44" w14:textId="77141AE0" w:rsidR="008E3EA8" w:rsidRPr="00032CB1" w:rsidRDefault="00917BD2" w:rsidP="00CE0C22">
            <w:pPr>
              <w:pStyle w:val="Style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  <w:r w:rsidR="008E3EA8"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2925" w:type="dxa"/>
            <w:vMerge w:val="restart"/>
          </w:tcPr>
          <w:p w14:paraId="4F46F97F" w14:textId="47E40D1C" w:rsidR="008E3EA8" w:rsidRPr="00032CB1" w:rsidRDefault="008E3EA8" w:rsidP="00CE0C22">
            <w:pPr>
              <w:pStyle w:val="Style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Bendrieji reikalavimai</w:t>
            </w:r>
          </w:p>
        </w:tc>
        <w:tc>
          <w:tcPr>
            <w:tcW w:w="6229" w:type="dxa"/>
          </w:tcPr>
          <w:p w14:paraId="166DE751" w14:textId="14D458A1" w:rsidR="0032096F" w:rsidRPr="00032CB1" w:rsidRDefault="008E3EA8" w:rsidP="0032096F">
            <w:pPr>
              <w:pStyle w:val="Style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Paslaugų t</w:t>
            </w:r>
            <w:r w:rsidR="00F60C39"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ei</w:t>
            </w:r>
            <w:r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kėjas turi vadovautis </w:t>
            </w:r>
            <w:r w:rsidR="0085462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šiais teisės aktais </w:t>
            </w:r>
            <w:r w:rsidR="0058651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(galiojančiomis jų redakcijomis)</w:t>
            </w:r>
            <w:r w:rsidR="0032096F"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:</w:t>
            </w:r>
          </w:p>
          <w:p w14:paraId="48DCE036" w14:textId="4A7F3D40" w:rsidR="00B803D3" w:rsidRPr="00032CB1" w:rsidRDefault="00B803D3" w:rsidP="002E4628">
            <w:pPr>
              <w:widowControl/>
              <w:numPr>
                <w:ilvl w:val="0"/>
                <w:numId w:val="14"/>
              </w:numPr>
              <w:tabs>
                <w:tab w:val="left" w:pos="852"/>
                <w:tab w:val="left" w:pos="1418"/>
              </w:tabs>
              <w:contextualSpacing/>
              <w:jc w:val="both"/>
            </w:pPr>
            <w:r w:rsidRPr="00032CB1">
              <w:t>Lietuvos Respublikos kibernetinio saugumo įstatym</w:t>
            </w:r>
            <w:r w:rsidR="002E4628" w:rsidRPr="00032CB1">
              <w:t>u</w:t>
            </w:r>
            <w:r w:rsidRPr="00032CB1">
              <w:t>;</w:t>
            </w:r>
          </w:p>
          <w:p w14:paraId="3506D3B9" w14:textId="3AF222D7" w:rsidR="0032096F" w:rsidRPr="00032CB1" w:rsidRDefault="001C2AC9" w:rsidP="0032096F">
            <w:pPr>
              <w:widowControl/>
              <w:numPr>
                <w:ilvl w:val="0"/>
                <w:numId w:val="14"/>
              </w:numPr>
              <w:tabs>
                <w:tab w:val="left" w:pos="852"/>
                <w:tab w:val="left" w:pos="1418"/>
              </w:tabs>
              <w:contextualSpacing/>
              <w:jc w:val="both"/>
            </w:pPr>
            <w:r w:rsidRPr="00032CB1">
              <w:t>Kibernetinio saugumo reikalavimų aprašu</w:t>
            </w:r>
            <w:r w:rsidR="0032096F" w:rsidRPr="00032CB1">
              <w:t>, patvirtint</w:t>
            </w:r>
            <w:r w:rsidRPr="00032CB1">
              <w:t>u</w:t>
            </w:r>
            <w:r w:rsidR="0032096F" w:rsidRPr="00032CB1">
              <w:t xml:space="preserve"> Lietuvos Respublikos Vyriausybės 2018 m. </w:t>
            </w:r>
            <w:r w:rsidR="00662D22" w:rsidRPr="00032CB1">
              <w:t>rugpjūčio 13 d.</w:t>
            </w:r>
            <w:r w:rsidR="0032096F" w:rsidRPr="00032CB1">
              <w:t xml:space="preserve"> Nr. </w:t>
            </w:r>
            <w:r w:rsidR="00662D22" w:rsidRPr="00032CB1">
              <w:t>818</w:t>
            </w:r>
            <w:r w:rsidR="0032096F" w:rsidRPr="00032CB1">
              <w:t xml:space="preserve"> „Dėl </w:t>
            </w:r>
            <w:r w:rsidR="00662D22" w:rsidRPr="00032CB1">
              <w:t xml:space="preserve">Lietuvos Respublikos kibernetinio saugumo </w:t>
            </w:r>
            <w:r w:rsidR="0040115C" w:rsidRPr="00032CB1">
              <w:t xml:space="preserve">įstatymo </w:t>
            </w:r>
            <w:r w:rsidR="00662D22" w:rsidRPr="00032CB1">
              <w:t>įgyvendinimo</w:t>
            </w:r>
            <w:r w:rsidR="00380DE5" w:rsidRPr="00032CB1">
              <w:t>“</w:t>
            </w:r>
            <w:r w:rsidR="0032096F" w:rsidRPr="00032CB1">
              <w:t>.</w:t>
            </w:r>
          </w:p>
          <w:p w14:paraId="70DE5746" w14:textId="0C73B32F" w:rsidR="000A7521" w:rsidRPr="00032CB1" w:rsidRDefault="000A7521" w:rsidP="00AB545F">
            <w:pPr>
              <w:pStyle w:val="Sraopastraipa"/>
              <w:widowControl/>
              <w:numPr>
                <w:ilvl w:val="0"/>
                <w:numId w:val="50"/>
              </w:numPr>
              <w:tabs>
                <w:tab w:val="left" w:pos="852"/>
                <w:tab w:val="left" w:pos="1418"/>
              </w:tabs>
              <w:jc w:val="both"/>
            </w:pPr>
            <w:r w:rsidRPr="00032CB1">
              <w:t>Informacinių technologijų saugos atitikties vertinimo metodika, patvirtinta Lietuvos Respublikos krašto apsaugos ministro 2020 m. gruodžio 4 d. įsakymu Nr. V-941 “Dėl Informacinių technologijų saugos atitikties vertinimo metodikos patvirtinimo”.</w:t>
            </w:r>
          </w:p>
        </w:tc>
      </w:tr>
      <w:tr w:rsidR="008E3EA8" w:rsidRPr="00032CB1" w14:paraId="1C7E138E" w14:textId="77777777" w:rsidTr="00091B96">
        <w:tc>
          <w:tcPr>
            <w:tcW w:w="876" w:type="dxa"/>
            <w:vMerge/>
          </w:tcPr>
          <w:p w14:paraId="2297314A" w14:textId="77777777" w:rsidR="008E3EA8" w:rsidRPr="00032CB1" w:rsidRDefault="008E3EA8" w:rsidP="0012405F">
            <w:pPr>
              <w:pStyle w:val="Style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  <w:vMerge/>
          </w:tcPr>
          <w:p w14:paraId="1D4AA573" w14:textId="77777777" w:rsidR="008E3EA8" w:rsidRPr="00032CB1" w:rsidRDefault="008E3EA8" w:rsidP="0012405F">
            <w:pPr>
              <w:pStyle w:val="Style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9" w:type="dxa"/>
          </w:tcPr>
          <w:p w14:paraId="53B9DDC8" w14:textId="1907904E" w:rsidR="008E3EA8" w:rsidRPr="00032CB1" w:rsidRDefault="00F60C39" w:rsidP="008E3EA8">
            <w:pPr>
              <w:pStyle w:val="Style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Paslaugų t</w:t>
            </w:r>
            <w:r w:rsidR="008E3EA8"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e</w:t>
            </w:r>
            <w:r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i</w:t>
            </w:r>
            <w:r w:rsidR="008E3EA8"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kėjas per 10 (dešimt) darbo dienų nuo sutarties įsigaliojimo dienos turi parengti ir pateikti paslaugų teikimo planą, kuris apima planuojamas atlikti veiklas, darbo metodus, komunikavimą ir </w:t>
            </w:r>
            <w:r w:rsidR="00B0262E"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paslaugų </w:t>
            </w:r>
            <w:r w:rsidR="008E3EA8"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kokybės užtikrinimą, paslaugų teikimo veiklų grafiką</w:t>
            </w:r>
            <w:r w:rsidR="00411512"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8E3EA8" w:rsidRPr="00032CB1" w14:paraId="28699E33" w14:textId="77777777" w:rsidTr="00091B96">
        <w:tc>
          <w:tcPr>
            <w:tcW w:w="876" w:type="dxa"/>
            <w:vMerge/>
          </w:tcPr>
          <w:p w14:paraId="262037B5" w14:textId="77777777" w:rsidR="008E3EA8" w:rsidRPr="00032CB1" w:rsidRDefault="008E3EA8" w:rsidP="0012405F">
            <w:pPr>
              <w:pStyle w:val="Style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  <w:vMerge/>
          </w:tcPr>
          <w:p w14:paraId="3D05EF20" w14:textId="77777777" w:rsidR="008E3EA8" w:rsidRPr="00032CB1" w:rsidRDefault="008E3EA8" w:rsidP="0012405F">
            <w:pPr>
              <w:pStyle w:val="Style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9" w:type="dxa"/>
          </w:tcPr>
          <w:p w14:paraId="27B36655" w14:textId="054C753B" w:rsidR="008E3EA8" w:rsidRPr="00032CB1" w:rsidRDefault="008E3EA8" w:rsidP="008E3EA8">
            <w:pPr>
              <w:pStyle w:val="Style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Paslaugų tiekėjas bus atsakingas už informacijos pateikimo ar sąlygų jai gauti užtikrinimo klausimus. Taip pat jis bus atsakingas už projekto komunikaciją, projekto rizik</w:t>
            </w:r>
            <w:r w:rsidR="008835B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ų</w:t>
            </w:r>
            <w:r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valdymą, dokumentų šablonų suderinimą ir paslaugų perdavimą</w:t>
            </w:r>
            <w:r w:rsidR="00411512"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8E3EA8" w:rsidRPr="00032CB1" w14:paraId="55FFF524" w14:textId="77777777" w:rsidTr="00091B96">
        <w:tc>
          <w:tcPr>
            <w:tcW w:w="876" w:type="dxa"/>
            <w:vMerge/>
          </w:tcPr>
          <w:p w14:paraId="48A1A6D3" w14:textId="77777777" w:rsidR="008E3EA8" w:rsidRPr="00032CB1" w:rsidRDefault="008E3EA8" w:rsidP="0012405F">
            <w:pPr>
              <w:pStyle w:val="Style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  <w:vMerge/>
          </w:tcPr>
          <w:p w14:paraId="7C89BD59" w14:textId="77777777" w:rsidR="008E3EA8" w:rsidRPr="00032CB1" w:rsidRDefault="008E3EA8" w:rsidP="0012405F">
            <w:pPr>
              <w:pStyle w:val="Style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9" w:type="dxa"/>
          </w:tcPr>
          <w:p w14:paraId="4B31F139" w14:textId="7CF8A415" w:rsidR="008E3EA8" w:rsidRPr="00032CB1" w:rsidRDefault="008E3EA8" w:rsidP="008E3EA8">
            <w:pPr>
              <w:pStyle w:val="Style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Vertinimo būdus, metodus ir priemones paslaugų t</w:t>
            </w:r>
            <w:r w:rsidR="00F60C39"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ei</w:t>
            </w:r>
            <w:r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kėjas turi </w:t>
            </w:r>
            <w:r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 xml:space="preserve">suderinti su </w:t>
            </w:r>
            <w:r w:rsidR="00EC5AC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užsakovu</w:t>
            </w:r>
            <w:r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prieš pradėdamas teikti paslaugas</w:t>
            </w:r>
            <w:r w:rsidR="00411512"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8E3EA8" w:rsidRPr="00032CB1" w14:paraId="0BAFE69E" w14:textId="77777777" w:rsidTr="00091B96">
        <w:tc>
          <w:tcPr>
            <w:tcW w:w="876" w:type="dxa"/>
            <w:vMerge/>
          </w:tcPr>
          <w:p w14:paraId="6CBB41FF" w14:textId="77777777" w:rsidR="008E3EA8" w:rsidRPr="00032CB1" w:rsidRDefault="008E3EA8" w:rsidP="0012405F">
            <w:pPr>
              <w:pStyle w:val="Style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  <w:vMerge/>
          </w:tcPr>
          <w:p w14:paraId="66DFD1BD" w14:textId="77777777" w:rsidR="008E3EA8" w:rsidRPr="00032CB1" w:rsidRDefault="008E3EA8" w:rsidP="0012405F">
            <w:pPr>
              <w:pStyle w:val="Style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9" w:type="dxa"/>
          </w:tcPr>
          <w:p w14:paraId="337E3479" w14:textId="2A68FEB3" w:rsidR="008E3EA8" w:rsidRPr="00032CB1" w:rsidRDefault="008E3EA8" w:rsidP="008E3EA8">
            <w:pPr>
              <w:pStyle w:val="Style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Paslaugų t</w:t>
            </w:r>
            <w:r w:rsidR="00F60C39"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ei</w:t>
            </w:r>
            <w:r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kėjo parengti projekto dokumentai, ataskaitos turi būti pateikiami lietuvių kalba, prireikus prie informacinių technologijų terminų nurodant jų atitikmenį anglų kalba</w:t>
            </w:r>
            <w:r w:rsidR="00411512"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151691" w:rsidRPr="00032CB1" w14:paraId="64667322" w14:textId="77777777" w:rsidTr="00091B96">
        <w:trPr>
          <w:trHeight w:val="1003"/>
        </w:trPr>
        <w:tc>
          <w:tcPr>
            <w:tcW w:w="876" w:type="dxa"/>
            <w:vMerge/>
          </w:tcPr>
          <w:p w14:paraId="5B924BAB" w14:textId="77777777" w:rsidR="00151691" w:rsidRPr="00032CB1" w:rsidRDefault="00151691" w:rsidP="0012405F">
            <w:pPr>
              <w:pStyle w:val="Style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  <w:vMerge/>
          </w:tcPr>
          <w:p w14:paraId="166DBDAF" w14:textId="77777777" w:rsidR="00151691" w:rsidRPr="00032CB1" w:rsidRDefault="00151691" w:rsidP="0012405F">
            <w:pPr>
              <w:pStyle w:val="Style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9" w:type="dxa"/>
          </w:tcPr>
          <w:p w14:paraId="0B129EE5" w14:textId="295A6026" w:rsidR="00151691" w:rsidRPr="00032CB1" w:rsidRDefault="00151691" w:rsidP="008230D9">
            <w:pPr>
              <w:pStyle w:val="Style2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Teikiant paslaugas, į vertinimo procesą turi būti įtraukti  perkančiosios organizacijos IT specialistai, informacinių sistemų administratoriai, informacinių sistemų saugos įgaliotinis</w:t>
            </w:r>
            <w:r w:rsidR="00726E39"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, </w:t>
            </w:r>
            <w:r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kibernetinio saugumo vadovas</w:t>
            </w:r>
            <w:r w:rsidR="008811E1"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ir duomenų apsaugos pareigūnas</w:t>
            </w:r>
            <w:r w:rsidR="00411512"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3444A0" w:rsidRPr="00032CB1" w14:paraId="54173AC5" w14:textId="77777777" w:rsidTr="00091B96">
        <w:tc>
          <w:tcPr>
            <w:tcW w:w="876" w:type="dxa"/>
            <w:vMerge/>
          </w:tcPr>
          <w:p w14:paraId="115996BC" w14:textId="77777777" w:rsidR="003444A0" w:rsidRPr="00032CB1" w:rsidRDefault="003444A0" w:rsidP="0012405F">
            <w:pPr>
              <w:pStyle w:val="Style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  <w:vMerge/>
          </w:tcPr>
          <w:p w14:paraId="34F858AE" w14:textId="77777777" w:rsidR="003444A0" w:rsidRPr="00032CB1" w:rsidRDefault="003444A0" w:rsidP="0012405F">
            <w:pPr>
              <w:pStyle w:val="Style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9" w:type="dxa"/>
          </w:tcPr>
          <w:p w14:paraId="366ECF66" w14:textId="41D9F458" w:rsidR="003444A0" w:rsidRPr="00032CB1" w:rsidRDefault="00B8742F" w:rsidP="008E3EA8">
            <w:pPr>
              <w:pStyle w:val="Style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Teikiant paslaugas</w:t>
            </w:r>
            <w:r w:rsidR="00805B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, </w:t>
            </w:r>
            <w:r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vertinimas turi būti atliekamas, taikant fizinės</w:t>
            </w:r>
            <w:r w:rsidR="0094299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="0094299B" w:rsidRPr="00E34D4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ar nuotolinės</w:t>
            </w:r>
            <w:r w:rsidRPr="00E34D4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apžiūros, vidinių dokumentų ir įrašų analizės, interviu su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užsakovo</w:t>
            </w:r>
            <w:r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atsakingais darbuotojais ir kitais metodais</w:t>
            </w:r>
            <w:r w:rsidR="00805B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8E3EA8" w:rsidRPr="00032CB1" w14:paraId="2BE1C977" w14:textId="77777777" w:rsidTr="00091B96">
        <w:tc>
          <w:tcPr>
            <w:tcW w:w="876" w:type="dxa"/>
            <w:vMerge/>
          </w:tcPr>
          <w:p w14:paraId="6614643E" w14:textId="77777777" w:rsidR="008E3EA8" w:rsidRPr="00032CB1" w:rsidRDefault="008E3EA8" w:rsidP="0012405F">
            <w:pPr>
              <w:pStyle w:val="Style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  <w:vMerge/>
          </w:tcPr>
          <w:p w14:paraId="3756870D" w14:textId="77777777" w:rsidR="008E3EA8" w:rsidRPr="00032CB1" w:rsidRDefault="008E3EA8" w:rsidP="0012405F">
            <w:pPr>
              <w:pStyle w:val="Style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9" w:type="dxa"/>
          </w:tcPr>
          <w:p w14:paraId="0D87C01D" w14:textId="6F8E449C" w:rsidR="008E3EA8" w:rsidRPr="00032CB1" w:rsidRDefault="008E3EA8" w:rsidP="008E3EA8">
            <w:pPr>
              <w:pStyle w:val="Style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Suteikus paslaugas, visa </w:t>
            </w:r>
            <w:r w:rsidR="00A161AD"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perkančiosios organizacijos</w:t>
            </w:r>
            <w:r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 pateikta informacija, reikalinga sutarties vykdymui, turi būti sunaikinta. Sunaikinimo faktas patvirtinamas paslaugų tiekėjo vadovo pasirašytu raštu</w:t>
            </w:r>
            <w:r w:rsidR="00411512"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8E3EA8" w:rsidRPr="00032CB1" w14:paraId="0E760F35" w14:textId="77777777" w:rsidTr="00091B96">
        <w:tc>
          <w:tcPr>
            <w:tcW w:w="876" w:type="dxa"/>
            <w:vMerge/>
          </w:tcPr>
          <w:p w14:paraId="6E2C4C94" w14:textId="77777777" w:rsidR="008E3EA8" w:rsidRPr="00032CB1" w:rsidRDefault="008E3EA8" w:rsidP="0012405F">
            <w:pPr>
              <w:pStyle w:val="Style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  <w:vMerge/>
          </w:tcPr>
          <w:p w14:paraId="3482BA62" w14:textId="77777777" w:rsidR="008E3EA8" w:rsidRPr="00032CB1" w:rsidRDefault="008E3EA8" w:rsidP="0012405F">
            <w:pPr>
              <w:pStyle w:val="Style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9" w:type="dxa"/>
          </w:tcPr>
          <w:p w14:paraId="16351BBE" w14:textId="1FD9E1BB" w:rsidR="008E3EA8" w:rsidRPr="00032CB1" w:rsidRDefault="00105F95" w:rsidP="008E3EA8">
            <w:pPr>
              <w:pStyle w:val="Style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I</w:t>
            </w:r>
            <w:r w:rsidR="0057373C"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nformacinių saugos</w:t>
            </w:r>
            <w:r w:rsidR="008E3EA8"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rizik</w:t>
            </w:r>
            <w:r w:rsidR="008835B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os</w:t>
            </w:r>
            <w:r w:rsidR="008E3EA8"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="009C285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ir atitikties </w:t>
            </w:r>
            <w:r w:rsidR="008E3EA8"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vertinimo rezultatai turi būti pristatyti </w:t>
            </w:r>
            <w:r w:rsidR="00C13F5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užsakovo</w:t>
            </w:r>
            <w:r w:rsidR="008E3EA8"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atsakingiems specialistams</w:t>
            </w:r>
            <w:r w:rsidR="00411512" w:rsidRPr="00032C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CF44F0" w:rsidRPr="00032CB1" w14:paraId="2E28FBB0" w14:textId="77777777" w:rsidTr="00091B96">
        <w:tc>
          <w:tcPr>
            <w:tcW w:w="876" w:type="dxa"/>
          </w:tcPr>
          <w:p w14:paraId="0705859E" w14:textId="11DFBE2D" w:rsidR="00CF44F0" w:rsidRPr="00032CB1" w:rsidRDefault="0090292B" w:rsidP="0012405F">
            <w:pPr>
              <w:pStyle w:val="Style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9154" w:type="dxa"/>
            <w:gridSpan w:val="2"/>
          </w:tcPr>
          <w:p w14:paraId="79E3AB21" w14:textId="3696A310" w:rsidR="00CF44F0" w:rsidRPr="00032CB1" w:rsidRDefault="00CD298F" w:rsidP="00BD2F61">
            <w:pPr>
              <w:pStyle w:val="Style2"/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 w:rsidRPr="00902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Tinklų ir informacinių </w:t>
            </w:r>
            <w:r w:rsidR="00B87DC1" w:rsidRPr="0090292B">
              <w:rPr>
                <w:rFonts w:ascii="Times New Roman" w:hAnsi="Times New Roman"/>
                <w:color w:val="000000"/>
                <w:sz w:val="24"/>
                <w:szCs w:val="24"/>
              </w:rPr>
              <w:t>išteklių</w:t>
            </w:r>
            <w:r w:rsidRPr="00902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rizikos vertinim</w:t>
            </w:r>
            <w:r w:rsidR="00BD2F61" w:rsidRPr="0090292B">
              <w:rPr>
                <w:rFonts w:ascii="Times New Roman" w:hAnsi="Times New Roman"/>
                <w:color w:val="000000"/>
                <w:sz w:val="24"/>
                <w:szCs w:val="24"/>
              </w:rPr>
              <w:t>as</w:t>
            </w:r>
            <w:r w:rsidR="00523D29" w:rsidRPr="00902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23D29">
              <w:t xml:space="preserve"> </w:t>
            </w:r>
            <w:r w:rsidR="00523D29" w:rsidRPr="00523D29">
              <w:rPr>
                <w:rFonts w:ascii="Times New Roman" w:hAnsi="Times New Roman"/>
                <w:color w:val="000000"/>
                <w:sz w:val="24"/>
                <w:szCs w:val="24"/>
              </w:rPr>
              <w:t>ir rizikos vertinimo ataskaitos parengimas</w:t>
            </w:r>
          </w:p>
        </w:tc>
      </w:tr>
      <w:tr w:rsidR="0099548C" w:rsidRPr="00032CB1" w14:paraId="4189920A" w14:textId="77777777" w:rsidTr="00091B96">
        <w:tc>
          <w:tcPr>
            <w:tcW w:w="876" w:type="dxa"/>
          </w:tcPr>
          <w:p w14:paraId="2419F876" w14:textId="1A9572A7" w:rsidR="0099548C" w:rsidRPr="00032CB1" w:rsidRDefault="0090292B" w:rsidP="0012405F">
            <w:pPr>
              <w:pStyle w:val="Style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3.</w:t>
            </w:r>
            <w:r w:rsidR="00805BBA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925" w:type="dxa"/>
          </w:tcPr>
          <w:p w14:paraId="135D8836" w14:textId="1568D336" w:rsidR="0099548C" w:rsidRPr="00D4470F" w:rsidRDefault="00F1662B" w:rsidP="0012405F">
            <w:pPr>
              <w:pStyle w:val="Style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V</w:t>
            </w:r>
            <w:r w:rsidRPr="00032CB1">
              <w:rPr>
                <w:rFonts w:ascii="Times New Roman" w:hAnsi="Times New Roman"/>
                <w:b w:val="0"/>
                <w:sz w:val="24"/>
                <w:szCs w:val="24"/>
              </w:rPr>
              <w:t>ertinimo metodika</w:t>
            </w:r>
          </w:p>
        </w:tc>
        <w:tc>
          <w:tcPr>
            <w:tcW w:w="6229" w:type="dxa"/>
          </w:tcPr>
          <w:p w14:paraId="318AD7E9" w14:textId="2C6811BC" w:rsidR="00712D3E" w:rsidRDefault="00F1662B" w:rsidP="00712D3E">
            <w:pPr>
              <w:pStyle w:val="Style2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R</w:t>
            </w:r>
            <w:r w:rsidRPr="00032CB1">
              <w:rPr>
                <w:rFonts w:ascii="Times New Roman" w:hAnsi="Times New Roman"/>
                <w:b w:val="0"/>
                <w:sz w:val="24"/>
                <w:szCs w:val="24"/>
              </w:rPr>
              <w:t>izik</w:t>
            </w:r>
            <w:r w:rsidR="008835BF">
              <w:rPr>
                <w:rFonts w:ascii="Times New Roman" w:hAnsi="Times New Roman"/>
                <w:b w:val="0"/>
                <w:sz w:val="24"/>
                <w:szCs w:val="24"/>
              </w:rPr>
              <w:t>os</w:t>
            </w:r>
            <w:r w:rsidRPr="00032CB1">
              <w:rPr>
                <w:rFonts w:ascii="Times New Roman" w:hAnsi="Times New Roman"/>
                <w:b w:val="0"/>
                <w:sz w:val="24"/>
                <w:szCs w:val="24"/>
              </w:rPr>
              <w:t xml:space="preserve"> vertinimas turi būti atliktas vadovaujantis </w:t>
            </w:r>
            <w:r w:rsidR="00F14346" w:rsidRPr="00F14346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bidi="lt-LT"/>
              </w:rPr>
              <w:t xml:space="preserve"> </w:t>
            </w:r>
            <w:r w:rsidR="00F14346" w:rsidRPr="00F14346">
              <w:rPr>
                <w:rFonts w:ascii="Times New Roman" w:hAnsi="Times New Roman"/>
                <w:b w:val="0"/>
                <w:sz w:val="24"/>
                <w:szCs w:val="24"/>
                <w:lang w:bidi="lt-LT"/>
              </w:rPr>
              <w:t>tarptautiniu standartu IEC/ISO 27005 „Informacinės technologijos Saugumo metodai. Informacijos saugumo rizikos valdymas“ (aktualia redakcija)</w:t>
            </w:r>
            <w:r w:rsidR="001A5634">
              <w:rPr>
                <w:rFonts w:ascii="Times New Roman" w:hAnsi="Times New Roman"/>
                <w:b w:val="0"/>
                <w:sz w:val="24"/>
                <w:szCs w:val="24"/>
                <w:lang w:bidi="lt-LT"/>
              </w:rPr>
              <w:t>. Tiekėjas</w:t>
            </w:r>
            <w:r w:rsidR="007E7272">
              <w:rPr>
                <w:rFonts w:ascii="Times New Roman" w:hAnsi="Times New Roman"/>
                <w:b w:val="0"/>
                <w:sz w:val="24"/>
                <w:szCs w:val="24"/>
                <w:lang w:bidi="lt-LT"/>
              </w:rPr>
              <w:t xml:space="preserve"> turi vadovautis </w:t>
            </w:r>
            <w:r w:rsidR="00712D3E" w:rsidRPr="007D41F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Nacionalinio kibernetinio saugumo centro prie Lietuvos Respublikos krašto apsaugos ministerijos  rekomendacijomis</w:t>
            </w:r>
          </w:p>
          <w:p w14:paraId="063F32B9" w14:textId="0071EF10" w:rsidR="0099548C" w:rsidRPr="00984250" w:rsidRDefault="00712D3E" w:rsidP="00712D3E">
            <w:pPr>
              <w:pStyle w:val="Style2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BB79F3">
              <w:rPr>
                <w:rFonts w:ascii="Times New Roman" w:hAnsi="Times New Roman"/>
                <w:b w:val="0"/>
                <w:sz w:val="24"/>
                <w:szCs w:val="24"/>
              </w:rPr>
              <w:t>https://www.nksc.lt/doc/biuleteniai/Rekomendacija%204%20-%20leidinys.pdf</w:t>
            </w:r>
            <w:r w:rsidR="002420F0">
              <w:rPr>
                <w:rFonts w:ascii="Times New Roman" w:hAnsi="Times New Roman"/>
                <w:b w:val="0"/>
                <w:sz w:val="24"/>
                <w:szCs w:val="24"/>
                <w:lang w:bidi="lt-LT"/>
              </w:rPr>
              <w:t>.</w:t>
            </w:r>
            <w:r w:rsidR="00F14346" w:rsidRPr="00F14346">
              <w:rPr>
                <w:rFonts w:ascii="Times New Roman" w:hAnsi="Times New Roman"/>
                <w:b w:val="0"/>
                <w:sz w:val="24"/>
                <w:szCs w:val="24"/>
                <w:lang w:bidi="lt-LT"/>
              </w:rPr>
              <w:t xml:space="preserve"> </w:t>
            </w:r>
          </w:p>
        </w:tc>
      </w:tr>
      <w:tr w:rsidR="00FB31EE" w:rsidRPr="00032CB1" w14:paraId="6B9C0BCF" w14:textId="77777777" w:rsidTr="00091B96">
        <w:tc>
          <w:tcPr>
            <w:tcW w:w="876" w:type="dxa"/>
          </w:tcPr>
          <w:p w14:paraId="5EDA8288" w14:textId="53D231E3" w:rsidR="00FB31EE" w:rsidRPr="00032CB1" w:rsidRDefault="0090292B" w:rsidP="0012405F">
            <w:pPr>
              <w:pStyle w:val="Style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3.</w:t>
            </w:r>
            <w:r w:rsidR="00805BBA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925" w:type="dxa"/>
          </w:tcPr>
          <w:p w14:paraId="7FCE8786" w14:textId="218A4FD7" w:rsidR="00FB31EE" w:rsidRPr="00D4470F" w:rsidRDefault="00DE5D3B" w:rsidP="0012405F">
            <w:pPr>
              <w:pStyle w:val="Style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P</w:t>
            </w:r>
            <w:r w:rsidRPr="00984250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agrindiniai veiksmai</w:t>
            </w:r>
          </w:p>
        </w:tc>
        <w:tc>
          <w:tcPr>
            <w:tcW w:w="6229" w:type="dxa"/>
          </w:tcPr>
          <w:p w14:paraId="558051C7" w14:textId="77777777" w:rsidR="00FB31EE" w:rsidRPr="00984250" w:rsidRDefault="00FB31EE" w:rsidP="00FB31EE">
            <w:pPr>
              <w:pStyle w:val="Style2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984250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Vertinimo metu turi būti atlikti šie pagrindiniai veiksmai:</w:t>
            </w:r>
          </w:p>
          <w:p w14:paraId="36CE3289" w14:textId="77777777" w:rsidR="00FB31EE" w:rsidRPr="00984250" w:rsidRDefault="00FB31EE" w:rsidP="00FB31EE">
            <w:pPr>
              <w:pStyle w:val="Style2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984250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Tinklų ir i</w:t>
            </w:r>
            <w:r w:rsidRPr="00984250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nformacinių išteklių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identifikavimas</w:t>
            </w:r>
            <w:r w:rsidRPr="00984250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ir klasifikavimas;</w:t>
            </w:r>
          </w:p>
          <w:p w14:paraId="1F75732F" w14:textId="77777777" w:rsidR="00FB31EE" w:rsidRPr="00984250" w:rsidRDefault="00FB31EE" w:rsidP="00FB31EE">
            <w:pPr>
              <w:pStyle w:val="Style2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984250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2. Grėsmių ir spragų analizė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ir vertinimas</w:t>
            </w:r>
            <w:r w:rsidRPr="00984250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. Išanalizuojamos galimos grėsmės ir pažeidžiamumai, įvertinant turimas saugumo priemones bei naujausią pažeidžiamumų informaciją;</w:t>
            </w:r>
          </w:p>
          <w:p w14:paraId="77D09B80" w14:textId="77777777" w:rsidR="00FB31EE" w:rsidRPr="00984250" w:rsidRDefault="00FB31EE" w:rsidP="00FB31EE">
            <w:pPr>
              <w:pStyle w:val="Style2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984250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3. Rizikos lygių nustatymas. Nustatomi rizikos dydžiai (lygis) kiekvienai grėsmei pagal jos tikimybę ir galimą poveikį, atsižvelgiant į nustatytus kriterijus;</w:t>
            </w:r>
          </w:p>
          <w:p w14:paraId="31322401" w14:textId="18EA7E01" w:rsidR="00FB31EE" w:rsidRPr="00984250" w:rsidRDefault="00FB31EE" w:rsidP="00FB31EE">
            <w:pPr>
              <w:pStyle w:val="Style2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984250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4. Rizikos valdymo priemonių parinkimas. Parenkamos rizikos valdymo priemonės (kontrolės priemonės) nepriimtinos rizikos sumažinimui iki priimtino lygio, parengiamas priemonių įgyvendinimo plan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o projektas</w:t>
            </w:r>
            <w:r w:rsidRPr="00984250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.</w:t>
            </w:r>
          </w:p>
        </w:tc>
      </w:tr>
      <w:tr w:rsidR="0000668F" w:rsidRPr="00032CB1" w14:paraId="1436AD01" w14:textId="77777777" w:rsidTr="00091B96">
        <w:tc>
          <w:tcPr>
            <w:tcW w:w="876" w:type="dxa"/>
          </w:tcPr>
          <w:p w14:paraId="173DEF84" w14:textId="00EBF71C" w:rsidR="0000668F" w:rsidRPr="00032CB1" w:rsidRDefault="0090292B" w:rsidP="0012405F">
            <w:pPr>
              <w:pStyle w:val="Style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3.</w:t>
            </w:r>
            <w:r w:rsidR="00805BBA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925" w:type="dxa"/>
          </w:tcPr>
          <w:p w14:paraId="0B593096" w14:textId="1A5E4B06" w:rsidR="0000668F" w:rsidRPr="00032CB1" w:rsidRDefault="00DE5D3B" w:rsidP="0012405F">
            <w:pPr>
              <w:pStyle w:val="Style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CB1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Rizikos vertinimo ataskaita</w:t>
            </w:r>
          </w:p>
        </w:tc>
        <w:tc>
          <w:tcPr>
            <w:tcW w:w="6229" w:type="dxa"/>
          </w:tcPr>
          <w:p w14:paraId="3E1A5B8B" w14:textId="7C40AAF9" w:rsidR="0000668F" w:rsidRPr="00D50105" w:rsidRDefault="00D50105" w:rsidP="00D50105">
            <w:pPr>
              <w:pStyle w:val="Style2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032CB1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Rizikos vertinimo ataskaita turi apimti tinklų ir informacinių </w:t>
            </w:r>
            <w:r w:rsidR="009E20EA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išteklių</w:t>
            </w:r>
            <w:r w:rsidRPr="00032CB1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identifikavimą, poveikio vertinimą, grėsmių ir spragų vertinimo informaciją bei rizikos apskaičiavimo rezultatus.</w:t>
            </w:r>
          </w:p>
        </w:tc>
      </w:tr>
      <w:tr w:rsidR="0000668F" w:rsidRPr="00032CB1" w14:paraId="63E326FF" w14:textId="77777777" w:rsidTr="00091B96">
        <w:tc>
          <w:tcPr>
            <w:tcW w:w="876" w:type="dxa"/>
          </w:tcPr>
          <w:p w14:paraId="4ED9AB6A" w14:textId="2AF505D3" w:rsidR="0000668F" w:rsidRPr="00032CB1" w:rsidRDefault="0090292B" w:rsidP="0012405F">
            <w:pPr>
              <w:pStyle w:val="Style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3.</w:t>
            </w:r>
            <w:r w:rsidR="00805BBA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925" w:type="dxa"/>
          </w:tcPr>
          <w:p w14:paraId="0F91D2F5" w14:textId="1CDEB687" w:rsidR="0000668F" w:rsidRPr="00032CB1" w:rsidRDefault="00DE5D3B" w:rsidP="0012405F">
            <w:pPr>
              <w:pStyle w:val="Style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CB1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Rizikos valdymo plan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o projektas</w:t>
            </w:r>
          </w:p>
        </w:tc>
        <w:tc>
          <w:tcPr>
            <w:tcW w:w="6229" w:type="dxa"/>
          </w:tcPr>
          <w:p w14:paraId="6856C57C" w14:textId="7548F2F5" w:rsidR="0000668F" w:rsidRPr="00032CB1" w:rsidRDefault="00970F40" w:rsidP="00970F40">
            <w:pPr>
              <w:pStyle w:val="Style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CB1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Rizikos valdymo plan</w:t>
            </w:r>
            <w:r w:rsidR="00C00630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o projektas</w:t>
            </w:r>
            <w:r w:rsidRPr="00032CB1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turi apimti priemonių nepriimtinoms rizikoms valdyti nustatymą ir reikalingus išteklius, už priemonių įgyvendinimą atsakingus asmenis bei priemonių įgyvendinimo terminus.</w:t>
            </w:r>
          </w:p>
        </w:tc>
      </w:tr>
      <w:tr w:rsidR="00A82944" w:rsidRPr="00032CB1" w14:paraId="4C9A5D9D" w14:textId="77777777" w:rsidTr="00091B96">
        <w:tc>
          <w:tcPr>
            <w:tcW w:w="876" w:type="dxa"/>
          </w:tcPr>
          <w:p w14:paraId="5BDF01DE" w14:textId="69832DFC" w:rsidR="00A82944" w:rsidRPr="00032CB1" w:rsidRDefault="0090292B" w:rsidP="0012405F">
            <w:pPr>
              <w:pStyle w:val="Style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3.</w:t>
            </w:r>
            <w:r w:rsidR="00805BBA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925" w:type="dxa"/>
          </w:tcPr>
          <w:p w14:paraId="155781EF" w14:textId="6B96A171" w:rsidR="00A82944" w:rsidRPr="00BC4D5D" w:rsidRDefault="004F72DC" w:rsidP="0012405F">
            <w:pPr>
              <w:pStyle w:val="Style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Ataskaitos p</w:t>
            </w:r>
            <w:r w:rsidRPr="00BC4D5D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ateikimas</w:t>
            </w:r>
          </w:p>
        </w:tc>
        <w:tc>
          <w:tcPr>
            <w:tcW w:w="6229" w:type="dxa"/>
          </w:tcPr>
          <w:p w14:paraId="592070F5" w14:textId="44D63645" w:rsidR="00A82944" w:rsidRPr="004118FD" w:rsidRDefault="003B2EAA" w:rsidP="0012405F">
            <w:pPr>
              <w:pStyle w:val="Style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Rizikos</w:t>
            </w:r>
            <w:r w:rsidR="004118FD" w:rsidRPr="004118FD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vertinimo ataskait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a pateikiama</w:t>
            </w:r>
            <w:r w:rsidR="004118FD" w:rsidRPr="004118FD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="004118FD" w:rsidRPr="000D3F8E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elektroninėje laikmenoje</w:t>
            </w:r>
          </w:p>
        </w:tc>
      </w:tr>
      <w:tr w:rsidR="00A82944" w:rsidRPr="00032CB1" w14:paraId="7553EDC7" w14:textId="77777777" w:rsidTr="00091B96">
        <w:tc>
          <w:tcPr>
            <w:tcW w:w="876" w:type="dxa"/>
          </w:tcPr>
          <w:p w14:paraId="60CB1491" w14:textId="13FAFA30" w:rsidR="00A82944" w:rsidRPr="00032CB1" w:rsidRDefault="0090292B" w:rsidP="0012405F">
            <w:pPr>
              <w:pStyle w:val="Style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4.</w:t>
            </w:r>
          </w:p>
        </w:tc>
        <w:tc>
          <w:tcPr>
            <w:tcW w:w="9154" w:type="dxa"/>
            <w:gridSpan w:val="2"/>
          </w:tcPr>
          <w:p w14:paraId="7714D59D" w14:textId="02A9F85F" w:rsidR="00A82944" w:rsidRPr="00032CB1" w:rsidRDefault="00CE0D33" w:rsidP="0012405F">
            <w:pPr>
              <w:pStyle w:val="Style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4D48">
              <w:rPr>
                <w:rFonts w:ascii="Times New Roman" w:hAnsi="Times New Roman"/>
                <w:sz w:val="24"/>
                <w:szCs w:val="24"/>
              </w:rPr>
              <w:t xml:space="preserve">Informacijos saugos </w:t>
            </w:r>
            <w:r w:rsidR="00E34D48" w:rsidRPr="00E34D48">
              <w:rPr>
                <w:rFonts w:ascii="Times New Roman" w:hAnsi="Times New Roman"/>
                <w:sz w:val="24"/>
                <w:szCs w:val="24"/>
              </w:rPr>
              <w:t>a</w:t>
            </w:r>
            <w:r w:rsidRPr="0090292B">
              <w:rPr>
                <w:rFonts w:ascii="Times New Roman" w:hAnsi="Times New Roman"/>
                <w:color w:val="000000"/>
                <w:sz w:val="24"/>
                <w:szCs w:val="24"/>
              </w:rPr>
              <w:t>titikties Kibernetinio</w:t>
            </w:r>
            <w:r w:rsidRPr="00CE0D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saugumo įstatymui</w:t>
            </w:r>
            <w:r w:rsidR="00A248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Kibernetinio saugumo </w:t>
            </w:r>
            <w:r w:rsidR="00A248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reikalavimų aprašui</w:t>
            </w:r>
            <w:r w:rsidRPr="00CE0D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vertinimas ir atitikties vertinimo ataskaitos parengimas</w:t>
            </w:r>
          </w:p>
        </w:tc>
      </w:tr>
      <w:tr w:rsidR="00091B96" w:rsidRPr="00032CB1" w14:paraId="24594C80" w14:textId="77777777" w:rsidTr="00091B96">
        <w:tc>
          <w:tcPr>
            <w:tcW w:w="876" w:type="dxa"/>
          </w:tcPr>
          <w:p w14:paraId="33DF72E1" w14:textId="0A405076" w:rsidR="00091B96" w:rsidRPr="00E34D48" w:rsidRDefault="000C5725" w:rsidP="0012405F">
            <w:pPr>
              <w:pStyle w:val="Style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4D48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2925" w:type="dxa"/>
          </w:tcPr>
          <w:p w14:paraId="0A936F81" w14:textId="19826A53" w:rsidR="00091B96" w:rsidRPr="00E34D48" w:rsidRDefault="00091B96" w:rsidP="0012405F">
            <w:pPr>
              <w:pStyle w:val="Style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4D48">
              <w:rPr>
                <w:rFonts w:ascii="Times New Roman" w:hAnsi="Times New Roman"/>
                <w:sz w:val="24"/>
                <w:szCs w:val="24"/>
              </w:rPr>
              <w:t>Vertinimo metodika</w:t>
            </w:r>
          </w:p>
        </w:tc>
        <w:tc>
          <w:tcPr>
            <w:tcW w:w="6229" w:type="dxa"/>
          </w:tcPr>
          <w:p w14:paraId="1E46FCB4" w14:textId="3E1E697B" w:rsidR="00091B96" w:rsidRPr="00E34D48" w:rsidRDefault="00E53666" w:rsidP="0012405F">
            <w:pPr>
              <w:pStyle w:val="Style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34D4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Atitikties vertinimas t</w:t>
            </w:r>
            <w:r w:rsidR="000C5725" w:rsidRPr="00E34D4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uri būti </w:t>
            </w:r>
            <w:r w:rsidRPr="00E34D4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atliktas vadovaujantis </w:t>
            </w:r>
            <w:r w:rsidR="00091B96" w:rsidRPr="00E34D4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atitikties reikalavima</w:t>
            </w:r>
            <w:r w:rsidRPr="00E34D4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is</w:t>
            </w:r>
            <w:r w:rsidR="00091B96" w:rsidRPr="00E34D4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, nustatyt</w:t>
            </w:r>
            <w:r w:rsidRPr="00E34D4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ai</w:t>
            </w:r>
            <w:r w:rsidR="00091B96" w:rsidRPr="00E34D4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s Kibernetinio saugumo įstatyme, Kibernetinio saugumo reikalavimų apraše, patvirtintame Lietuvos Respublikos Vyriausybės 2018 m. rugpjūčio 13 d. nutarimu Nr. 818 „Dėl Lietuvos Respublikos kibernetinio saugumo įstatymo įgyvendinimo“ (toliau – Nutarimas Nr. 818), </w:t>
            </w:r>
            <w:r w:rsidR="00E40A7D" w:rsidRPr="00E34D4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perkančiosios organizacijos</w:t>
            </w:r>
            <w:r w:rsidR="00091B96" w:rsidRPr="00E34D4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="00E40A7D" w:rsidRPr="00E34D4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k</w:t>
            </w:r>
            <w:r w:rsidR="00091B96" w:rsidRPr="00E34D4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ibernetinio saugumo politikos dokumen</w:t>
            </w:r>
            <w:r w:rsidR="00E40A7D" w:rsidRPr="00E34D4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te</w:t>
            </w:r>
            <w:r w:rsidR="00091B96" w:rsidRPr="00E34D4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ir kibernetinio saugumo įgyvendinimą reglamentuojančiuose dokumentuose bei standartuose</w:t>
            </w:r>
            <w:r w:rsidR="00E40A7D" w:rsidRPr="00E34D4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5F4659" w:rsidRPr="00032CB1" w14:paraId="405E1EE7" w14:textId="77777777" w:rsidTr="00091B96">
        <w:tc>
          <w:tcPr>
            <w:tcW w:w="876" w:type="dxa"/>
          </w:tcPr>
          <w:p w14:paraId="46C51773" w14:textId="2D97DEA7" w:rsidR="005F4659" w:rsidRPr="00E34D48" w:rsidRDefault="0090292B" w:rsidP="0012405F">
            <w:pPr>
              <w:pStyle w:val="Style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4D48">
              <w:rPr>
                <w:rFonts w:ascii="Times New Roman" w:hAnsi="Times New Roman"/>
                <w:b w:val="0"/>
                <w:sz w:val="24"/>
                <w:szCs w:val="24"/>
              </w:rPr>
              <w:t>4.</w:t>
            </w:r>
            <w:r w:rsidR="000C5725" w:rsidRPr="00E34D48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  <w:r w:rsidRPr="00E34D48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925" w:type="dxa"/>
          </w:tcPr>
          <w:p w14:paraId="122178DD" w14:textId="2584D393" w:rsidR="005F4659" w:rsidRPr="000F770F" w:rsidRDefault="000F770F" w:rsidP="0012405F">
            <w:pPr>
              <w:pStyle w:val="Style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0F770F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Atitikties vertinimo ataskaita</w:t>
            </w:r>
          </w:p>
        </w:tc>
        <w:tc>
          <w:tcPr>
            <w:tcW w:w="6229" w:type="dxa"/>
          </w:tcPr>
          <w:p w14:paraId="292660D9" w14:textId="0E23F08C" w:rsidR="005F4659" w:rsidRPr="00032CB1" w:rsidRDefault="004339D6" w:rsidP="000F770F">
            <w:pPr>
              <w:pStyle w:val="Style2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Atlik</w:t>
            </w:r>
            <w:r w:rsidR="0090311F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us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="00835E24" w:rsidRPr="00E34D4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informacijos </w:t>
            </w:r>
            <w:r w:rsidR="00A01C87" w:rsidRPr="00E34D4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saugos</w:t>
            </w:r>
            <w:r w:rsidR="00E34D4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="00A01C87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atitikties vertinimą</w:t>
            </w:r>
            <w:r w:rsidR="0090311F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,</w:t>
            </w:r>
            <w:r w:rsidR="00A01C87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parengti atitikties vertinimo ataskaitą</w:t>
            </w:r>
            <w:r w:rsidR="00EC0919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, </w:t>
            </w:r>
            <w:r w:rsidR="00EC0919" w:rsidRPr="00032CB1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identifikuotų neatitikčių (jei nustatyta) šalinimo plan</w:t>
            </w:r>
            <w:r w:rsidR="00EC0919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o projektą</w:t>
            </w:r>
          </w:p>
        </w:tc>
      </w:tr>
      <w:tr w:rsidR="0000668F" w:rsidRPr="00032CB1" w14:paraId="72FCD1E2" w14:textId="77777777" w:rsidTr="00091B96">
        <w:tc>
          <w:tcPr>
            <w:tcW w:w="876" w:type="dxa"/>
          </w:tcPr>
          <w:p w14:paraId="3B72B2A3" w14:textId="23012984" w:rsidR="0000668F" w:rsidRPr="00E34D48" w:rsidRDefault="0090292B" w:rsidP="0012405F">
            <w:pPr>
              <w:pStyle w:val="Style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4D48">
              <w:rPr>
                <w:rFonts w:ascii="Times New Roman" w:hAnsi="Times New Roman"/>
                <w:b w:val="0"/>
                <w:sz w:val="24"/>
                <w:szCs w:val="24"/>
              </w:rPr>
              <w:t>4.</w:t>
            </w:r>
            <w:r w:rsidR="000C5725" w:rsidRPr="00E34D48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  <w:r w:rsidRPr="00E34D48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925" w:type="dxa"/>
          </w:tcPr>
          <w:p w14:paraId="3A3BFB52" w14:textId="3801EBFF" w:rsidR="0000668F" w:rsidRPr="00032CB1" w:rsidRDefault="004F72DC" w:rsidP="0012405F">
            <w:pPr>
              <w:pStyle w:val="Style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Ataskaitos p</w:t>
            </w:r>
            <w:r w:rsidR="006A0307" w:rsidRPr="00BC4D5D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ateikimas</w:t>
            </w:r>
          </w:p>
        </w:tc>
        <w:tc>
          <w:tcPr>
            <w:tcW w:w="6229" w:type="dxa"/>
          </w:tcPr>
          <w:p w14:paraId="2A25460B" w14:textId="2F5521DC" w:rsidR="0000668F" w:rsidRPr="00032CB1" w:rsidRDefault="004F72DC" w:rsidP="0012405F">
            <w:pPr>
              <w:pStyle w:val="Style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At</w:t>
            </w:r>
            <w:r w:rsidR="006A0307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itikties vertinimo ataskaita pateikiama</w:t>
            </w:r>
            <w:r w:rsidR="006A0307" w:rsidRPr="004118FD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="006A0307" w:rsidRPr="000D3F8E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elektroninėje laikmenoje</w:t>
            </w:r>
          </w:p>
        </w:tc>
      </w:tr>
      <w:tr w:rsidR="00EA22C3" w:rsidRPr="00032CB1" w14:paraId="0DE090D8" w14:textId="77777777" w:rsidTr="00091B96">
        <w:tc>
          <w:tcPr>
            <w:tcW w:w="876" w:type="dxa"/>
          </w:tcPr>
          <w:p w14:paraId="004158BC" w14:textId="4D049813" w:rsidR="00EA22C3" w:rsidRDefault="00EA22C3" w:rsidP="00690E48">
            <w:pPr>
              <w:pStyle w:val="Style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5.</w:t>
            </w:r>
          </w:p>
        </w:tc>
        <w:tc>
          <w:tcPr>
            <w:tcW w:w="9154" w:type="dxa"/>
            <w:gridSpan w:val="2"/>
          </w:tcPr>
          <w:p w14:paraId="220AA820" w14:textId="510FB907" w:rsidR="00EA22C3" w:rsidRPr="006A2C85" w:rsidRDefault="00EA22C3" w:rsidP="004E13DD">
            <w:pPr>
              <w:pStyle w:val="Style2"/>
              <w:spacing w:before="0" w:after="0" w:line="240" w:lineRule="auto"/>
              <w:jc w:val="both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6A2C85">
              <w:rPr>
                <w:rFonts w:ascii="Times New Roman" w:hAnsi="Times New Roman"/>
                <w:bCs w:val="0"/>
                <w:sz w:val="24"/>
                <w:szCs w:val="24"/>
              </w:rPr>
              <w:t>Reikalavimai tiekėjui</w:t>
            </w:r>
          </w:p>
        </w:tc>
      </w:tr>
      <w:tr w:rsidR="00EA1645" w:rsidRPr="00032CB1" w14:paraId="32C93A74" w14:textId="77777777" w:rsidTr="00091B96">
        <w:tc>
          <w:tcPr>
            <w:tcW w:w="876" w:type="dxa"/>
          </w:tcPr>
          <w:p w14:paraId="0F9B81CF" w14:textId="1A49ACA3" w:rsidR="00EA1645" w:rsidRDefault="004E13DD" w:rsidP="00690E48">
            <w:pPr>
              <w:pStyle w:val="Style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5.</w:t>
            </w:r>
            <w:r w:rsidR="00EA22C3">
              <w:rPr>
                <w:rFonts w:ascii="Times New Roman" w:hAnsi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2925" w:type="dxa"/>
          </w:tcPr>
          <w:p w14:paraId="5BCF8AE2" w14:textId="633A1CE1" w:rsidR="00EA1645" w:rsidRPr="00032CB1" w:rsidRDefault="00EA1645" w:rsidP="00690E48">
            <w:pPr>
              <w:pStyle w:val="Style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229" w:type="dxa"/>
          </w:tcPr>
          <w:p w14:paraId="153511D9" w14:textId="77777777" w:rsidR="004E13DD" w:rsidRPr="004E13DD" w:rsidRDefault="004E13DD" w:rsidP="004E13DD">
            <w:pPr>
              <w:pStyle w:val="Style2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13DD">
              <w:rPr>
                <w:rFonts w:ascii="Times New Roman" w:hAnsi="Times New Roman"/>
                <w:b w:val="0"/>
                <w:sz w:val="24"/>
                <w:szCs w:val="24"/>
              </w:rPr>
              <w:t>Paslaugų teikėjas, teikdamas paslaugas pagal sutartį, turi užtikrinti  nustatytų reikalavimų laikymąsi šiuose teisės aktuose:</w:t>
            </w:r>
          </w:p>
          <w:p w14:paraId="2FFA70FF" w14:textId="77777777" w:rsidR="004E13DD" w:rsidRPr="004E13DD" w:rsidRDefault="004E13DD" w:rsidP="004E13DD">
            <w:pPr>
              <w:pStyle w:val="Style2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13DD">
              <w:rPr>
                <w:rFonts w:ascii="Times New Roman" w:hAnsi="Times New Roman"/>
                <w:b w:val="0"/>
                <w:sz w:val="24"/>
                <w:szCs w:val="24"/>
              </w:rPr>
              <w:t>1. 2016 m. balandžio 27 d. Europos Parlamento ir Tarybos reglamente (ES) 2016/679 dėl fizinių asmenų apsaugos tvarkant asmens duomenis ir dėl laisvo tokių duomenų judėjimo ir kuriuo panaikinama Direktyva 95/46/EB (Bendrasis duomenų apsaugos reglamentas);</w:t>
            </w:r>
          </w:p>
          <w:p w14:paraId="35CDC532" w14:textId="77777777" w:rsidR="004E13DD" w:rsidRPr="004E13DD" w:rsidRDefault="004E13DD" w:rsidP="004E13DD">
            <w:pPr>
              <w:pStyle w:val="Style2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13DD">
              <w:rPr>
                <w:rFonts w:ascii="Times New Roman" w:hAnsi="Times New Roman"/>
                <w:b w:val="0"/>
                <w:sz w:val="24"/>
                <w:szCs w:val="24"/>
              </w:rPr>
              <w:t>2. Lietuvos Respublikos kibernetinio saugumo įstatyme;</w:t>
            </w:r>
          </w:p>
          <w:p w14:paraId="3212F1D9" w14:textId="2DECEB2A" w:rsidR="004E13DD" w:rsidRPr="004E13DD" w:rsidRDefault="004E13DD" w:rsidP="004E13DD">
            <w:pPr>
              <w:pStyle w:val="Style2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13DD">
              <w:rPr>
                <w:rFonts w:ascii="Times New Roman" w:hAnsi="Times New Roman"/>
                <w:b w:val="0"/>
                <w:sz w:val="24"/>
                <w:szCs w:val="24"/>
              </w:rPr>
              <w:t>3. Kibernetinio saugumo reikalavimų apraše, patvirtintame Lietuvos Respublikos Vyriausybės 2018 m. rugpjūčio 13 d. nutarimu Nr. 818 „Dėl Lietuvos Respublikos kibernetinio saugumo įstatymo įgyvendinimo“ ;</w:t>
            </w:r>
          </w:p>
          <w:p w14:paraId="1BD4CDC7" w14:textId="77777777" w:rsidR="004E13DD" w:rsidRPr="004E13DD" w:rsidRDefault="004E13DD" w:rsidP="004E13DD">
            <w:pPr>
              <w:pStyle w:val="Style2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13DD">
              <w:rPr>
                <w:rFonts w:ascii="Times New Roman" w:hAnsi="Times New Roman"/>
                <w:b w:val="0"/>
                <w:sz w:val="24"/>
                <w:szCs w:val="24"/>
              </w:rPr>
              <w:t xml:space="preserve">4. kituose Europos Sąjungos ir Lietuvos Respublikos teisės aktuose, reglamentuojančiuose informacinių sistemų ir duomenų saugą. </w:t>
            </w:r>
          </w:p>
          <w:p w14:paraId="440FF224" w14:textId="4DE70AC2" w:rsidR="00EA1645" w:rsidRPr="00032CB1" w:rsidRDefault="004E13DD" w:rsidP="004E13DD">
            <w:pPr>
              <w:pStyle w:val="Style2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13DD">
              <w:rPr>
                <w:rFonts w:ascii="Times New Roman" w:hAnsi="Times New Roman"/>
                <w:b w:val="0"/>
                <w:sz w:val="24"/>
                <w:szCs w:val="24"/>
              </w:rPr>
              <w:t>Įsigaliojus naujiems Europos Sąjungos ar Lietuvos Respublikos teisės aktams, ar jų pakeitimams, susijusiems su paslaugų vykdymu, Paslaugų teikėjas privalo vykdyti tokių teisės aktų nuostatas nuo jų įsigaliojimo datos.</w:t>
            </w:r>
          </w:p>
        </w:tc>
      </w:tr>
      <w:tr w:rsidR="00EA05EA" w:rsidRPr="00032CB1" w14:paraId="77511461" w14:textId="77777777" w:rsidTr="00091B96">
        <w:tc>
          <w:tcPr>
            <w:tcW w:w="876" w:type="dxa"/>
          </w:tcPr>
          <w:p w14:paraId="70D4F3C3" w14:textId="2704A105" w:rsidR="00EA05EA" w:rsidRDefault="00EA22C3" w:rsidP="00690E48">
            <w:pPr>
              <w:pStyle w:val="Style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5.2.</w:t>
            </w:r>
          </w:p>
        </w:tc>
        <w:tc>
          <w:tcPr>
            <w:tcW w:w="2925" w:type="dxa"/>
          </w:tcPr>
          <w:p w14:paraId="3498800B" w14:textId="77777777" w:rsidR="00EA05EA" w:rsidRPr="00032CB1" w:rsidRDefault="00EA05EA" w:rsidP="00690E48">
            <w:pPr>
              <w:pStyle w:val="Style2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229" w:type="dxa"/>
          </w:tcPr>
          <w:p w14:paraId="6F206D6D" w14:textId="77777777" w:rsidR="00EA05EA" w:rsidRPr="00032CB1" w:rsidRDefault="00EA05EA" w:rsidP="00EA05EA">
            <w:pPr>
              <w:tabs>
                <w:tab w:val="left" w:pos="709"/>
              </w:tabs>
              <w:snapToGrid w:val="0"/>
              <w:jc w:val="both"/>
              <w:rPr>
                <w:lang w:eastAsia="en-US"/>
              </w:rPr>
            </w:pPr>
            <w:r w:rsidRPr="00032CB1">
              <w:t>Paslaugų teikėjas įsipareigoja:</w:t>
            </w:r>
          </w:p>
          <w:p w14:paraId="4A12D1BA" w14:textId="398EA6F8" w:rsidR="00EA05EA" w:rsidRPr="00032CB1" w:rsidRDefault="00EA05EA" w:rsidP="00EA05EA">
            <w:pPr>
              <w:tabs>
                <w:tab w:val="left" w:pos="851"/>
              </w:tabs>
              <w:snapToGri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835E24">
              <w:rPr>
                <w:lang w:eastAsia="en-US"/>
              </w:rPr>
              <w:t xml:space="preserve"> </w:t>
            </w:r>
            <w:r w:rsidRPr="00032CB1">
              <w:rPr>
                <w:lang w:eastAsia="en-US"/>
              </w:rPr>
              <w:t xml:space="preserve">saugoti paslaptyje ir išimtinai tik sutarties vykdymo tikslais naudoti iš </w:t>
            </w:r>
            <w:r>
              <w:rPr>
                <w:lang w:eastAsia="en-US"/>
              </w:rPr>
              <w:t>užsakovo</w:t>
            </w:r>
            <w:r w:rsidRPr="00032CB1">
              <w:rPr>
                <w:lang w:eastAsia="en-US"/>
              </w:rPr>
              <w:t xml:space="preserve"> gautą informaciją, duomenis, dokumentus, nepriklausomai nuo to, kokiu būdu ir forma (žodine, rašytine, elektronine, kita) jie buvo pateikti ar kitaip sužinoti, vykdant Sutartį;</w:t>
            </w:r>
          </w:p>
          <w:p w14:paraId="4F04B266" w14:textId="64F9AF02" w:rsidR="00EA05EA" w:rsidRPr="00032CB1" w:rsidRDefault="007C0369" w:rsidP="007C0369">
            <w:pPr>
              <w:tabs>
                <w:tab w:val="left" w:pos="851"/>
              </w:tabs>
              <w:snapToGri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835E24">
              <w:rPr>
                <w:lang w:eastAsia="en-US"/>
              </w:rPr>
              <w:t xml:space="preserve"> </w:t>
            </w:r>
            <w:r w:rsidR="00EA05EA" w:rsidRPr="00032CB1">
              <w:rPr>
                <w:lang w:eastAsia="en-US"/>
              </w:rPr>
              <w:t>tvarkyti ir saugoti duomenis tokiu būdu, kad tretieji asmenys neturėtų galimybės su jais susipažinti ar pasinaudoti, o nutraukus sutartį ar jai pasibaigus, ne vėliau kaip per 30 (trisdešimt) dienų duomenis sunaikinti, išskyrus tuos atvejus, kai Lietuvos Respublikos įstatymai reikalauja, kad tokie duomenys būtų išsaugoti.</w:t>
            </w:r>
          </w:p>
          <w:p w14:paraId="5974F7BE" w14:textId="77777777" w:rsidR="00EA05EA" w:rsidRPr="004E13DD" w:rsidRDefault="00EA05EA" w:rsidP="004E13DD">
            <w:pPr>
              <w:pStyle w:val="Style2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14:paraId="6B60E233" w14:textId="79F38331" w:rsidR="00AE2C53" w:rsidRPr="00032CB1" w:rsidRDefault="00262176" w:rsidP="00F56E5C">
      <w:pPr>
        <w:pStyle w:val="Style2"/>
        <w:shd w:val="clear" w:color="auto" w:fill="auto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2CB1">
        <w:rPr>
          <w:rFonts w:ascii="Times New Roman" w:hAnsi="Times New Roman"/>
          <w:sz w:val="24"/>
          <w:szCs w:val="24"/>
        </w:rPr>
        <w:t>_________________________________</w:t>
      </w:r>
    </w:p>
    <w:sectPr w:rsidR="00AE2C53" w:rsidRPr="00032CB1" w:rsidSect="00AB3B54">
      <w:headerReference w:type="default" r:id="rId8"/>
      <w:pgSz w:w="11906" w:h="16838" w:code="9"/>
      <w:pgMar w:top="1134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22A44" w14:textId="77777777" w:rsidR="00F65B56" w:rsidRPr="00032CB1" w:rsidRDefault="00F65B56" w:rsidP="00296FB0">
      <w:r w:rsidRPr="00032CB1">
        <w:separator/>
      </w:r>
    </w:p>
  </w:endnote>
  <w:endnote w:type="continuationSeparator" w:id="0">
    <w:p w14:paraId="540D803E" w14:textId="77777777" w:rsidR="00F65B56" w:rsidRPr="00032CB1" w:rsidRDefault="00F65B56" w:rsidP="00296FB0">
      <w:r w:rsidRPr="00032C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CFCD1" w14:textId="77777777" w:rsidR="00F65B56" w:rsidRPr="00032CB1" w:rsidRDefault="00F65B56" w:rsidP="00296FB0">
      <w:r w:rsidRPr="00032CB1">
        <w:separator/>
      </w:r>
    </w:p>
  </w:footnote>
  <w:footnote w:type="continuationSeparator" w:id="0">
    <w:p w14:paraId="74C96FB2" w14:textId="77777777" w:rsidR="00F65B56" w:rsidRPr="00032CB1" w:rsidRDefault="00F65B56" w:rsidP="00296FB0">
      <w:r w:rsidRPr="00032CB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7DFBC" w14:textId="053911B2" w:rsidR="00DC762C" w:rsidRPr="00032CB1" w:rsidRDefault="00DC762C">
    <w:pPr>
      <w:pStyle w:val="Antrats"/>
      <w:jc w:val="center"/>
    </w:pPr>
    <w:r w:rsidRPr="00032CB1">
      <w:fldChar w:fldCharType="begin"/>
    </w:r>
    <w:r w:rsidRPr="00032CB1">
      <w:instrText xml:space="preserve"> PAGE   \* MERGEFORMAT </w:instrText>
    </w:r>
    <w:r w:rsidRPr="00032CB1">
      <w:fldChar w:fldCharType="separate"/>
    </w:r>
    <w:r w:rsidR="00C7147F" w:rsidRPr="00032CB1">
      <w:t>2</w:t>
    </w:r>
    <w:r w:rsidRPr="00032CB1">
      <w:fldChar w:fldCharType="end"/>
    </w:r>
  </w:p>
  <w:p w14:paraId="27DF1533" w14:textId="77777777" w:rsidR="00DC762C" w:rsidRPr="00032CB1" w:rsidRDefault="00DC76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 w15:restartNumberingAfterBreak="0">
    <w:nsid w:val="023272A5"/>
    <w:multiLevelType w:val="hybridMultilevel"/>
    <w:tmpl w:val="08A2A8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873075"/>
    <w:multiLevelType w:val="hybridMultilevel"/>
    <w:tmpl w:val="4F8CFD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9C2200"/>
    <w:multiLevelType w:val="hybridMultilevel"/>
    <w:tmpl w:val="B2DC23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0413CE"/>
    <w:multiLevelType w:val="hybridMultilevel"/>
    <w:tmpl w:val="0346DF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7E6CA7"/>
    <w:multiLevelType w:val="hybridMultilevel"/>
    <w:tmpl w:val="8D0433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B0504B"/>
    <w:multiLevelType w:val="hybridMultilevel"/>
    <w:tmpl w:val="07466B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AA5C5F"/>
    <w:multiLevelType w:val="hybridMultilevel"/>
    <w:tmpl w:val="F138BC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7A90B6F"/>
    <w:multiLevelType w:val="hybridMultilevel"/>
    <w:tmpl w:val="48C073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9D7D86"/>
    <w:multiLevelType w:val="multilevel"/>
    <w:tmpl w:val="EB222C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0F83B87"/>
    <w:multiLevelType w:val="hybridMultilevel"/>
    <w:tmpl w:val="A51487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3E6C12"/>
    <w:multiLevelType w:val="multilevel"/>
    <w:tmpl w:val="5162A1DE"/>
    <w:lvl w:ilvl="0">
      <w:start w:val="4"/>
      <w:numFmt w:val="decimal"/>
      <w:lvlText w:val="%1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539" w:hanging="48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3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91" w:hanging="1800"/>
      </w:pPr>
      <w:rPr>
        <w:rFonts w:hint="default"/>
      </w:rPr>
    </w:lvl>
  </w:abstractNum>
  <w:abstractNum w:abstractNumId="21" w15:restartNumberingAfterBreak="0">
    <w:nsid w:val="17566534"/>
    <w:multiLevelType w:val="hybridMultilevel"/>
    <w:tmpl w:val="A720F5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CF49EF"/>
    <w:multiLevelType w:val="hybridMultilevel"/>
    <w:tmpl w:val="1B40EC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E73CA7"/>
    <w:multiLevelType w:val="hybridMultilevel"/>
    <w:tmpl w:val="5F84CE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2E6F36"/>
    <w:multiLevelType w:val="hybridMultilevel"/>
    <w:tmpl w:val="4CAA71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013025"/>
    <w:multiLevelType w:val="hybridMultilevel"/>
    <w:tmpl w:val="7FB4BF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705264"/>
    <w:multiLevelType w:val="hybridMultilevel"/>
    <w:tmpl w:val="FFA626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66879"/>
    <w:multiLevelType w:val="hybridMultilevel"/>
    <w:tmpl w:val="544C510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043E7D"/>
    <w:multiLevelType w:val="hybridMultilevel"/>
    <w:tmpl w:val="F98626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F11613"/>
    <w:multiLevelType w:val="hybridMultilevel"/>
    <w:tmpl w:val="04601B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1F6B9E"/>
    <w:multiLevelType w:val="hybridMultilevel"/>
    <w:tmpl w:val="D5CC6D8A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6C3DB4"/>
    <w:multiLevelType w:val="multilevel"/>
    <w:tmpl w:val="B23C274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4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ascii="Tahoma" w:hAnsi="Tahoma" w:cs="Tahoma" w:hint="default"/>
        <w:b w:val="0"/>
        <w:i w:val="0"/>
        <w:sz w:val="22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ascii="Tahoma" w:hAnsi="Tahoma" w:cs="Tahoma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3491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2" w15:restartNumberingAfterBreak="0">
    <w:nsid w:val="458712ED"/>
    <w:multiLevelType w:val="hybridMultilevel"/>
    <w:tmpl w:val="4E465F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515405"/>
    <w:multiLevelType w:val="hybridMultilevel"/>
    <w:tmpl w:val="374CE7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4A43DE"/>
    <w:multiLevelType w:val="hybridMultilevel"/>
    <w:tmpl w:val="99F60C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800A2B"/>
    <w:multiLevelType w:val="multilevel"/>
    <w:tmpl w:val="7D06CBD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4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ascii="Tahoma" w:hAnsi="Tahoma" w:cs="Tahoma" w:hint="default"/>
        <w:b w:val="0"/>
        <w:i w:val="0"/>
        <w:sz w:val="22"/>
        <w:szCs w:val="24"/>
      </w:rPr>
    </w:lvl>
    <w:lvl w:ilvl="2">
      <w:start w:val="1"/>
      <w:numFmt w:val="bullet"/>
      <w:lvlText w:val=""/>
      <w:lvlJc w:val="left"/>
      <w:pPr>
        <w:ind w:left="1997" w:hanging="720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3491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6" w15:restartNumberingAfterBreak="0">
    <w:nsid w:val="4F512CDB"/>
    <w:multiLevelType w:val="hybridMultilevel"/>
    <w:tmpl w:val="D85263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5A602E"/>
    <w:multiLevelType w:val="hybridMultilevel"/>
    <w:tmpl w:val="493E50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A54C85"/>
    <w:multiLevelType w:val="hybridMultilevel"/>
    <w:tmpl w:val="ED56B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6F05EA"/>
    <w:multiLevelType w:val="hybridMultilevel"/>
    <w:tmpl w:val="42063C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066CFE"/>
    <w:multiLevelType w:val="multilevel"/>
    <w:tmpl w:val="5162A1DE"/>
    <w:lvl w:ilvl="0">
      <w:start w:val="4"/>
      <w:numFmt w:val="decimal"/>
      <w:lvlText w:val="%1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539" w:hanging="48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3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91" w:hanging="1800"/>
      </w:pPr>
      <w:rPr>
        <w:rFonts w:hint="default"/>
      </w:rPr>
    </w:lvl>
  </w:abstractNum>
  <w:abstractNum w:abstractNumId="41" w15:restartNumberingAfterBreak="0">
    <w:nsid w:val="66563EAB"/>
    <w:multiLevelType w:val="hybridMultilevel"/>
    <w:tmpl w:val="4FE0B8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0A2657"/>
    <w:multiLevelType w:val="hybridMultilevel"/>
    <w:tmpl w:val="418611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3443F7"/>
    <w:multiLevelType w:val="hybridMultilevel"/>
    <w:tmpl w:val="511AA7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AE0060"/>
    <w:multiLevelType w:val="hybridMultilevel"/>
    <w:tmpl w:val="097E95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945B3D"/>
    <w:multiLevelType w:val="hybridMultilevel"/>
    <w:tmpl w:val="E10664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B909B1"/>
    <w:multiLevelType w:val="hybridMultilevel"/>
    <w:tmpl w:val="427AB4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EC45E3"/>
    <w:multiLevelType w:val="multilevel"/>
    <w:tmpl w:val="D3F2AA16"/>
    <w:lvl w:ilvl="0">
      <w:start w:val="4"/>
      <w:numFmt w:val="decimal"/>
      <w:lvlText w:val="%1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39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91" w:hanging="1800"/>
      </w:pPr>
      <w:rPr>
        <w:rFonts w:hint="default"/>
      </w:rPr>
    </w:lvl>
  </w:abstractNum>
  <w:abstractNum w:abstractNumId="48" w15:restartNumberingAfterBreak="0">
    <w:nsid w:val="75FE725A"/>
    <w:multiLevelType w:val="hybridMultilevel"/>
    <w:tmpl w:val="7E0ABA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8C19A7"/>
    <w:multiLevelType w:val="hybridMultilevel"/>
    <w:tmpl w:val="BE58BA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444216">
    <w:abstractNumId w:val="0"/>
  </w:num>
  <w:num w:numId="2" w16cid:durableId="1428043814">
    <w:abstractNumId w:val="1"/>
  </w:num>
  <w:num w:numId="3" w16cid:durableId="1211918087">
    <w:abstractNumId w:val="2"/>
  </w:num>
  <w:num w:numId="4" w16cid:durableId="1387292785">
    <w:abstractNumId w:val="3"/>
  </w:num>
  <w:num w:numId="5" w16cid:durableId="960065114">
    <w:abstractNumId w:val="4"/>
  </w:num>
  <w:num w:numId="6" w16cid:durableId="479228994">
    <w:abstractNumId w:val="5"/>
  </w:num>
  <w:num w:numId="7" w16cid:durableId="868953834">
    <w:abstractNumId w:val="6"/>
  </w:num>
  <w:num w:numId="8" w16cid:durableId="1345084645">
    <w:abstractNumId w:val="7"/>
  </w:num>
  <w:num w:numId="9" w16cid:durableId="970986241">
    <w:abstractNumId w:val="8"/>
  </w:num>
  <w:num w:numId="10" w16cid:durableId="1029989205">
    <w:abstractNumId w:val="9"/>
  </w:num>
  <w:num w:numId="11" w16cid:durableId="2075813625">
    <w:abstractNumId w:val="17"/>
  </w:num>
  <w:num w:numId="12" w16cid:durableId="634335775">
    <w:abstractNumId w:val="46"/>
  </w:num>
  <w:num w:numId="13" w16cid:durableId="1745223717">
    <w:abstractNumId w:val="47"/>
  </w:num>
  <w:num w:numId="14" w16cid:durableId="1685588918">
    <w:abstractNumId w:val="41"/>
  </w:num>
  <w:num w:numId="15" w16cid:durableId="49501784">
    <w:abstractNumId w:val="24"/>
  </w:num>
  <w:num w:numId="16" w16cid:durableId="1068461556">
    <w:abstractNumId w:val="39"/>
  </w:num>
  <w:num w:numId="17" w16cid:durableId="786777558">
    <w:abstractNumId w:val="19"/>
  </w:num>
  <w:num w:numId="18" w16cid:durableId="1661226336">
    <w:abstractNumId w:val="15"/>
  </w:num>
  <w:num w:numId="19" w16cid:durableId="1931155063">
    <w:abstractNumId w:val="33"/>
  </w:num>
  <w:num w:numId="20" w16cid:durableId="848831640">
    <w:abstractNumId w:val="26"/>
  </w:num>
  <w:num w:numId="21" w16cid:durableId="981740553">
    <w:abstractNumId w:val="37"/>
  </w:num>
  <w:num w:numId="22" w16cid:durableId="918296317">
    <w:abstractNumId w:val="48"/>
  </w:num>
  <w:num w:numId="23" w16cid:durableId="1004819396">
    <w:abstractNumId w:val="49"/>
  </w:num>
  <w:num w:numId="24" w16cid:durableId="564607128">
    <w:abstractNumId w:val="38"/>
  </w:num>
  <w:num w:numId="25" w16cid:durableId="209999115">
    <w:abstractNumId w:val="12"/>
  </w:num>
  <w:num w:numId="26" w16cid:durableId="117727919">
    <w:abstractNumId w:val="21"/>
  </w:num>
  <w:num w:numId="27" w16cid:durableId="887882195">
    <w:abstractNumId w:val="32"/>
  </w:num>
  <w:num w:numId="28" w16cid:durableId="232006320">
    <w:abstractNumId w:val="14"/>
  </w:num>
  <w:num w:numId="29" w16cid:durableId="1727483167">
    <w:abstractNumId w:val="13"/>
  </w:num>
  <w:num w:numId="30" w16cid:durableId="610431696">
    <w:abstractNumId w:val="42"/>
  </w:num>
  <w:num w:numId="31" w16cid:durableId="275337606">
    <w:abstractNumId w:val="29"/>
  </w:num>
  <w:num w:numId="32" w16cid:durableId="879974599">
    <w:abstractNumId w:val="34"/>
  </w:num>
  <w:num w:numId="33" w16cid:durableId="715544866">
    <w:abstractNumId w:val="25"/>
  </w:num>
  <w:num w:numId="34" w16cid:durableId="120923676">
    <w:abstractNumId w:val="36"/>
  </w:num>
  <w:num w:numId="35" w16cid:durableId="657001012">
    <w:abstractNumId w:val="28"/>
  </w:num>
  <w:num w:numId="36" w16cid:durableId="33189976">
    <w:abstractNumId w:val="40"/>
  </w:num>
  <w:num w:numId="37" w16cid:durableId="982395633">
    <w:abstractNumId w:val="20"/>
  </w:num>
  <w:num w:numId="38" w16cid:durableId="1006980842">
    <w:abstractNumId w:val="30"/>
  </w:num>
  <w:num w:numId="39" w16cid:durableId="1712069449">
    <w:abstractNumId w:val="27"/>
  </w:num>
  <w:num w:numId="40" w16cid:durableId="1515874290">
    <w:abstractNumId w:val="11"/>
  </w:num>
  <w:num w:numId="41" w16cid:durableId="1879273406">
    <w:abstractNumId w:val="43"/>
  </w:num>
  <w:num w:numId="42" w16cid:durableId="336075232">
    <w:abstractNumId w:val="22"/>
  </w:num>
  <w:num w:numId="43" w16cid:durableId="369185790">
    <w:abstractNumId w:val="18"/>
  </w:num>
  <w:num w:numId="44" w16cid:durableId="6380008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63481648">
    <w:abstractNumId w:val="23"/>
  </w:num>
  <w:num w:numId="46" w16cid:durableId="1789662435">
    <w:abstractNumId w:val="35"/>
  </w:num>
  <w:num w:numId="47" w16cid:durableId="1438063582">
    <w:abstractNumId w:val="44"/>
  </w:num>
  <w:num w:numId="48" w16cid:durableId="1737318979">
    <w:abstractNumId w:val="45"/>
  </w:num>
  <w:num w:numId="49" w16cid:durableId="875314491">
    <w:abstractNumId w:val="16"/>
  </w:num>
  <w:num w:numId="50" w16cid:durableId="9809602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F5"/>
    <w:rsid w:val="0000042D"/>
    <w:rsid w:val="000017A1"/>
    <w:rsid w:val="00005714"/>
    <w:rsid w:val="0000668F"/>
    <w:rsid w:val="000078B4"/>
    <w:rsid w:val="00011E2F"/>
    <w:rsid w:val="000159FF"/>
    <w:rsid w:val="000212FE"/>
    <w:rsid w:val="00023996"/>
    <w:rsid w:val="00024DDC"/>
    <w:rsid w:val="000275D0"/>
    <w:rsid w:val="00032CB1"/>
    <w:rsid w:val="0004093B"/>
    <w:rsid w:val="000445FD"/>
    <w:rsid w:val="00050A71"/>
    <w:rsid w:val="000521A8"/>
    <w:rsid w:val="0005718E"/>
    <w:rsid w:val="00062BC0"/>
    <w:rsid w:val="00064ADE"/>
    <w:rsid w:val="00070986"/>
    <w:rsid w:val="00072015"/>
    <w:rsid w:val="00073A2B"/>
    <w:rsid w:val="00077D5C"/>
    <w:rsid w:val="00080B03"/>
    <w:rsid w:val="00083DC5"/>
    <w:rsid w:val="00085493"/>
    <w:rsid w:val="000862E6"/>
    <w:rsid w:val="00091B96"/>
    <w:rsid w:val="000943BA"/>
    <w:rsid w:val="000952DE"/>
    <w:rsid w:val="000A19B6"/>
    <w:rsid w:val="000A450D"/>
    <w:rsid w:val="000A5517"/>
    <w:rsid w:val="000A7521"/>
    <w:rsid w:val="000B0D7E"/>
    <w:rsid w:val="000B2444"/>
    <w:rsid w:val="000B68C1"/>
    <w:rsid w:val="000B6EE4"/>
    <w:rsid w:val="000B7E80"/>
    <w:rsid w:val="000B7F37"/>
    <w:rsid w:val="000C2F1A"/>
    <w:rsid w:val="000C2FFA"/>
    <w:rsid w:val="000C5725"/>
    <w:rsid w:val="000D3F8E"/>
    <w:rsid w:val="000E147D"/>
    <w:rsid w:val="000E6A72"/>
    <w:rsid w:val="000F5A95"/>
    <w:rsid w:val="000F770F"/>
    <w:rsid w:val="00102FF3"/>
    <w:rsid w:val="00103061"/>
    <w:rsid w:val="00105F95"/>
    <w:rsid w:val="00114366"/>
    <w:rsid w:val="0012405F"/>
    <w:rsid w:val="00132AB5"/>
    <w:rsid w:val="00134B4B"/>
    <w:rsid w:val="00145BED"/>
    <w:rsid w:val="00151691"/>
    <w:rsid w:val="00155860"/>
    <w:rsid w:val="001653B4"/>
    <w:rsid w:val="00166FAD"/>
    <w:rsid w:val="00167452"/>
    <w:rsid w:val="00172214"/>
    <w:rsid w:val="0017230D"/>
    <w:rsid w:val="00184D06"/>
    <w:rsid w:val="00186D5B"/>
    <w:rsid w:val="00187F2A"/>
    <w:rsid w:val="001960A6"/>
    <w:rsid w:val="001A1DD5"/>
    <w:rsid w:val="001A1F11"/>
    <w:rsid w:val="001A5634"/>
    <w:rsid w:val="001A61DC"/>
    <w:rsid w:val="001A7919"/>
    <w:rsid w:val="001A7D1F"/>
    <w:rsid w:val="001B0501"/>
    <w:rsid w:val="001B342F"/>
    <w:rsid w:val="001B6396"/>
    <w:rsid w:val="001C1C26"/>
    <w:rsid w:val="001C2AC9"/>
    <w:rsid w:val="001C38E4"/>
    <w:rsid w:val="001C4A54"/>
    <w:rsid w:val="001C7286"/>
    <w:rsid w:val="001D3F3F"/>
    <w:rsid w:val="001D770B"/>
    <w:rsid w:val="001E1F83"/>
    <w:rsid w:val="001F0FFA"/>
    <w:rsid w:val="001F3A0F"/>
    <w:rsid w:val="001F5E2F"/>
    <w:rsid w:val="0020252E"/>
    <w:rsid w:val="00206244"/>
    <w:rsid w:val="00206DFD"/>
    <w:rsid w:val="00213075"/>
    <w:rsid w:val="002134E3"/>
    <w:rsid w:val="00214400"/>
    <w:rsid w:val="00214F08"/>
    <w:rsid w:val="00216866"/>
    <w:rsid w:val="0022287D"/>
    <w:rsid w:val="00226C42"/>
    <w:rsid w:val="002420F0"/>
    <w:rsid w:val="002464CF"/>
    <w:rsid w:val="002469A0"/>
    <w:rsid w:val="00255DAC"/>
    <w:rsid w:val="00261408"/>
    <w:rsid w:val="00261CBE"/>
    <w:rsid w:val="00262176"/>
    <w:rsid w:val="00262F1F"/>
    <w:rsid w:val="00263F99"/>
    <w:rsid w:val="0026708E"/>
    <w:rsid w:val="00270A75"/>
    <w:rsid w:val="00280054"/>
    <w:rsid w:val="002803B6"/>
    <w:rsid w:val="00280551"/>
    <w:rsid w:val="00285FC2"/>
    <w:rsid w:val="00290D39"/>
    <w:rsid w:val="00296712"/>
    <w:rsid w:val="00296FB0"/>
    <w:rsid w:val="002A1799"/>
    <w:rsid w:val="002A2EF0"/>
    <w:rsid w:val="002A3E1B"/>
    <w:rsid w:val="002A7EC2"/>
    <w:rsid w:val="002B3951"/>
    <w:rsid w:val="002B6ADD"/>
    <w:rsid w:val="002C0EB0"/>
    <w:rsid w:val="002D2601"/>
    <w:rsid w:val="002E4628"/>
    <w:rsid w:val="002F25C7"/>
    <w:rsid w:val="003079D1"/>
    <w:rsid w:val="003178BA"/>
    <w:rsid w:val="0032096F"/>
    <w:rsid w:val="00324DB9"/>
    <w:rsid w:val="00342824"/>
    <w:rsid w:val="003444A0"/>
    <w:rsid w:val="003509E1"/>
    <w:rsid w:val="00351B59"/>
    <w:rsid w:val="003616B1"/>
    <w:rsid w:val="003672D4"/>
    <w:rsid w:val="003759AC"/>
    <w:rsid w:val="00376B03"/>
    <w:rsid w:val="00380DE5"/>
    <w:rsid w:val="00387674"/>
    <w:rsid w:val="003920D7"/>
    <w:rsid w:val="00392282"/>
    <w:rsid w:val="0039343E"/>
    <w:rsid w:val="003B2EAA"/>
    <w:rsid w:val="003B6453"/>
    <w:rsid w:val="003B6BCB"/>
    <w:rsid w:val="003C6D4A"/>
    <w:rsid w:val="003D17D8"/>
    <w:rsid w:val="003E29BD"/>
    <w:rsid w:val="003E3F95"/>
    <w:rsid w:val="003E6C9B"/>
    <w:rsid w:val="003E79D4"/>
    <w:rsid w:val="003F34D9"/>
    <w:rsid w:val="0040115C"/>
    <w:rsid w:val="00405D84"/>
    <w:rsid w:val="00411512"/>
    <w:rsid w:val="004118FD"/>
    <w:rsid w:val="00412698"/>
    <w:rsid w:val="00423356"/>
    <w:rsid w:val="00426766"/>
    <w:rsid w:val="004276D5"/>
    <w:rsid w:val="004339D6"/>
    <w:rsid w:val="00437E9B"/>
    <w:rsid w:val="0044647A"/>
    <w:rsid w:val="00460A54"/>
    <w:rsid w:val="00472431"/>
    <w:rsid w:val="00476CEE"/>
    <w:rsid w:val="00481EC2"/>
    <w:rsid w:val="004933D0"/>
    <w:rsid w:val="00494F8C"/>
    <w:rsid w:val="004966D6"/>
    <w:rsid w:val="004A41B4"/>
    <w:rsid w:val="004A45E3"/>
    <w:rsid w:val="004A7FEF"/>
    <w:rsid w:val="004B2BCB"/>
    <w:rsid w:val="004C04BE"/>
    <w:rsid w:val="004C3B2C"/>
    <w:rsid w:val="004D66E7"/>
    <w:rsid w:val="004E13DD"/>
    <w:rsid w:val="004E2878"/>
    <w:rsid w:val="004F72DC"/>
    <w:rsid w:val="005003EB"/>
    <w:rsid w:val="00500FC0"/>
    <w:rsid w:val="00501623"/>
    <w:rsid w:val="00504E22"/>
    <w:rsid w:val="0050678F"/>
    <w:rsid w:val="005111B7"/>
    <w:rsid w:val="00511EA0"/>
    <w:rsid w:val="00521085"/>
    <w:rsid w:val="00523D29"/>
    <w:rsid w:val="00524ED7"/>
    <w:rsid w:val="00530810"/>
    <w:rsid w:val="00530A2C"/>
    <w:rsid w:val="0053615D"/>
    <w:rsid w:val="0054332D"/>
    <w:rsid w:val="0055198B"/>
    <w:rsid w:val="005530C4"/>
    <w:rsid w:val="00553CAB"/>
    <w:rsid w:val="00555068"/>
    <w:rsid w:val="00561E9D"/>
    <w:rsid w:val="00562444"/>
    <w:rsid w:val="005668D9"/>
    <w:rsid w:val="0057373C"/>
    <w:rsid w:val="005853BD"/>
    <w:rsid w:val="00586514"/>
    <w:rsid w:val="00594202"/>
    <w:rsid w:val="005A4402"/>
    <w:rsid w:val="005A649C"/>
    <w:rsid w:val="005B0EDA"/>
    <w:rsid w:val="005B23CC"/>
    <w:rsid w:val="005B321A"/>
    <w:rsid w:val="005C1CE5"/>
    <w:rsid w:val="005C59D2"/>
    <w:rsid w:val="005D4ECF"/>
    <w:rsid w:val="005D7E3F"/>
    <w:rsid w:val="005E547E"/>
    <w:rsid w:val="005F2407"/>
    <w:rsid w:val="005F45B5"/>
    <w:rsid w:val="005F4659"/>
    <w:rsid w:val="00607A16"/>
    <w:rsid w:val="00611634"/>
    <w:rsid w:val="00612B82"/>
    <w:rsid w:val="00615442"/>
    <w:rsid w:val="00620335"/>
    <w:rsid w:val="00620B51"/>
    <w:rsid w:val="006234E6"/>
    <w:rsid w:val="0062499A"/>
    <w:rsid w:val="00626B29"/>
    <w:rsid w:val="006326F9"/>
    <w:rsid w:val="0064022A"/>
    <w:rsid w:val="00640D8E"/>
    <w:rsid w:val="00640E4F"/>
    <w:rsid w:val="00646770"/>
    <w:rsid w:val="00647E40"/>
    <w:rsid w:val="00652262"/>
    <w:rsid w:val="00654A71"/>
    <w:rsid w:val="00662D22"/>
    <w:rsid w:val="0067079A"/>
    <w:rsid w:val="006720BD"/>
    <w:rsid w:val="00673FD5"/>
    <w:rsid w:val="00675E42"/>
    <w:rsid w:val="00682E36"/>
    <w:rsid w:val="00684298"/>
    <w:rsid w:val="00684A5A"/>
    <w:rsid w:val="0068649F"/>
    <w:rsid w:val="00686D9B"/>
    <w:rsid w:val="0069000F"/>
    <w:rsid w:val="00690E48"/>
    <w:rsid w:val="00695897"/>
    <w:rsid w:val="006A0307"/>
    <w:rsid w:val="006A2C85"/>
    <w:rsid w:val="006B2075"/>
    <w:rsid w:val="006B7535"/>
    <w:rsid w:val="006C250E"/>
    <w:rsid w:val="006C41B3"/>
    <w:rsid w:val="006D52C8"/>
    <w:rsid w:val="006D581F"/>
    <w:rsid w:val="006D5EAE"/>
    <w:rsid w:val="006E2E21"/>
    <w:rsid w:val="006E3F53"/>
    <w:rsid w:val="006E4DBA"/>
    <w:rsid w:val="006E6823"/>
    <w:rsid w:val="006F0B74"/>
    <w:rsid w:val="0070058B"/>
    <w:rsid w:val="00712D3E"/>
    <w:rsid w:val="0071376C"/>
    <w:rsid w:val="00716BC8"/>
    <w:rsid w:val="00725A46"/>
    <w:rsid w:val="00726C46"/>
    <w:rsid w:val="00726CE2"/>
    <w:rsid w:val="00726E39"/>
    <w:rsid w:val="00730AAF"/>
    <w:rsid w:val="007342FE"/>
    <w:rsid w:val="007366AA"/>
    <w:rsid w:val="00740C4A"/>
    <w:rsid w:val="0075133A"/>
    <w:rsid w:val="00751C4A"/>
    <w:rsid w:val="00752AEF"/>
    <w:rsid w:val="00754217"/>
    <w:rsid w:val="00756F8B"/>
    <w:rsid w:val="0076047F"/>
    <w:rsid w:val="00762461"/>
    <w:rsid w:val="0076255B"/>
    <w:rsid w:val="007674F9"/>
    <w:rsid w:val="0077448D"/>
    <w:rsid w:val="0077477C"/>
    <w:rsid w:val="00774851"/>
    <w:rsid w:val="00777999"/>
    <w:rsid w:val="007974C6"/>
    <w:rsid w:val="00797937"/>
    <w:rsid w:val="007A2B00"/>
    <w:rsid w:val="007B26B8"/>
    <w:rsid w:val="007C0369"/>
    <w:rsid w:val="007C0FCB"/>
    <w:rsid w:val="007C1CA8"/>
    <w:rsid w:val="007C377D"/>
    <w:rsid w:val="007C4EE6"/>
    <w:rsid w:val="007D2F17"/>
    <w:rsid w:val="007D3106"/>
    <w:rsid w:val="007D7EAA"/>
    <w:rsid w:val="007E05D2"/>
    <w:rsid w:val="007E6446"/>
    <w:rsid w:val="007E6A6C"/>
    <w:rsid w:val="007E7272"/>
    <w:rsid w:val="007F0B99"/>
    <w:rsid w:val="007F4AAF"/>
    <w:rsid w:val="008041F9"/>
    <w:rsid w:val="00805BBA"/>
    <w:rsid w:val="00806D8B"/>
    <w:rsid w:val="0081160B"/>
    <w:rsid w:val="00813A09"/>
    <w:rsid w:val="0081534C"/>
    <w:rsid w:val="0082006D"/>
    <w:rsid w:val="00825D67"/>
    <w:rsid w:val="0082662B"/>
    <w:rsid w:val="00835E24"/>
    <w:rsid w:val="00837AFE"/>
    <w:rsid w:val="00843B91"/>
    <w:rsid w:val="00850B20"/>
    <w:rsid w:val="00851BC7"/>
    <w:rsid w:val="0085462A"/>
    <w:rsid w:val="0086296D"/>
    <w:rsid w:val="00863346"/>
    <w:rsid w:val="00864DD8"/>
    <w:rsid w:val="00867777"/>
    <w:rsid w:val="00870D60"/>
    <w:rsid w:val="00872CCA"/>
    <w:rsid w:val="008753FB"/>
    <w:rsid w:val="00875770"/>
    <w:rsid w:val="008811E1"/>
    <w:rsid w:val="00882582"/>
    <w:rsid w:val="008835BF"/>
    <w:rsid w:val="0088362F"/>
    <w:rsid w:val="0088757A"/>
    <w:rsid w:val="00887E97"/>
    <w:rsid w:val="008924EA"/>
    <w:rsid w:val="008A4D74"/>
    <w:rsid w:val="008A6088"/>
    <w:rsid w:val="008B099E"/>
    <w:rsid w:val="008B0D40"/>
    <w:rsid w:val="008B4793"/>
    <w:rsid w:val="008C303A"/>
    <w:rsid w:val="008D0E6C"/>
    <w:rsid w:val="008D722B"/>
    <w:rsid w:val="008E1B2B"/>
    <w:rsid w:val="008E3EA8"/>
    <w:rsid w:val="008E4F34"/>
    <w:rsid w:val="008F4756"/>
    <w:rsid w:val="0090283E"/>
    <w:rsid w:val="0090292B"/>
    <w:rsid w:val="0090311F"/>
    <w:rsid w:val="009127D3"/>
    <w:rsid w:val="00913812"/>
    <w:rsid w:val="00917BD2"/>
    <w:rsid w:val="00921F15"/>
    <w:rsid w:val="009248FC"/>
    <w:rsid w:val="009253FB"/>
    <w:rsid w:val="00926795"/>
    <w:rsid w:val="00927B9C"/>
    <w:rsid w:val="00933355"/>
    <w:rsid w:val="00936DE0"/>
    <w:rsid w:val="00940066"/>
    <w:rsid w:val="00940530"/>
    <w:rsid w:val="0094299B"/>
    <w:rsid w:val="009456ED"/>
    <w:rsid w:val="0094749A"/>
    <w:rsid w:val="00950200"/>
    <w:rsid w:val="009538E8"/>
    <w:rsid w:val="0095558E"/>
    <w:rsid w:val="009611D0"/>
    <w:rsid w:val="00963681"/>
    <w:rsid w:val="00965F96"/>
    <w:rsid w:val="00970F40"/>
    <w:rsid w:val="00971356"/>
    <w:rsid w:val="00973748"/>
    <w:rsid w:val="00975DFD"/>
    <w:rsid w:val="009800A9"/>
    <w:rsid w:val="00984250"/>
    <w:rsid w:val="00984B47"/>
    <w:rsid w:val="00993769"/>
    <w:rsid w:val="00994A91"/>
    <w:rsid w:val="0099548C"/>
    <w:rsid w:val="009A0700"/>
    <w:rsid w:val="009A2A28"/>
    <w:rsid w:val="009A2AD9"/>
    <w:rsid w:val="009A508F"/>
    <w:rsid w:val="009A7B59"/>
    <w:rsid w:val="009B6C96"/>
    <w:rsid w:val="009C2852"/>
    <w:rsid w:val="009E0AFC"/>
    <w:rsid w:val="009E20EA"/>
    <w:rsid w:val="009E48ED"/>
    <w:rsid w:val="009F6276"/>
    <w:rsid w:val="00A01450"/>
    <w:rsid w:val="00A01C87"/>
    <w:rsid w:val="00A10F6A"/>
    <w:rsid w:val="00A161AD"/>
    <w:rsid w:val="00A248CE"/>
    <w:rsid w:val="00A4251F"/>
    <w:rsid w:val="00A445C9"/>
    <w:rsid w:val="00A45652"/>
    <w:rsid w:val="00A46968"/>
    <w:rsid w:val="00A4747E"/>
    <w:rsid w:val="00A50595"/>
    <w:rsid w:val="00A5273B"/>
    <w:rsid w:val="00A56EA5"/>
    <w:rsid w:val="00A57F20"/>
    <w:rsid w:val="00A623DE"/>
    <w:rsid w:val="00A64E7E"/>
    <w:rsid w:val="00A656E9"/>
    <w:rsid w:val="00A664E7"/>
    <w:rsid w:val="00A73148"/>
    <w:rsid w:val="00A82944"/>
    <w:rsid w:val="00A905F5"/>
    <w:rsid w:val="00A913A5"/>
    <w:rsid w:val="00A968B1"/>
    <w:rsid w:val="00AA014A"/>
    <w:rsid w:val="00AA405D"/>
    <w:rsid w:val="00AA680A"/>
    <w:rsid w:val="00AA7AA5"/>
    <w:rsid w:val="00AB3B54"/>
    <w:rsid w:val="00AB4217"/>
    <w:rsid w:val="00AB545F"/>
    <w:rsid w:val="00AC2727"/>
    <w:rsid w:val="00AC594A"/>
    <w:rsid w:val="00AD24F1"/>
    <w:rsid w:val="00AE2C53"/>
    <w:rsid w:val="00AF396D"/>
    <w:rsid w:val="00AF3BBA"/>
    <w:rsid w:val="00AF56AE"/>
    <w:rsid w:val="00B0262E"/>
    <w:rsid w:val="00B0792D"/>
    <w:rsid w:val="00B10369"/>
    <w:rsid w:val="00B11F18"/>
    <w:rsid w:val="00B20A92"/>
    <w:rsid w:val="00B23DE3"/>
    <w:rsid w:val="00B34DB7"/>
    <w:rsid w:val="00B34F75"/>
    <w:rsid w:val="00B35615"/>
    <w:rsid w:val="00B4692E"/>
    <w:rsid w:val="00B57279"/>
    <w:rsid w:val="00B576A7"/>
    <w:rsid w:val="00B62063"/>
    <w:rsid w:val="00B66C0C"/>
    <w:rsid w:val="00B803D3"/>
    <w:rsid w:val="00B81245"/>
    <w:rsid w:val="00B8742F"/>
    <w:rsid w:val="00B87DC1"/>
    <w:rsid w:val="00BA0923"/>
    <w:rsid w:val="00BA387B"/>
    <w:rsid w:val="00BA5AA5"/>
    <w:rsid w:val="00BA62D6"/>
    <w:rsid w:val="00BB0477"/>
    <w:rsid w:val="00BC0186"/>
    <w:rsid w:val="00BC0F56"/>
    <w:rsid w:val="00BC1300"/>
    <w:rsid w:val="00BC3C4A"/>
    <w:rsid w:val="00BC4D5D"/>
    <w:rsid w:val="00BC7260"/>
    <w:rsid w:val="00BD0679"/>
    <w:rsid w:val="00BD1427"/>
    <w:rsid w:val="00BD2F61"/>
    <w:rsid w:val="00BD5D3C"/>
    <w:rsid w:val="00BD6BA9"/>
    <w:rsid w:val="00BE3B18"/>
    <w:rsid w:val="00BE452D"/>
    <w:rsid w:val="00BE5281"/>
    <w:rsid w:val="00BE709D"/>
    <w:rsid w:val="00BF0588"/>
    <w:rsid w:val="00BF17E5"/>
    <w:rsid w:val="00C00630"/>
    <w:rsid w:val="00C0226A"/>
    <w:rsid w:val="00C11045"/>
    <w:rsid w:val="00C11711"/>
    <w:rsid w:val="00C13F5F"/>
    <w:rsid w:val="00C144E7"/>
    <w:rsid w:val="00C168D8"/>
    <w:rsid w:val="00C25678"/>
    <w:rsid w:val="00C2681B"/>
    <w:rsid w:val="00C30BD7"/>
    <w:rsid w:val="00C312BD"/>
    <w:rsid w:val="00C33229"/>
    <w:rsid w:val="00C444BB"/>
    <w:rsid w:val="00C44646"/>
    <w:rsid w:val="00C47DE9"/>
    <w:rsid w:val="00C51CD4"/>
    <w:rsid w:val="00C55559"/>
    <w:rsid w:val="00C55E61"/>
    <w:rsid w:val="00C56706"/>
    <w:rsid w:val="00C64DE8"/>
    <w:rsid w:val="00C66272"/>
    <w:rsid w:val="00C7147F"/>
    <w:rsid w:val="00C74AD5"/>
    <w:rsid w:val="00C74EA3"/>
    <w:rsid w:val="00C80F4E"/>
    <w:rsid w:val="00C870E1"/>
    <w:rsid w:val="00C91A88"/>
    <w:rsid w:val="00C9240D"/>
    <w:rsid w:val="00C946AB"/>
    <w:rsid w:val="00C947FE"/>
    <w:rsid w:val="00CA00A8"/>
    <w:rsid w:val="00CA71FC"/>
    <w:rsid w:val="00CB3E28"/>
    <w:rsid w:val="00CB7269"/>
    <w:rsid w:val="00CB7B67"/>
    <w:rsid w:val="00CC4590"/>
    <w:rsid w:val="00CD21D1"/>
    <w:rsid w:val="00CD2325"/>
    <w:rsid w:val="00CD298F"/>
    <w:rsid w:val="00CD2FA1"/>
    <w:rsid w:val="00CD32F8"/>
    <w:rsid w:val="00CD528D"/>
    <w:rsid w:val="00CE0C22"/>
    <w:rsid w:val="00CE0D33"/>
    <w:rsid w:val="00CE122A"/>
    <w:rsid w:val="00CF014F"/>
    <w:rsid w:val="00CF2EA7"/>
    <w:rsid w:val="00CF32B8"/>
    <w:rsid w:val="00CF44F0"/>
    <w:rsid w:val="00CF5BFE"/>
    <w:rsid w:val="00CF656F"/>
    <w:rsid w:val="00D00730"/>
    <w:rsid w:val="00D047FB"/>
    <w:rsid w:val="00D05FAF"/>
    <w:rsid w:val="00D12D43"/>
    <w:rsid w:val="00D21148"/>
    <w:rsid w:val="00D256FD"/>
    <w:rsid w:val="00D41B1A"/>
    <w:rsid w:val="00D4470F"/>
    <w:rsid w:val="00D50105"/>
    <w:rsid w:val="00D57509"/>
    <w:rsid w:val="00D626F3"/>
    <w:rsid w:val="00D705F3"/>
    <w:rsid w:val="00D74A8A"/>
    <w:rsid w:val="00D774F7"/>
    <w:rsid w:val="00D8038F"/>
    <w:rsid w:val="00D8371D"/>
    <w:rsid w:val="00D83AD9"/>
    <w:rsid w:val="00D937D0"/>
    <w:rsid w:val="00DA28DC"/>
    <w:rsid w:val="00DA2BED"/>
    <w:rsid w:val="00DA66A1"/>
    <w:rsid w:val="00DA6A5A"/>
    <w:rsid w:val="00DA7F8D"/>
    <w:rsid w:val="00DB218B"/>
    <w:rsid w:val="00DC762C"/>
    <w:rsid w:val="00DD54A9"/>
    <w:rsid w:val="00DE5853"/>
    <w:rsid w:val="00DE5D3B"/>
    <w:rsid w:val="00DE7271"/>
    <w:rsid w:val="00DE7AA8"/>
    <w:rsid w:val="00DF2558"/>
    <w:rsid w:val="00DF4F47"/>
    <w:rsid w:val="00E01295"/>
    <w:rsid w:val="00E017F5"/>
    <w:rsid w:val="00E01A63"/>
    <w:rsid w:val="00E01BB3"/>
    <w:rsid w:val="00E063AB"/>
    <w:rsid w:val="00E10D69"/>
    <w:rsid w:val="00E15A66"/>
    <w:rsid w:val="00E16E9C"/>
    <w:rsid w:val="00E2096F"/>
    <w:rsid w:val="00E20F97"/>
    <w:rsid w:val="00E219F0"/>
    <w:rsid w:val="00E234BA"/>
    <w:rsid w:val="00E23921"/>
    <w:rsid w:val="00E24B57"/>
    <w:rsid w:val="00E3153A"/>
    <w:rsid w:val="00E33D60"/>
    <w:rsid w:val="00E340F8"/>
    <w:rsid w:val="00E34D48"/>
    <w:rsid w:val="00E40A7D"/>
    <w:rsid w:val="00E41BF4"/>
    <w:rsid w:val="00E42973"/>
    <w:rsid w:val="00E4463E"/>
    <w:rsid w:val="00E44677"/>
    <w:rsid w:val="00E51C97"/>
    <w:rsid w:val="00E53666"/>
    <w:rsid w:val="00E65517"/>
    <w:rsid w:val="00EA05EA"/>
    <w:rsid w:val="00EA1645"/>
    <w:rsid w:val="00EA22C3"/>
    <w:rsid w:val="00EC0919"/>
    <w:rsid w:val="00EC30CB"/>
    <w:rsid w:val="00EC5AC1"/>
    <w:rsid w:val="00ED04C1"/>
    <w:rsid w:val="00ED0D14"/>
    <w:rsid w:val="00ED41E7"/>
    <w:rsid w:val="00ED47B7"/>
    <w:rsid w:val="00ED5229"/>
    <w:rsid w:val="00EE46C6"/>
    <w:rsid w:val="00EE4D69"/>
    <w:rsid w:val="00EE5BCE"/>
    <w:rsid w:val="00EF1D66"/>
    <w:rsid w:val="00EF327C"/>
    <w:rsid w:val="00EF5D2F"/>
    <w:rsid w:val="00F02A17"/>
    <w:rsid w:val="00F12615"/>
    <w:rsid w:val="00F13356"/>
    <w:rsid w:val="00F13502"/>
    <w:rsid w:val="00F13C82"/>
    <w:rsid w:val="00F14346"/>
    <w:rsid w:val="00F15DC7"/>
    <w:rsid w:val="00F1662B"/>
    <w:rsid w:val="00F2355F"/>
    <w:rsid w:val="00F24265"/>
    <w:rsid w:val="00F243D9"/>
    <w:rsid w:val="00F27BC9"/>
    <w:rsid w:val="00F27CA3"/>
    <w:rsid w:val="00F31513"/>
    <w:rsid w:val="00F364DE"/>
    <w:rsid w:val="00F37143"/>
    <w:rsid w:val="00F40397"/>
    <w:rsid w:val="00F408DB"/>
    <w:rsid w:val="00F4241F"/>
    <w:rsid w:val="00F5387B"/>
    <w:rsid w:val="00F55465"/>
    <w:rsid w:val="00F565EB"/>
    <w:rsid w:val="00F56C7B"/>
    <w:rsid w:val="00F56E5C"/>
    <w:rsid w:val="00F60C39"/>
    <w:rsid w:val="00F6592F"/>
    <w:rsid w:val="00F65B56"/>
    <w:rsid w:val="00F65F3F"/>
    <w:rsid w:val="00F67C28"/>
    <w:rsid w:val="00F72DD5"/>
    <w:rsid w:val="00F75C87"/>
    <w:rsid w:val="00F76A43"/>
    <w:rsid w:val="00F77178"/>
    <w:rsid w:val="00F776CE"/>
    <w:rsid w:val="00F806EB"/>
    <w:rsid w:val="00F809D3"/>
    <w:rsid w:val="00F8109B"/>
    <w:rsid w:val="00F81350"/>
    <w:rsid w:val="00F82D1B"/>
    <w:rsid w:val="00F93DB8"/>
    <w:rsid w:val="00FA3745"/>
    <w:rsid w:val="00FB31EE"/>
    <w:rsid w:val="00FB5459"/>
    <w:rsid w:val="00FC67B0"/>
    <w:rsid w:val="00FC6C11"/>
    <w:rsid w:val="00FC782C"/>
    <w:rsid w:val="00FD14DD"/>
    <w:rsid w:val="00FE0743"/>
    <w:rsid w:val="00FF0F93"/>
    <w:rsid w:val="00FF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F4BAF"/>
  <w15:docId w15:val="{B3550A02-E391-43E6-AB8B-0E46C233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623DE"/>
    <w:pPr>
      <w:widowControl w:val="0"/>
    </w:pPr>
    <w:rPr>
      <w:rFonts w:ascii="Times New Roman" w:hAnsi="Times New Roman"/>
      <w:color w:val="000000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554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locked/>
    <w:rsid w:val="009400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F55465"/>
    <w:rPr>
      <w:rFonts w:ascii="Cambria" w:hAnsi="Cambria" w:cs="Times New Roman"/>
      <w:b/>
      <w:bCs/>
      <w:kern w:val="32"/>
      <w:sz w:val="32"/>
      <w:szCs w:val="32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1,bl1"/>
    <w:basedOn w:val="prastasis"/>
    <w:link w:val="SraopastraipaDiagrama"/>
    <w:uiPriority w:val="34"/>
    <w:qFormat/>
    <w:rsid w:val="00F55465"/>
    <w:pPr>
      <w:ind w:left="720"/>
      <w:contextualSpacing/>
    </w:pPr>
  </w:style>
  <w:style w:type="character" w:customStyle="1" w:styleId="CharStyle3">
    <w:name w:val="Char Style 3"/>
    <w:basedOn w:val="Numatytasispastraiposriftas"/>
    <w:link w:val="Style2"/>
    <w:uiPriority w:val="99"/>
    <w:locked/>
    <w:rsid w:val="00A905F5"/>
    <w:rPr>
      <w:rFonts w:cs="Times New Roman"/>
      <w:b/>
      <w:bCs/>
      <w:sz w:val="23"/>
      <w:szCs w:val="23"/>
      <w:shd w:val="clear" w:color="auto" w:fill="FFFFFF"/>
    </w:rPr>
  </w:style>
  <w:style w:type="character" w:customStyle="1" w:styleId="CharStyle7">
    <w:name w:val="Char Style 7"/>
    <w:basedOn w:val="Numatytasispastraiposriftas"/>
    <w:link w:val="Style6"/>
    <w:uiPriority w:val="99"/>
    <w:locked/>
    <w:rsid w:val="00A905F5"/>
    <w:rPr>
      <w:rFonts w:cs="Times New Roman"/>
      <w:shd w:val="clear" w:color="auto" w:fill="FFFFFF"/>
    </w:rPr>
  </w:style>
  <w:style w:type="character" w:customStyle="1" w:styleId="CharStyle48">
    <w:name w:val="Char Style 48"/>
    <w:basedOn w:val="Numatytasispastraiposriftas"/>
    <w:link w:val="Style47"/>
    <w:uiPriority w:val="99"/>
    <w:locked/>
    <w:rsid w:val="00A905F5"/>
    <w:rPr>
      <w:rFonts w:cs="Times New Roman"/>
      <w:b/>
      <w:bCs/>
      <w:sz w:val="23"/>
      <w:szCs w:val="23"/>
      <w:shd w:val="clear" w:color="auto" w:fill="FFFFFF"/>
    </w:rPr>
  </w:style>
  <w:style w:type="character" w:customStyle="1" w:styleId="CharStyle49">
    <w:name w:val="Char Style 49"/>
    <w:basedOn w:val="CharStyle7"/>
    <w:uiPriority w:val="99"/>
    <w:rsid w:val="00A905F5"/>
    <w:rPr>
      <w:rFonts w:ascii="Times New Roman" w:hAnsi="Times New Roman" w:cs="Times New Roman"/>
      <w:i/>
      <w:iCs/>
      <w:shd w:val="clear" w:color="auto" w:fill="FFFFFF"/>
      <w:lang w:val="en-US" w:eastAsia="en-US"/>
    </w:rPr>
  </w:style>
  <w:style w:type="character" w:customStyle="1" w:styleId="CharStyle50">
    <w:name w:val="Char Style 50"/>
    <w:basedOn w:val="CharStyle7"/>
    <w:uiPriority w:val="99"/>
    <w:rsid w:val="00A905F5"/>
    <w:rPr>
      <w:rFonts w:cs="Times New Roman"/>
      <w:i/>
      <w:iCs/>
      <w:shd w:val="clear" w:color="auto" w:fill="FFFFFF"/>
    </w:rPr>
  </w:style>
  <w:style w:type="paragraph" w:customStyle="1" w:styleId="Style2">
    <w:name w:val="Style 2"/>
    <w:basedOn w:val="prastasis"/>
    <w:link w:val="CharStyle3"/>
    <w:uiPriority w:val="99"/>
    <w:rsid w:val="00A905F5"/>
    <w:pPr>
      <w:shd w:val="clear" w:color="auto" w:fill="FFFFFF"/>
      <w:spacing w:before="480" w:after="240" w:line="278" w:lineRule="exact"/>
      <w:jc w:val="right"/>
    </w:pPr>
    <w:rPr>
      <w:rFonts w:ascii="Calibri" w:hAnsi="Calibri"/>
      <w:b/>
      <w:bCs/>
      <w:color w:val="auto"/>
      <w:sz w:val="23"/>
      <w:szCs w:val="23"/>
    </w:rPr>
  </w:style>
  <w:style w:type="paragraph" w:customStyle="1" w:styleId="Style6">
    <w:name w:val="Style 6"/>
    <w:basedOn w:val="prastasis"/>
    <w:link w:val="CharStyle7"/>
    <w:uiPriority w:val="99"/>
    <w:rsid w:val="00A905F5"/>
    <w:pPr>
      <w:shd w:val="clear" w:color="auto" w:fill="FFFFFF"/>
      <w:spacing w:line="278" w:lineRule="exact"/>
      <w:ind w:hanging="400"/>
      <w:jc w:val="both"/>
    </w:pPr>
    <w:rPr>
      <w:rFonts w:ascii="Calibri" w:hAnsi="Calibri"/>
      <w:color w:val="auto"/>
      <w:sz w:val="22"/>
      <w:szCs w:val="22"/>
    </w:rPr>
  </w:style>
  <w:style w:type="paragraph" w:customStyle="1" w:styleId="Style47">
    <w:name w:val="Style 47"/>
    <w:basedOn w:val="prastasis"/>
    <w:link w:val="CharStyle48"/>
    <w:uiPriority w:val="99"/>
    <w:rsid w:val="00A905F5"/>
    <w:pPr>
      <w:shd w:val="clear" w:color="auto" w:fill="FFFFFF"/>
      <w:spacing w:line="240" w:lineRule="atLeast"/>
    </w:pPr>
    <w:rPr>
      <w:rFonts w:ascii="Calibri" w:hAnsi="Calibri"/>
      <w:b/>
      <w:bCs/>
      <w:color w:val="auto"/>
      <w:sz w:val="23"/>
      <w:szCs w:val="23"/>
    </w:rPr>
  </w:style>
  <w:style w:type="table" w:styleId="Lentelstinklelis">
    <w:name w:val="Table Grid"/>
    <w:basedOn w:val="prastojilentel"/>
    <w:uiPriority w:val="99"/>
    <w:rsid w:val="00A905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296F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96FB0"/>
    <w:rPr>
      <w:rFonts w:ascii="Times New Roman" w:hAnsi="Times New Roman" w:cs="Times New Roman"/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semiHidden/>
    <w:rsid w:val="00296F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296FB0"/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rsid w:val="0088757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88757A"/>
    <w:rPr>
      <w:rFonts w:ascii="Tahoma" w:hAnsi="Tahoma" w:cs="Tahoma"/>
      <w:color w:val="000000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rsid w:val="0088757A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8757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88757A"/>
    <w:rPr>
      <w:rFonts w:ascii="Times New Roman" w:hAnsi="Times New Roman" w:cs="Times New Roman"/>
      <w:color w:val="00000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88757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88757A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MediumGrid21">
    <w:name w:val="Medium Grid 21"/>
    <w:basedOn w:val="prastasis"/>
    <w:uiPriority w:val="99"/>
    <w:rsid w:val="00F81350"/>
    <w:pPr>
      <w:widowControl/>
    </w:pPr>
    <w:rPr>
      <w:rFonts w:ascii="Calibri" w:hAnsi="Calibri" w:cs="Calibri"/>
      <w:color w:val="auto"/>
      <w:sz w:val="22"/>
      <w:szCs w:val="22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locked/>
    <w:rsid w:val="00CE0C22"/>
    <w:rPr>
      <w:rFonts w:ascii="Times New Roman" w:hAnsi="Times New Roman"/>
      <w:color w:val="000000"/>
      <w:sz w:val="24"/>
      <w:szCs w:val="24"/>
    </w:rPr>
  </w:style>
  <w:style w:type="character" w:styleId="Hipersaitas">
    <w:name w:val="Hyperlink"/>
    <w:aliases w:val="Alna"/>
    <w:basedOn w:val="Numatytasispastraiposriftas"/>
    <w:uiPriority w:val="99"/>
    <w:unhideWhenUsed/>
    <w:rsid w:val="00C74AD5"/>
    <w:rPr>
      <w:rFonts w:ascii="Times New Roman" w:hAnsi="Times New Roman" w:cs="Times New Roman" w:hint="default"/>
      <w:color w:val="0000FF"/>
      <w:u w:val="single"/>
    </w:rPr>
  </w:style>
  <w:style w:type="paragraph" w:styleId="Pataisymai">
    <w:name w:val="Revision"/>
    <w:hidden/>
    <w:uiPriority w:val="99"/>
    <w:semiHidden/>
    <w:rsid w:val="0095558E"/>
    <w:rPr>
      <w:rFonts w:ascii="Times New Roman" w:hAnsi="Times New Roman"/>
      <w:color w:val="000000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B26B8"/>
    <w:rPr>
      <w:color w:val="605E5C"/>
      <w:shd w:val="clear" w:color="auto" w:fill="E1DFDD"/>
    </w:rPr>
  </w:style>
  <w:style w:type="character" w:customStyle="1" w:styleId="Antrat4Diagrama">
    <w:name w:val="Antraštė 4 Diagrama"/>
    <w:basedOn w:val="Numatytasispastraiposriftas"/>
    <w:link w:val="Antrat4"/>
    <w:semiHidden/>
    <w:rsid w:val="0094006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01EA7-8C7B-46BF-AE7B-42448C64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871</Words>
  <Characters>6812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Paraiškos-užduoties</vt:lpstr>
      <vt:lpstr>Paraiškos-užduoties</vt:lpstr>
    </vt:vector>
  </TitlesOfParts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Paraiškos-užduoties</dc:title>
  <dc:creator>sm</dc:creator>
  <cp:lastModifiedBy>Kornelija Petrulienė</cp:lastModifiedBy>
  <cp:revision>3</cp:revision>
  <cp:lastPrinted>2025-11-28T06:28:00Z</cp:lastPrinted>
  <dcterms:created xsi:type="dcterms:W3CDTF">2025-12-23T08:05:00Z</dcterms:created>
  <dcterms:modified xsi:type="dcterms:W3CDTF">2025-12-29T09:46:00Z</dcterms:modified>
</cp:coreProperties>
</file>