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8D1BADF" w:rsidR="0059102C" w:rsidRPr="005F0CD9" w:rsidRDefault="00787773" w:rsidP="00DB173C">
      <w:pPr>
        <w:jc w:val="right"/>
        <w:rPr>
          <w:rFonts w:ascii="Arial" w:hAnsi="Arial" w:cs="Arial"/>
          <w:sz w:val="18"/>
          <w:szCs w:val="18"/>
        </w:rPr>
      </w:pPr>
      <w:r>
        <w:rPr>
          <w:rFonts w:ascii="Arial" w:hAnsi="Arial" w:cs="Arial"/>
          <w:sz w:val="18"/>
          <w:szCs w:val="18"/>
        </w:rPr>
        <w:t>S</w:t>
      </w:r>
      <w:r w:rsidR="00EB4CF0" w:rsidRPr="005F0CD9">
        <w:rPr>
          <w:rFonts w:ascii="Arial" w:hAnsi="Arial" w:cs="Arial"/>
          <w:sz w:val="18"/>
          <w:szCs w:val="18"/>
        </w:rPr>
        <w:t>pecialiųjų</w:t>
      </w:r>
      <w:r w:rsidR="00B13A8D">
        <w:rPr>
          <w:rFonts w:ascii="Arial" w:hAnsi="Arial" w:cs="Arial"/>
          <w:sz w:val="18"/>
          <w:szCs w:val="18"/>
        </w:rPr>
        <w:t xml:space="preserve"> pirkimo</w:t>
      </w:r>
      <w:r w:rsidR="00EB4CF0" w:rsidRPr="005F0CD9">
        <w:rPr>
          <w:rFonts w:ascii="Arial" w:hAnsi="Arial" w:cs="Arial"/>
          <w:sz w:val="18"/>
          <w:szCs w:val="18"/>
        </w:rPr>
        <w:t xml:space="preserve"> sąlygų </w:t>
      </w:r>
      <w:r w:rsidR="00F727B6">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5F63F2" w:rsidRPr="00C12403" w14:paraId="1945DCD1" w14:textId="77777777" w:rsidTr="00F73901">
        <w:tc>
          <w:tcPr>
            <w:tcW w:w="562" w:type="dxa"/>
            <w:tcBorders>
              <w:left w:val="single" w:sz="4" w:space="0" w:color="auto"/>
              <w:right w:val="single" w:sz="4" w:space="0" w:color="auto"/>
            </w:tcBorders>
            <w:shd w:val="clear" w:color="auto" w:fill="FFFFFF" w:themeFill="background1"/>
          </w:tcPr>
          <w:p w14:paraId="1CD37573" w14:textId="17F0A3FD" w:rsidR="005F63F2" w:rsidRPr="00F727B6" w:rsidRDefault="005F63F2" w:rsidP="005F63F2">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tcPr>
          <w:p w14:paraId="07FF1240" w14:textId="7F11331A" w:rsidR="005F63F2" w:rsidRPr="002E15B1" w:rsidRDefault="005F63F2" w:rsidP="005F63F2">
            <w:pPr>
              <w:tabs>
                <w:tab w:val="left" w:pos="851"/>
              </w:tabs>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neypatingojo statinio statybos vadovo pareigas:</w:t>
            </w:r>
          </w:p>
          <w:p w14:paraId="5F6BE8F4"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statiniai:</w:t>
            </w:r>
            <w:r w:rsidRPr="002E15B1">
              <w:rPr>
                <w:rFonts w:ascii="Arial" w:hAnsi="Arial" w:cs="Arial"/>
                <w:sz w:val="20"/>
                <w:szCs w:val="20"/>
              </w:rPr>
              <w:t xml:space="preserve"> negyvenamieji pastatai</w:t>
            </w:r>
            <w:r>
              <w:rPr>
                <w:rFonts w:ascii="Arial" w:hAnsi="Arial" w:cs="Arial"/>
                <w:sz w:val="20"/>
                <w:szCs w:val="20"/>
              </w:rPr>
              <w:t>;</w:t>
            </w:r>
          </w:p>
          <w:p w14:paraId="49D4D253"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grupė</w:t>
            </w:r>
            <w:r w:rsidRPr="002E15B1">
              <w:rPr>
                <w:rFonts w:ascii="Arial" w:hAnsi="Arial" w:cs="Arial"/>
                <w:sz w:val="20"/>
                <w:szCs w:val="20"/>
              </w:rPr>
              <w:t xml:space="preserve">: </w:t>
            </w:r>
            <w:r>
              <w:rPr>
                <w:rFonts w:ascii="Arial" w:hAnsi="Arial" w:cs="Arial"/>
                <w:sz w:val="20"/>
                <w:szCs w:val="20"/>
              </w:rPr>
              <w:t>pramonės ir sandėliavimo;</w:t>
            </w:r>
          </w:p>
          <w:p w14:paraId="774D827E" w14:textId="04959365" w:rsidR="005F63F2" w:rsidRPr="00F727B6" w:rsidRDefault="005F63F2" w:rsidP="005F63F2">
            <w:pPr>
              <w:tabs>
                <w:tab w:val="left" w:pos="851"/>
              </w:tabs>
              <w:jc w:val="both"/>
              <w:rPr>
                <w:rFonts w:ascii="Arial" w:hAnsi="Arial" w:cs="Arial"/>
                <w:sz w:val="20"/>
                <w:szCs w:val="20"/>
              </w:rPr>
            </w:pPr>
            <w:r w:rsidRPr="002E15B1">
              <w:rPr>
                <w:rFonts w:ascii="Arial" w:hAnsi="Arial" w:cs="Arial"/>
                <w:sz w:val="20"/>
                <w:szCs w:val="20"/>
                <w:u w:val="single"/>
              </w:rPr>
              <w:t>statinių pogrupis</w:t>
            </w:r>
            <w:r w:rsidRPr="002E15B1">
              <w:rPr>
                <w:rFonts w:ascii="Arial" w:hAnsi="Arial" w:cs="Arial"/>
                <w:sz w:val="20"/>
                <w:szCs w:val="20"/>
              </w:rPr>
              <w:t xml:space="preserve">: </w:t>
            </w:r>
            <w:r>
              <w:rPr>
                <w:rFonts w:ascii="Arial" w:hAnsi="Arial" w:cs="Arial"/>
                <w:sz w:val="20"/>
                <w:szCs w:val="20"/>
              </w:rPr>
              <w:t>energetikos</w:t>
            </w:r>
            <w:r w:rsidRPr="002E15B1">
              <w:rPr>
                <w:rFonts w:ascii="Arial" w:hAnsi="Arial" w:cs="Arial"/>
                <w:sz w:val="20"/>
                <w:szCs w:val="20"/>
              </w:rPr>
              <w:t>.</w:t>
            </w:r>
          </w:p>
        </w:tc>
        <w:tc>
          <w:tcPr>
            <w:tcW w:w="992" w:type="dxa"/>
            <w:tcBorders>
              <w:left w:val="single" w:sz="4" w:space="0" w:color="auto"/>
              <w:right w:val="single" w:sz="4" w:space="0" w:color="auto"/>
            </w:tcBorders>
          </w:tcPr>
          <w:p w14:paraId="739418CA" w14:textId="039C4A93" w:rsidR="005F63F2" w:rsidRPr="005F63F2" w:rsidRDefault="005F63F2" w:rsidP="005F63F2">
            <w:pPr>
              <w:rPr>
                <w:rFonts w:ascii="Arial" w:eastAsia="Arial Unicode MS" w:hAnsi="Arial" w:cs="Arial"/>
                <w:sz w:val="20"/>
                <w:szCs w:val="20"/>
                <w:bdr w:val="none" w:sz="0" w:space="0" w:color="auto" w:frame="1"/>
              </w:rPr>
            </w:pPr>
            <w:r w:rsidRPr="005F63F2">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36BC4443" w14:textId="77777777" w:rsidTr="00F73901">
        <w:tc>
          <w:tcPr>
            <w:tcW w:w="562" w:type="dxa"/>
            <w:tcBorders>
              <w:left w:val="single" w:sz="4" w:space="0" w:color="auto"/>
              <w:right w:val="single" w:sz="4" w:space="0" w:color="auto"/>
            </w:tcBorders>
            <w:shd w:val="clear" w:color="auto" w:fill="FFFFFF" w:themeFill="background1"/>
          </w:tcPr>
          <w:p w14:paraId="5A7CA62A" w14:textId="55AF0695" w:rsidR="005F63F2" w:rsidRPr="00F727B6" w:rsidRDefault="005F63F2" w:rsidP="005F63F2">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 xml:space="preserve">2. </w:t>
            </w:r>
          </w:p>
        </w:tc>
        <w:tc>
          <w:tcPr>
            <w:tcW w:w="6096" w:type="dxa"/>
            <w:tcBorders>
              <w:top w:val="single" w:sz="4" w:space="0" w:color="auto"/>
              <w:left w:val="single" w:sz="4" w:space="0" w:color="auto"/>
              <w:bottom w:val="single" w:sz="4" w:space="0" w:color="auto"/>
              <w:right w:val="single" w:sz="4" w:space="0" w:color="auto"/>
            </w:tcBorders>
          </w:tcPr>
          <w:p w14:paraId="794449FA" w14:textId="40C2FB97" w:rsidR="005F63F2" w:rsidRPr="002E15B1" w:rsidRDefault="005F63F2" w:rsidP="005F63F2">
            <w:pPr>
              <w:tabs>
                <w:tab w:val="left" w:pos="851"/>
              </w:tabs>
              <w:ind w:left="33"/>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neypatingojo statinio specialiųjų statybos darbų vadovo pareigas:</w:t>
            </w:r>
          </w:p>
          <w:p w14:paraId="4BD6F62E"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statiniai:</w:t>
            </w:r>
            <w:r w:rsidRPr="002E15B1">
              <w:rPr>
                <w:rFonts w:ascii="Arial" w:hAnsi="Arial" w:cs="Arial"/>
                <w:sz w:val="20"/>
                <w:szCs w:val="20"/>
              </w:rPr>
              <w:t xml:space="preserve"> negyvenamieji pastatai;</w:t>
            </w:r>
          </w:p>
          <w:p w14:paraId="10AF0E04"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grupė</w:t>
            </w:r>
            <w:r w:rsidRPr="002E15B1">
              <w:rPr>
                <w:rFonts w:ascii="Arial" w:hAnsi="Arial" w:cs="Arial"/>
                <w:sz w:val="20"/>
                <w:szCs w:val="20"/>
              </w:rPr>
              <w:t xml:space="preserve">: </w:t>
            </w:r>
            <w:r>
              <w:rPr>
                <w:rFonts w:ascii="Arial" w:hAnsi="Arial" w:cs="Arial"/>
                <w:sz w:val="20"/>
                <w:szCs w:val="20"/>
              </w:rPr>
              <w:t>pramonės ir sandėliavimo</w:t>
            </w:r>
            <w:r w:rsidRPr="002E15B1">
              <w:rPr>
                <w:rFonts w:ascii="Arial" w:hAnsi="Arial" w:cs="Arial"/>
                <w:sz w:val="20"/>
                <w:szCs w:val="20"/>
              </w:rPr>
              <w:t>;</w:t>
            </w:r>
          </w:p>
          <w:p w14:paraId="26B977FC"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pogrupis</w:t>
            </w:r>
            <w:r w:rsidRPr="002E15B1">
              <w:rPr>
                <w:rFonts w:ascii="Arial" w:hAnsi="Arial" w:cs="Arial"/>
                <w:sz w:val="20"/>
                <w:szCs w:val="20"/>
              </w:rPr>
              <w:t xml:space="preserve">: </w:t>
            </w:r>
            <w:r>
              <w:rPr>
                <w:rFonts w:ascii="Arial" w:hAnsi="Arial" w:cs="Arial"/>
                <w:sz w:val="20"/>
                <w:szCs w:val="20"/>
              </w:rPr>
              <w:t>energetikos</w:t>
            </w:r>
            <w:r w:rsidRPr="002E15B1">
              <w:rPr>
                <w:rFonts w:ascii="Arial" w:hAnsi="Arial" w:cs="Arial"/>
                <w:sz w:val="20"/>
                <w:szCs w:val="20"/>
              </w:rPr>
              <w:t>;</w:t>
            </w:r>
          </w:p>
          <w:p w14:paraId="343CD1CB" w14:textId="77777777" w:rsidR="005F63F2" w:rsidRPr="002E15B1" w:rsidRDefault="005F63F2" w:rsidP="005F63F2">
            <w:pPr>
              <w:tabs>
                <w:tab w:val="left" w:pos="851"/>
              </w:tabs>
              <w:ind w:left="33"/>
              <w:jc w:val="both"/>
              <w:rPr>
                <w:rFonts w:ascii="Arial" w:hAnsi="Arial" w:cs="Arial"/>
                <w:sz w:val="20"/>
                <w:szCs w:val="20"/>
                <w:u w:val="single"/>
              </w:rPr>
            </w:pPr>
            <w:r w:rsidRPr="002E15B1">
              <w:rPr>
                <w:rFonts w:ascii="Arial" w:hAnsi="Arial" w:cs="Arial"/>
                <w:sz w:val="20"/>
                <w:szCs w:val="20"/>
                <w:u w:val="single"/>
              </w:rPr>
              <w:t>darbo sritis:</w:t>
            </w:r>
          </w:p>
          <w:p w14:paraId="7AFF9290" w14:textId="1C492B05" w:rsidR="005F63F2" w:rsidRPr="00F727B6" w:rsidRDefault="005F63F2" w:rsidP="005F63F2">
            <w:pPr>
              <w:tabs>
                <w:tab w:val="left" w:pos="851"/>
              </w:tabs>
              <w:jc w:val="both"/>
              <w:rPr>
                <w:rFonts w:ascii="Arial" w:hAnsi="Arial" w:cs="Arial"/>
                <w:sz w:val="20"/>
                <w:szCs w:val="20"/>
              </w:rPr>
            </w:pPr>
            <w:r w:rsidRPr="002E15B1">
              <w:rPr>
                <w:rFonts w:ascii="Arial" w:hAnsi="Arial" w:cs="Arial"/>
                <w:sz w:val="20"/>
                <w:szCs w:val="20"/>
              </w:rPr>
              <w:t xml:space="preserve">šilumos tiekimo tinklų </w:t>
            </w:r>
            <w:r>
              <w:rPr>
                <w:rFonts w:ascii="Arial" w:hAnsi="Arial" w:cs="Arial"/>
                <w:sz w:val="20"/>
                <w:szCs w:val="20"/>
              </w:rPr>
              <w:t>tiesimas.</w:t>
            </w:r>
          </w:p>
        </w:tc>
        <w:tc>
          <w:tcPr>
            <w:tcW w:w="992" w:type="dxa"/>
            <w:tcBorders>
              <w:left w:val="single" w:sz="4" w:space="0" w:color="auto"/>
              <w:right w:val="single" w:sz="4" w:space="0" w:color="auto"/>
            </w:tcBorders>
          </w:tcPr>
          <w:p w14:paraId="39A6A170" w14:textId="60F13686" w:rsidR="005F63F2" w:rsidRPr="005F63F2" w:rsidRDefault="005F63F2" w:rsidP="005F63F2">
            <w:pPr>
              <w:rPr>
                <w:rFonts w:ascii="Arial" w:hAnsi="Arial" w:cs="Arial"/>
                <w:bCs/>
                <w:sz w:val="20"/>
                <w:szCs w:val="20"/>
              </w:rPr>
            </w:pPr>
            <w:r w:rsidRPr="005F63F2">
              <w:rPr>
                <w:rFonts w:ascii="Arial" w:hAnsi="Arial" w:cs="Arial"/>
                <w:sz w:val="20"/>
                <w:szCs w:val="20"/>
              </w:rPr>
              <w:t>2.2.</w:t>
            </w:r>
            <w:r w:rsidRPr="005F63F2">
              <w:rPr>
                <w:rFonts w:ascii="Arial" w:hAnsi="Arial" w:cs="Arial"/>
                <w:sz w:val="20"/>
                <w:szCs w:val="20"/>
              </w:rPr>
              <w:t>2</w:t>
            </w:r>
            <w:r w:rsidRPr="005F63F2">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1ABB"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57FE"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7FDE"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6870C7AD" w14:textId="77777777" w:rsidTr="00F73901">
        <w:tc>
          <w:tcPr>
            <w:tcW w:w="562" w:type="dxa"/>
            <w:tcBorders>
              <w:left w:val="single" w:sz="4" w:space="0" w:color="auto"/>
              <w:right w:val="single" w:sz="4" w:space="0" w:color="auto"/>
            </w:tcBorders>
            <w:shd w:val="clear" w:color="auto" w:fill="FFFFFF" w:themeFill="background1"/>
          </w:tcPr>
          <w:p w14:paraId="162F6C59" w14:textId="130D6921" w:rsidR="005F63F2" w:rsidRPr="00F727B6" w:rsidRDefault="005F63F2" w:rsidP="005F63F2">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tcPr>
          <w:p w14:paraId="3E04233A" w14:textId="3BF6B0A4" w:rsidR="005F63F2" w:rsidRPr="002E15B1" w:rsidRDefault="005F63F2" w:rsidP="005F63F2">
            <w:pPr>
              <w:tabs>
                <w:tab w:val="left" w:pos="851"/>
              </w:tabs>
              <w:ind w:left="33"/>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neypatingojo statinio specialiųjų statybos darbų vadovo pareigas:</w:t>
            </w:r>
          </w:p>
          <w:p w14:paraId="3FC83BB1"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statiniai:</w:t>
            </w:r>
            <w:r w:rsidRPr="002E15B1">
              <w:rPr>
                <w:rFonts w:ascii="Arial" w:hAnsi="Arial" w:cs="Arial"/>
                <w:sz w:val="20"/>
                <w:szCs w:val="20"/>
              </w:rPr>
              <w:t xml:space="preserve"> negyvenamieji pastatai</w:t>
            </w:r>
            <w:r w:rsidRPr="002E15B1" w:rsidDel="00E5637C">
              <w:rPr>
                <w:rFonts w:ascii="Arial" w:hAnsi="Arial" w:cs="Arial"/>
                <w:sz w:val="20"/>
                <w:szCs w:val="20"/>
              </w:rPr>
              <w:t>;</w:t>
            </w:r>
          </w:p>
          <w:p w14:paraId="7FA6C40C"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grupė</w:t>
            </w:r>
            <w:r w:rsidRPr="002E15B1">
              <w:rPr>
                <w:rFonts w:ascii="Arial" w:hAnsi="Arial" w:cs="Arial"/>
                <w:sz w:val="20"/>
                <w:szCs w:val="20"/>
              </w:rPr>
              <w:t xml:space="preserve">: </w:t>
            </w:r>
            <w:r>
              <w:rPr>
                <w:rFonts w:ascii="Arial" w:hAnsi="Arial" w:cs="Arial"/>
                <w:sz w:val="20"/>
                <w:szCs w:val="20"/>
              </w:rPr>
              <w:t>pramonės ir sandėliavimo</w:t>
            </w:r>
            <w:r w:rsidRPr="002E15B1">
              <w:rPr>
                <w:rFonts w:ascii="Arial" w:hAnsi="Arial" w:cs="Arial"/>
                <w:sz w:val="20"/>
                <w:szCs w:val="20"/>
              </w:rPr>
              <w:t>;</w:t>
            </w:r>
          </w:p>
          <w:p w14:paraId="3BBBFCE4"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pogrupis</w:t>
            </w:r>
            <w:r w:rsidRPr="002E15B1">
              <w:rPr>
                <w:rFonts w:ascii="Arial" w:hAnsi="Arial" w:cs="Arial"/>
                <w:sz w:val="20"/>
                <w:szCs w:val="20"/>
              </w:rPr>
              <w:t xml:space="preserve">: </w:t>
            </w:r>
            <w:r>
              <w:rPr>
                <w:rFonts w:ascii="Arial" w:hAnsi="Arial" w:cs="Arial"/>
                <w:sz w:val="20"/>
                <w:szCs w:val="20"/>
              </w:rPr>
              <w:t>energetikos</w:t>
            </w:r>
            <w:r w:rsidRPr="002E15B1">
              <w:rPr>
                <w:rFonts w:ascii="Arial" w:hAnsi="Arial" w:cs="Arial"/>
                <w:sz w:val="20"/>
                <w:szCs w:val="20"/>
              </w:rPr>
              <w:t>;</w:t>
            </w:r>
          </w:p>
          <w:p w14:paraId="35E18C79" w14:textId="77777777" w:rsidR="005F63F2" w:rsidRPr="002E15B1" w:rsidRDefault="005F63F2" w:rsidP="005F63F2">
            <w:pPr>
              <w:tabs>
                <w:tab w:val="left" w:pos="851"/>
              </w:tabs>
              <w:ind w:left="33"/>
              <w:jc w:val="both"/>
              <w:rPr>
                <w:rFonts w:ascii="Arial" w:hAnsi="Arial" w:cs="Arial"/>
                <w:sz w:val="20"/>
                <w:szCs w:val="20"/>
                <w:u w:val="single"/>
              </w:rPr>
            </w:pPr>
            <w:r w:rsidRPr="002E15B1">
              <w:rPr>
                <w:rFonts w:ascii="Arial" w:hAnsi="Arial" w:cs="Arial"/>
                <w:sz w:val="20"/>
                <w:szCs w:val="20"/>
                <w:u w:val="single"/>
              </w:rPr>
              <w:t>darbo sritis:</w:t>
            </w:r>
          </w:p>
          <w:p w14:paraId="28D6C909" w14:textId="77777777" w:rsidR="005F63F2" w:rsidRDefault="005F63F2" w:rsidP="005F63F2">
            <w:pPr>
              <w:tabs>
                <w:tab w:val="left" w:pos="851"/>
              </w:tabs>
              <w:ind w:left="33"/>
              <w:jc w:val="both"/>
              <w:rPr>
                <w:rFonts w:ascii="Arial" w:hAnsi="Arial" w:cs="Arial"/>
                <w:sz w:val="20"/>
                <w:szCs w:val="20"/>
              </w:rPr>
            </w:pPr>
            <w:r w:rsidRPr="002E15B1">
              <w:rPr>
                <w:rFonts w:ascii="Arial" w:hAnsi="Arial" w:cs="Arial"/>
                <w:sz w:val="20"/>
                <w:szCs w:val="20"/>
              </w:rPr>
              <w:t>statinio elektros inžinerinių sistemų įrengimas;</w:t>
            </w:r>
          </w:p>
          <w:p w14:paraId="52EB3842" w14:textId="77777777" w:rsidR="005F63F2" w:rsidRDefault="005F63F2" w:rsidP="005F63F2">
            <w:pPr>
              <w:tabs>
                <w:tab w:val="left" w:pos="851"/>
              </w:tabs>
              <w:ind w:left="33"/>
              <w:jc w:val="both"/>
              <w:rPr>
                <w:rFonts w:ascii="Arial" w:hAnsi="Arial" w:cs="Arial"/>
                <w:sz w:val="20"/>
                <w:szCs w:val="20"/>
              </w:rPr>
            </w:pPr>
            <w:r w:rsidRPr="002E15B1">
              <w:rPr>
                <w:rFonts w:ascii="Arial" w:hAnsi="Arial" w:cs="Arial"/>
                <w:sz w:val="20"/>
                <w:szCs w:val="20"/>
              </w:rPr>
              <w:t>procesų valdymo ir automatizavimo sistemų įrengimas</w:t>
            </w:r>
            <w:r>
              <w:rPr>
                <w:rFonts w:ascii="Arial" w:hAnsi="Arial" w:cs="Arial"/>
                <w:sz w:val="20"/>
                <w:szCs w:val="20"/>
              </w:rPr>
              <w:t>;</w:t>
            </w:r>
          </w:p>
          <w:p w14:paraId="345C5432" w14:textId="24DA1B96" w:rsidR="005F63F2" w:rsidRDefault="005F63F2" w:rsidP="005F63F2">
            <w:pPr>
              <w:tabs>
                <w:tab w:val="left" w:pos="851"/>
              </w:tabs>
              <w:jc w:val="both"/>
              <w:rPr>
                <w:rFonts w:ascii="Arial" w:hAnsi="Arial" w:cs="Arial"/>
                <w:sz w:val="20"/>
                <w:szCs w:val="20"/>
              </w:rPr>
            </w:pPr>
            <w:r w:rsidRPr="00496933">
              <w:rPr>
                <w:rFonts w:ascii="Arial" w:hAnsi="Arial" w:cs="Arial"/>
                <w:sz w:val="20"/>
                <w:szCs w:val="20"/>
              </w:rPr>
              <w:t>vandentiekio ir nuotekų šalinimo tinklų tiesimas</w:t>
            </w:r>
            <w:r w:rsidRPr="78FF2033">
              <w:rPr>
                <w:rFonts w:ascii="Arial" w:hAnsi="Arial" w:cs="Arial"/>
                <w:sz w:val="20"/>
                <w:szCs w:val="20"/>
              </w:rPr>
              <w:t>.</w:t>
            </w:r>
          </w:p>
        </w:tc>
        <w:tc>
          <w:tcPr>
            <w:tcW w:w="992" w:type="dxa"/>
            <w:tcBorders>
              <w:left w:val="single" w:sz="4" w:space="0" w:color="auto"/>
              <w:right w:val="single" w:sz="4" w:space="0" w:color="auto"/>
            </w:tcBorders>
          </w:tcPr>
          <w:p w14:paraId="5516CF0A" w14:textId="573F09E2" w:rsidR="005F63F2" w:rsidRPr="005F63F2" w:rsidRDefault="005F63F2" w:rsidP="005F63F2">
            <w:pPr>
              <w:rPr>
                <w:rFonts w:ascii="Arial" w:hAnsi="Arial" w:cs="Arial"/>
                <w:sz w:val="20"/>
                <w:szCs w:val="20"/>
              </w:rPr>
            </w:pPr>
            <w:r w:rsidRPr="005F63F2">
              <w:rPr>
                <w:rFonts w:ascii="Arial" w:hAnsi="Arial" w:cs="Arial"/>
                <w:sz w:val="20"/>
                <w:szCs w:val="20"/>
              </w:rPr>
              <w:t>2.2.</w:t>
            </w:r>
            <w:r w:rsidRPr="005F63F2">
              <w:rPr>
                <w:rFonts w:ascii="Arial" w:hAnsi="Arial" w:cs="Arial"/>
                <w:sz w:val="20"/>
                <w:szCs w:val="20"/>
              </w:rPr>
              <w:t>3</w:t>
            </w:r>
            <w:r w:rsidRPr="005F63F2">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119A68"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7793"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1C8C"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344A1F29" w14:textId="77777777" w:rsidTr="00F73901">
        <w:tc>
          <w:tcPr>
            <w:tcW w:w="562" w:type="dxa"/>
            <w:tcBorders>
              <w:left w:val="single" w:sz="4" w:space="0" w:color="auto"/>
              <w:right w:val="single" w:sz="4" w:space="0" w:color="auto"/>
            </w:tcBorders>
            <w:shd w:val="clear" w:color="auto" w:fill="FFFFFF" w:themeFill="background1"/>
          </w:tcPr>
          <w:p w14:paraId="3655E2F9" w14:textId="78B54389" w:rsidR="005F63F2" w:rsidRPr="00F727B6" w:rsidRDefault="005F63F2" w:rsidP="005F63F2">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lastRenderedPageBreak/>
              <w:t>4.</w:t>
            </w:r>
          </w:p>
        </w:tc>
        <w:tc>
          <w:tcPr>
            <w:tcW w:w="6096" w:type="dxa"/>
            <w:tcBorders>
              <w:top w:val="single" w:sz="4" w:space="0" w:color="auto"/>
              <w:left w:val="single" w:sz="4" w:space="0" w:color="auto"/>
              <w:bottom w:val="single" w:sz="4" w:space="0" w:color="auto"/>
              <w:right w:val="single" w:sz="4" w:space="0" w:color="auto"/>
            </w:tcBorders>
          </w:tcPr>
          <w:p w14:paraId="5E611AA3" w14:textId="46B73ECC" w:rsidR="005F63F2" w:rsidRPr="002E15B1" w:rsidRDefault="005F63F2" w:rsidP="005F63F2">
            <w:pPr>
              <w:tabs>
                <w:tab w:val="left" w:pos="851"/>
              </w:tabs>
              <w:ind w:left="33"/>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neypatingojo statinio projekto vadovo ir neypatingojo statinio projekto vykdymo priežiūros vadovo pareigas:</w:t>
            </w:r>
          </w:p>
          <w:p w14:paraId="4E47D48D"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statiniai:</w:t>
            </w:r>
            <w:r w:rsidRPr="002E15B1">
              <w:rPr>
                <w:rFonts w:ascii="Arial" w:hAnsi="Arial" w:cs="Arial"/>
                <w:sz w:val="20"/>
                <w:szCs w:val="20"/>
              </w:rPr>
              <w:t xml:space="preserve"> negyvenamieji pastatai; </w:t>
            </w:r>
          </w:p>
          <w:p w14:paraId="34B2104C" w14:textId="77777777" w:rsidR="005F63F2" w:rsidRPr="002E15B1" w:rsidRDefault="005F63F2" w:rsidP="005F63F2">
            <w:pPr>
              <w:tabs>
                <w:tab w:val="left" w:pos="851"/>
              </w:tabs>
              <w:ind w:left="33"/>
              <w:jc w:val="both"/>
              <w:rPr>
                <w:rFonts w:ascii="Arial" w:hAnsi="Arial" w:cs="Arial"/>
                <w:sz w:val="20"/>
                <w:szCs w:val="20"/>
              </w:rPr>
            </w:pPr>
            <w:r w:rsidRPr="002E15B1">
              <w:rPr>
                <w:rFonts w:ascii="Arial" w:hAnsi="Arial" w:cs="Arial"/>
                <w:sz w:val="20"/>
                <w:szCs w:val="20"/>
                <w:u w:val="single"/>
              </w:rPr>
              <w:t>statinių grupė</w:t>
            </w:r>
            <w:r w:rsidRPr="002E15B1">
              <w:rPr>
                <w:rFonts w:ascii="Arial" w:hAnsi="Arial" w:cs="Arial"/>
                <w:sz w:val="20"/>
                <w:szCs w:val="20"/>
              </w:rPr>
              <w:t xml:space="preserve">: </w:t>
            </w:r>
            <w:r>
              <w:rPr>
                <w:rFonts w:ascii="Arial" w:hAnsi="Arial" w:cs="Arial"/>
                <w:sz w:val="20"/>
                <w:szCs w:val="20"/>
              </w:rPr>
              <w:t>pramonės ir sandėliavimo</w:t>
            </w:r>
            <w:r w:rsidRPr="002E15B1">
              <w:rPr>
                <w:rFonts w:ascii="Arial" w:hAnsi="Arial" w:cs="Arial"/>
                <w:sz w:val="20"/>
                <w:szCs w:val="20"/>
              </w:rPr>
              <w:t xml:space="preserve">; </w:t>
            </w:r>
          </w:p>
          <w:p w14:paraId="17F14A11" w14:textId="2E27FCBE" w:rsidR="005F63F2" w:rsidRPr="00F727B6" w:rsidRDefault="005F63F2" w:rsidP="005F63F2">
            <w:pPr>
              <w:tabs>
                <w:tab w:val="left" w:pos="851"/>
              </w:tabs>
              <w:jc w:val="both"/>
              <w:rPr>
                <w:rFonts w:ascii="Arial" w:hAnsi="Arial" w:cs="Arial"/>
                <w:bCs/>
                <w:iCs/>
                <w:sz w:val="20"/>
                <w:szCs w:val="20"/>
              </w:rPr>
            </w:pPr>
            <w:r w:rsidRPr="002E15B1">
              <w:rPr>
                <w:rFonts w:ascii="Arial" w:hAnsi="Arial" w:cs="Arial"/>
                <w:sz w:val="20"/>
                <w:szCs w:val="20"/>
                <w:u w:val="single"/>
              </w:rPr>
              <w:t>statinių pogrupis:</w:t>
            </w:r>
            <w:r w:rsidRPr="002E15B1">
              <w:rPr>
                <w:rFonts w:ascii="Arial" w:hAnsi="Arial" w:cs="Arial"/>
                <w:sz w:val="20"/>
                <w:szCs w:val="20"/>
              </w:rPr>
              <w:t xml:space="preserve"> </w:t>
            </w:r>
            <w:r>
              <w:rPr>
                <w:rFonts w:ascii="Arial" w:hAnsi="Arial" w:cs="Arial"/>
                <w:sz w:val="20"/>
                <w:szCs w:val="20"/>
              </w:rPr>
              <w:t>energetikos</w:t>
            </w:r>
            <w:r w:rsidRPr="002E15B1">
              <w:rPr>
                <w:rFonts w:ascii="Arial" w:hAnsi="Arial" w:cs="Arial"/>
                <w:sz w:val="20"/>
                <w:szCs w:val="20"/>
              </w:rPr>
              <w:t>.</w:t>
            </w:r>
          </w:p>
        </w:tc>
        <w:tc>
          <w:tcPr>
            <w:tcW w:w="992" w:type="dxa"/>
            <w:tcBorders>
              <w:left w:val="single" w:sz="4" w:space="0" w:color="auto"/>
              <w:right w:val="single" w:sz="4" w:space="0" w:color="auto"/>
            </w:tcBorders>
          </w:tcPr>
          <w:p w14:paraId="1EB33F53" w14:textId="2B2BBE96" w:rsidR="005F63F2" w:rsidRPr="005F63F2" w:rsidRDefault="005F63F2" w:rsidP="005F63F2">
            <w:pPr>
              <w:rPr>
                <w:rFonts w:ascii="Arial" w:eastAsia="Arial Unicode MS" w:hAnsi="Arial" w:cs="Arial"/>
                <w:sz w:val="20"/>
                <w:szCs w:val="20"/>
                <w:bdr w:val="none" w:sz="0" w:space="0" w:color="auto" w:frame="1"/>
              </w:rPr>
            </w:pPr>
            <w:r w:rsidRPr="005F63F2">
              <w:rPr>
                <w:rFonts w:ascii="Arial" w:hAnsi="Arial" w:cs="Arial"/>
                <w:sz w:val="20"/>
                <w:szCs w:val="20"/>
              </w:rPr>
              <w:t>2.2.</w:t>
            </w:r>
            <w:r w:rsidRPr="005F63F2">
              <w:rPr>
                <w:rFonts w:ascii="Arial" w:hAnsi="Arial" w:cs="Arial"/>
                <w:sz w:val="20"/>
                <w:szCs w:val="20"/>
              </w:rPr>
              <w:t>4</w:t>
            </w:r>
            <w:r w:rsidRPr="005F63F2">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48A504CE" w14:textId="77777777" w:rsidTr="00F73901">
        <w:tc>
          <w:tcPr>
            <w:tcW w:w="562" w:type="dxa"/>
            <w:tcBorders>
              <w:left w:val="single" w:sz="4" w:space="0" w:color="auto"/>
              <w:right w:val="single" w:sz="4" w:space="0" w:color="auto"/>
            </w:tcBorders>
            <w:shd w:val="clear" w:color="auto" w:fill="FFFFFF" w:themeFill="background1"/>
          </w:tcPr>
          <w:p w14:paraId="2F202452" w14:textId="44D923DB" w:rsidR="005F63F2" w:rsidRPr="00F727B6" w:rsidRDefault="005F63F2" w:rsidP="005F63F2">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tcBorders>
              <w:top w:val="single" w:sz="4" w:space="0" w:color="auto"/>
              <w:left w:val="single" w:sz="4" w:space="0" w:color="auto"/>
              <w:bottom w:val="single" w:sz="4" w:space="0" w:color="auto"/>
              <w:right w:val="single" w:sz="4" w:space="0" w:color="auto"/>
            </w:tcBorders>
          </w:tcPr>
          <w:p w14:paraId="4F17C34A" w14:textId="77DEA5AA" w:rsidR="005F63F2" w:rsidRPr="002E15B1" w:rsidRDefault="005F63F2" w:rsidP="005F63F2">
            <w:pPr>
              <w:tabs>
                <w:tab w:val="left" w:pos="851"/>
              </w:tabs>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neypatingojo statinio projekto dalies vadovo ir neypatingojo statinio projekto dalies vykdymo priežiūros vadovo pareigas:</w:t>
            </w:r>
          </w:p>
          <w:p w14:paraId="5DABC58C" w14:textId="77777777" w:rsidR="005F63F2" w:rsidRPr="002E15B1" w:rsidRDefault="005F63F2" w:rsidP="005F63F2">
            <w:pPr>
              <w:tabs>
                <w:tab w:val="left" w:pos="851"/>
              </w:tabs>
              <w:jc w:val="both"/>
              <w:rPr>
                <w:rFonts w:ascii="Arial" w:hAnsi="Arial" w:cs="Arial"/>
                <w:sz w:val="20"/>
                <w:szCs w:val="20"/>
              </w:rPr>
            </w:pPr>
            <w:r w:rsidRPr="002E15B1">
              <w:rPr>
                <w:rFonts w:ascii="Arial" w:hAnsi="Arial" w:cs="Arial"/>
                <w:sz w:val="20"/>
                <w:szCs w:val="20"/>
                <w:u w:val="single"/>
              </w:rPr>
              <w:t>statiniai:</w:t>
            </w:r>
            <w:r w:rsidRPr="002E15B1">
              <w:rPr>
                <w:rFonts w:ascii="Arial" w:hAnsi="Arial" w:cs="Arial"/>
                <w:sz w:val="20"/>
                <w:szCs w:val="20"/>
              </w:rPr>
              <w:t xml:space="preserve"> negyvenamieji pastatai;</w:t>
            </w:r>
          </w:p>
          <w:p w14:paraId="21C679A2" w14:textId="77777777" w:rsidR="005F63F2" w:rsidRPr="002E15B1" w:rsidRDefault="005F63F2" w:rsidP="005F63F2">
            <w:pPr>
              <w:tabs>
                <w:tab w:val="left" w:pos="851"/>
              </w:tabs>
              <w:jc w:val="both"/>
              <w:rPr>
                <w:rFonts w:ascii="Arial" w:hAnsi="Arial" w:cs="Arial"/>
                <w:sz w:val="20"/>
                <w:szCs w:val="20"/>
              </w:rPr>
            </w:pPr>
            <w:r w:rsidRPr="002E15B1">
              <w:rPr>
                <w:rFonts w:ascii="Arial" w:hAnsi="Arial" w:cs="Arial"/>
                <w:sz w:val="20"/>
                <w:szCs w:val="20"/>
                <w:u w:val="single"/>
              </w:rPr>
              <w:t>statinių grupė</w:t>
            </w:r>
            <w:r w:rsidRPr="002E15B1">
              <w:rPr>
                <w:rFonts w:ascii="Arial" w:hAnsi="Arial" w:cs="Arial"/>
                <w:sz w:val="20"/>
                <w:szCs w:val="20"/>
              </w:rPr>
              <w:t xml:space="preserve">: </w:t>
            </w:r>
            <w:r>
              <w:rPr>
                <w:rFonts w:ascii="Arial" w:hAnsi="Arial" w:cs="Arial"/>
                <w:sz w:val="20"/>
                <w:szCs w:val="20"/>
              </w:rPr>
              <w:t>pramonės ir sandėliavimo</w:t>
            </w:r>
            <w:r w:rsidRPr="002E15B1">
              <w:rPr>
                <w:rFonts w:ascii="Arial" w:hAnsi="Arial" w:cs="Arial"/>
                <w:sz w:val="20"/>
                <w:szCs w:val="20"/>
              </w:rPr>
              <w:t xml:space="preserve">; </w:t>
            </w:r>
          </w:p>
          <w:p w14:paraId="5634F34C" w14:textId="77777777" w:rsidR="005F63F2" w:rsidRPr="002E15B1" w:rsidRDefault="005F63F2" w:rsidP="005F63F2">
            <w:pPr>
              <w:tabs>
                <w:tab w:val="left" w:pos="851"/>
              </w:tabs>
              <w:jc w:val="both"/>
              <w:rPr>
                <w:rFonts w:ascii="Arial" w:hAnsi="Arial" w:cs="Arial"/>
                <w:sz w:val="20"/>
                <w:szCs w:val="20"/>
              </w:rPr>
            </w:pPr>
            <w:r w:rsidRPr="002E15B1">
              <w:rPr>
                <w:rFonts w:ascii="Arial" w:hAnsi="Arial" w:cs="Arial"/>
                <w:sz w:val="20"/>
                <w:szCs w:val="20"/>
                <w:u w:val="single"/>
              </w:rPr>
              <w:t>statinių pogrupis</w:t>
            </w:r>
            <w:r w:rsidRPr="002E15B1">
              <w:rPr>
                <w:rFonts w:ascii="Arial" w:hAnsi="Arial" w:cs="Arial"/>
                <w:sz w:val="20"/>
                <w:szCs w:val="20"/>
              </w:rPr>
              <w:t xml:space="preserve">: </w:t>
            </w:r>
            <w:r>
              <w:rPr>
                <w:rFonts w:ascii="Arial" w:hAnsi="Arial" w:cs="Arial"/>
                <w:sz w:val="20"/>
                <w:szCs w:val="20"/>
              </w:rPr>
              <w:t>energetikos</w:t>
            </w:r>
            <w:r w:rsidRPr="002E15B1">
              <w:rPr>
                <w:rFonts w:ascii="Arial" w:hAnsi="Arial" w:cs="Arial"/>
                <w:sz w:val="20"/>
                <w:szCs w:val="20"/>
              </w:rPr>
              <w:t>.</w:t>
            </w:r>
          </w:p>
          <w:p w14:paraId="48669455" w14:textId="77777777" w:rsidR="005F63F2" w:rsidRPr="002E15B1" w:rsidRDefault="005F63F2" w:rsidP="005F63F2">
            <w:pPr>
              <w:jc w:val="both"/>
              <w:rPr>
                <w:rFonts w:ascii="Arial" w:hAnsi="Arial" w:cs="Arial"/>
                <w:sz w:val="20"/>
                <w:szCs w:val="20"/>
              </w:rPr>
            </w:pPr>
            <w:r w:rsidRPr="002E15B1">
              <w:rPr>
                <w:rFonts w:ascii="Arial" w:hAnsi="Arial" w:cs="Arial"/>
                <w:sz w:val="20"/>
                <w:szCs w:val="20"/>
                <w:u w:val="single"/>
              </w:rPr>
              <w:t>projekto dalys</w:t>
            </w:r>
            <w:r w:rsidRPr="002E15B1">
              <w:rPr>
                <w:rFonts w:ascii="Arial" w:hAnsi="Arial" w:cs="Arial"/>
                <w:sz w:val="20"/>
                <w:szCs w:val="20"/>
              </w:rPr>
              <w:t xml:space="preserve">: </w:t>
            </w:r>
          </w:p>
          <w:p w14:paraId="22556609" w14:textId="77777777" w:rsidR="005F63F2" w:rsidRPr="002E15B1" w:rsidRDefault="005F63F2" w:rsidP="005F63F2">
            <w:pPr>
              <w:jc w:val="both"/>
              <w:rPr>
                <w:rFonts w:ascii="Arial" w:hAnsi="Arial" w:cs="Arial"/>
                <w:sz w:val="20"/>
                <w:szCs w:val="20"/>
              </w:rPr>
            </w:pPr>
            <w:r w:rsidRPr="002E15B1">
              <w:rPr>
                <w:rFonts w:ascii="Arial" w:hAnsi="Arial" w:cs="Arial"/>
                <w:sz w:val="20"/>
                <w:szCs w:val="20"/>
              </w:rPr>
              <w:t>šilumos tiekimo;</w:t>
            </w:r>
          </w:p>
          <w:p w14:paraId="413822FD" w14:textId="77777777" w:rsidR="005F63F2" w:rsidRPr="002E15B1" w:rsidRDefault="005F63F2" w:rsidP="005F63F2">
            <w:pPr>
              <w:jc w:val="both"/>
              <w:rPr>
                <w:rFonts w:ascii="Arial" w:hAnsi="Arial" w:cs="Arial"/>
                <w:sz w:val="20"/>
                <w:szCs w:val="20"/>
              </w:rPr>
            </w:pPr>
            <w:r w:rsidRPr="002E15B1">
              <w:rPr>
                <w:rFonts w:ascii="Arial" w:hAnsi="Arial" w:cs="Arial"/>
                <w:sz w:val="20"/>
                <w:szCs w:val="20"/>
              </w:rPr>
              <w:t>konstrukcijų;</w:t>
            </w:r>
          </w:p>
          <w:p w14:paraId="21A314D6" w14:textId="77777777" w:rsidR="005F63F2" w:rsidRPr="002E15B1" w:rsidRDefault="005F63F2" w:rsidP="005F63F2">
            <w:pPr>
              <w:jc w:val="both"/>
              <w:rPr>
                <w:rFonts w:ascii="Arial" w:hAnsi="Arial" w:cs="Arial"/>
                <w:sz w:val="20"/>
                <w:szCs w:val="20"/>
              </w:rPr>
            </w:pPr>
            <w:r w:rsidRPr="002E15B1">
              <w:rPr>
                <w:rFonts w:ascii="Arial" w:hAnsi="Arial" w:cs="Arial"/>
                <w:sz w:val="20"/>
                <w:szCs w:val="20"/>
              </w:rPr>
              <w:t>vandentiekio ir nuotekų šalinimo;</w:t>
            </w:r>
          </w:p>
          <w:p w14:paraId="08630FD1" w14:textId="77777777" w:rsidR="005F63F2" w:rsidRPr="002E15B1" w:rsidRDefault="005F63F2" w:rsidP="005F63F2">
            <w:pPr>
              <w:jc w:val="both"/>
              <w:rPr>
                <w:rFonts w:ascii="Arial" w:hAnsi="Arial" w:cs="Arial"/>
                <w:sz w:val="20"/>
                <w:szCs w:val="20"/>
              </w:rPr>
            </w:pPr>
            <w:r w:rsidRPr="002E15B1">
              <w:rPr>
                <w:rFonts w:ascii="Arial" w:hAnsi="Arial" w:cs="Arial"/>
                <w:sz w:val="20"/>
                <w:szCs w:val="20"/>
              </w:rPr>
              <w:t>elektrotechnikos (iki 1 000 V įtampos);</w:t>
            </w:r>
          </w:p>
          <w:p w14:paraId="7F1E2591" w14:textId="5B626FA2" w:rsidR="005F63F2" w:rsidRPr="00F727B6" w:rsidRDefault="005F63F2" w:rsidP="005F63F2">
            <w:pPr>
              <w:tabs>
                <w:tab w:val="left" w:pos="851"/>
              </w:tabs>
              <w:jc w:val="both"/>
              <w:rPr>
                <w:rFonts w:ascii="Arial" w:hAnsi="Arial" w:cs="Arial"/>
                <w:sz w:val="20"/>
                <w:szCs w:val="20"/>
              </w:rPr>
            </w:pPr>
            <w:r w:rsidRPr="002E15B1">
              <w:rPr>
                <w:rFonts w:ascii="Arial" w:hAnsi="Arial" w:cs="Arial"/>
                <w:sz w:val="20"/>
                <w:szCs w:val="20"/>
              </w:rPr>
              <w:t>procesų valdymo ir automatizacijos.</w:t>
            </w:r>
          </w:p>
        </w:tc>
        <w:tc>
          <w:tcPr>
            <w:tcW w:w="992" w:type="dxa"/>
            <w:tcBorders>
              <w:left w:val="single" w:sz="4" w:space="0" w:color="auto"/>
              <w:right w:val="single" w:sz="4" w:space="0" w:color="auto"/>
            </w:tcBorders>
          </w:tcPr>
          <w:p w14:paraId="42942C54" w14:textId="20ADBC2D" w:rsidR="005F63F2" w:rsidRPr="005F63F2" w:rsidRDefault="005F63F2" w:rsidP="005F63F2">
            <w:pPr>
              <w:ind w:left="-14" w:firstLine="14"/>
              <w:contextualSpacing/>
              <w:rPr>
                <w:rFonts w:ascii="Arial" w:hAnsi="Arial" w:cs="Arial"/>
                <w:bCs/>
                <w:sz w:val="20"/>
                <w:szCs w:val="20"/>
              </w:rPr>
            </w:pPr>
            <w:r w:rsidRPr="005F63F2">
              <w:rPr>
                <w:rFonts w:ascii="Arial" w:hAnsi="Arial" w:cs="Arial"/>
                <w:sz w:val="20"/>
                <w:szCs w:val="20"/>
              </w:rPr>
              <w:t>2.2.</w:t>
            </w:r>
            <w:r w:rsidRPr="005F63F2">
              <w:rPr>
                <w:rFonts w:ascii="Arial" w:hAnsi="Arial" w:cs="Arial"/>
                <w:sz w:val="20"/>
                <w:szCs w:val="20"/>
              </w:rPr>
              <w:t xml:space="preserve">5 </w:t>
            </w:r>
            <w:r w:rsidRPr="005F63F2">
              <w:rPr>
                <w:rFonts w:ascii="Arial" w:hAnsi="Arial" w:cs="Arial"/>
                <w:sz w:val="20"/>
                <w:szCs w:val="20"/>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67B5"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878C0"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2A1B"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5150AFC3" w14:textId="77777777" w:rsidTr="00F73901">
        <w:tc>
          <w:tcPr>
            <w:tcW w:w="562" w:type="dxa"/>
            <w:tcBorders>
              <w:left w:val="single" w:sz="4" w:space="0" w:color="auto"/>
              <w:right w:val="single" w:sz="4" w:space="0" w:color="auto"/>
            </w:tcBorders>
            <w:shd w:val="clear" w:color="auto" w:fill="FFFFFF" w:themeFill="background1"/>
          </w:tcPr>
          <w:p w14:paraId="6313C88B" w14:textId="1B0245B3" w:rsidR="005F63F2" w:rsidRDefault="005F63F2" w:rsidP="005F63F2">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tcBorders>
              <w:top w:val="single" w:sz="4" w:space="0" w:color="auto"/>
              <w:left w:val="single" w:sz="4" w:space="0" w:color="auto"/>
              <w:bottom w:val="single" w:sz="4" w:space="0" w:color="auto"/>
              <w:right w:val="single" w:sz="4" w:space="0" w:color="auto"/>
            </w:tcBorders>
          </w:tcPr>
          <w:p w14:paraId="6A618838" w14:textId="241F9A7D" w:rsidR="005F63F2" w:rsidRPr="002E15B1" w:rsidRDefault="005F63F2" w:rsidP="005F63F2">
            <w:pPr>
              <w:tabs>
                <w:tab w:val="left" w:pos="851"/>
              </w:tabs>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pecialistas, kuriam suteikta teisė eiti suvirinimo darbų priežiūros meistro pareigas − vykdyti ir prižiūrėti suvirinimo darbus:</w:t>
            </w:r>
          </w:p>
          <w:p w14:paraId="09016972" w14:textId="3AB3BB8A" w:rsidR="005F63F2" w:rsidRPr="00F727B6" w:rsidRDefault="005F63F2" w:rsidP="005F63F2">
            <w:pPr>
              <w:tabs>
                <w:tab w:val="left" w:pos="851"/>
              </w:tabs>
              <w:jc w:val="both"/>
              <w:rPr>
                <w:rFonts w:ascii="Arial" w:hAnsi="Arial" w:cs="Arial"/>
                <w:sz w:val="20"/>
                <w:szCs w:val="20"/>
              </w:rPr>
            </w:pPr>
            <w:r w:rsidRPr="002E15B1">
              <w:rPr>
                <w:rFonts w:ascii="Arial" w:hAnsi="Arial" w:cs="Arial"/>
                <w:sz w:val="20"/>
                <w:szCs w:val="20"/>
                <w:u w:val="single"/>
              </w:rPr>
              <w:t>suvirinimo objektai</w:t>
            </w:r>
            <w:r w:rsidRPr="002E15B1">
              <w:rPr>
                <w:rFonts w:ascii="Arial" w:hAnsi="Arial" w:cs="Arial"/>
                <w:sz w:val="20"/>
                <w:szCs w:val="20"/>
              </w:rPr>
              <w:t>: talpos ir karšto vandens vamzdynai.</w:t>
            </w:r>
          </w:p>
        </w:tc>
        <w:tc>
          <w:tcPr>
            <w:tcW w:w="992" w:type="dxa"/>
            <w:tcBorders>
              <w:left w:val="single" w:sz="4" w:space="0" w:color="auto"/>
              <w:right w:val="single" w:sz="4" w:space="0" w:color="auto"/>
            </w:tcBorders>
          </w:tcPr>
          <w:p w14:paraId="1636F1F0" w14:textId="0853357F" w:rsidR="005F63F2" w:rsidRPr="005F63F2" w:rsidRDefault="005F63F2" w:rsidP="005F63F2">
            <w:pPr>
              <w:ind w:left="-14" w:firstLine="14"/>
              <w:contextualSpacing/>
              <w:rPr>
                <w:rFonts w:ascii="Arial" w:hAnsi="Arial" w:cs="Arial"/>
                <w:bCs/>
                <w:sz w:val="20"/>
                <w:szCs w:val="20"/>
              </w:rPr>
            </w:pPr>
            <w:r w:rsidRPr="005F63F2">
              <w:rPr>
                <w:rFonts w:ascii="Arial" w:hAnsi="Arial" w:cs="Arial"/>
                <w:sz w:val="20"/>
                <w:szCs w:val="20"/>
              </w:rPr>
              <w:t>2.2.</w:t>
            </w:r>
            <w:r w:rsidRPr="005F63F2">
              <w:rPr>
                <w:rFonts w:ascii="Arial" w:hAnsi="Arial" w:cs="Arial"/>
                <w:sz w:val="20"/>
                <w:szCs w:val="20"/>
              </w:rPr>
              <w:t>6</w:t>
            </w:r>
            <w:r w:rsidRPr="005F63F2">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4E84"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EFD"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1EEC01" w14:textId="77777777" w:rsidR="005F63F2" w:rsidRPr="00C12403" w:rsidRDefault="005F63F2" w:rsidP="005F63F2">
            <w:pPr>
              <w:rPr>
                <w:rFonts w:ascii="Arial" w:eastAsia="Arial Unicode MS" w:hAnsi="Arial" w:cs="Arial"/>
                <w:sz w:val="20"/>
                <w:szCs w:val="20"/>
                <w:highlight w:val="green"/>
                <w:bdr w:val="none" w:sz="0" w:space="0" w:color="auto" w:frame="1"/>
              </w:rPr>
            </w:pPr>
          </w:p>
        </w:tc>
      </w:tr>
      <w:tr w:rsidR="005F63F2" w:rsidRPr="00C12403" w14:paraId="1E867291" w14:textId="77777777" w:rsidTr="00F73901">
        <w:tc>
          <w:tcPr>
            <w:tcW w:w="562" w:type="dxa"/>
            <w:tcBorders>
              <w:left w:val="single" w:sz="4" w:space="0" w:color="auto"/>
              <w:right w:val="single" w:sz="4" w:space="0" w:color="auto"/>
            </w:tcBorders>
            <w:shd w:val="clear" w:color="auto" w:fill="FFFFFF" w:themeFill="background1"/>
          </w:tcPr>
          <w:p w14:paraId="1FBFF254" w14:textId="7FCEF1D6" w:rsidR="005F63F2" w:rsidRDefault="005F63F2" w:rsidP="005F63F2">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tcBorders>
              <w:top w:val="single" w:sz="4" w:space="0" w:color="auto"/>
              <w:left w:val="single" w:sz="4" w:space="0" w:color="auto"/>
              <w:bottom w:val="single" w:sz="4" w:space="0" w:color="auto"/>
              <w:right w:val="single" w:sz="4" w:space="0" w:color="auto"/>
            </w:tcBorders>
          </w:tcPr>
          <w:p w14:paraId="21C04EE5" w14:textId="1362FC46" w:rsidR="005F63F2" w:rsidRPr="00F727B6" w:rsidRDefault="005F63F2" w:rsidP="005F63F2">
            <w:pPr>
              <w:tabs>
                <w:tab w:val="left" w:pos="851"/>
              </w:tabs>
              <w:jc w:val="both"/>
              <w:rPr>
                <w:rFonts w:ascii="Arial" w:hAnsi="Arial" w:cs="Arial"/>
                <w:sz w:val="20"/>
                <w:szCs w:val="20"/>
              </w:rPr>
            </w:pPr>
            <w:r>
              <w:rPr>
                <w:rFonts w:ascii="Arial" w:hAnsi="Arial" w:cs="Arial"/>
                <w:sz w:val="20"/>
                <w:szCs w:val="20"/>
              </w:rPr>
              <w:t>S</w:t>
            </w:r>
            <w:r w:rsidRPr="002E15B1">
              <w:rPr>
                <w:rFonts w:ascii="Arial" w:hAnsi="Arial" w:cs="Arial"/>
                <w:sz w:val="20"/>
                <w:szCs w:val="20"/>
              </w:rPr>
              <w:t>pecialista</w:t>
            </w:r>
            <w:r w:rsidRPr="6A4E2390">
              <w:rPr>
                <w:rFonts w:ascii="Arial" w:hAnsi="Arial" w:cs="Arial"/>
                <w:sz w:val="20"/>
                <w:szCs w:val="20"/>
              </w:rPr>
              <w:t>s</w:t>
            </w:r>
            <w:r w:rsidRPr="002E15B1">
              <w:rPr>
                <w:rFonts w:ascii="Arial" w:hAnsi="Arial" w:cs="Arial"/>
                <w:sz w:val="20"/>
                <w:szCs w:val="20"/>
              </w:rPr>
              <w:t xml:space="preserve"> </w:t>
            </w:r>
            <w:r w:rsidRPr="5350CDC9">
              <w:rPr>
                <w:rFonts w:ascii="Arial" w:hAnsi="Arial" w:cs="Arial"/>
                <w:sz w:val="20"/>
                <w:szCs w:val="20"/>
              </w:rPr>
              <w:t>turint</w:t>
            </w:r>
            <w:r w:rsidRPr="0E1CABC7">
              <w:rPr>
                <w:rFonts w:ascii="Arial" w:hAnsi="Arial" w:cs="Arial"/>
                <w:sz w:val="20"/>
                <w:szCs w:val="20"/>
              </w:rPr>
              <w:t>i</w:t>
            </w:r>
            <w:r w:rsidRPr="002E15B1">
              <w:rPr>
                <w:rFonts w:ascii="Arial" w:hAnsi="Arial" w:cs="Arial"/>
                <w:sz w:val="20"/>
                <w:szCs w:val="20"/>
              </w:rPr>
              <w:t xml:space="preserve">s suvirintojo kvalifikaciją pagal LST EN ISO 9606−1 </w:t>
            </w:r>
            <w:r w:rsidRPr="0E1CABC7">
              <w:rPr>
                <w:rFonts w:ascii="Arial" w:hAnsi="Arial" w:cs="Arial"/>
                <w:sz w:val="20"/>
                <w:szCs w:val="20"/>
              </w:rPr>
              <w:t>(Lydomasis suvirinimas. 1 dalis. Plienai)</w:t>
            </w:r>
            <w:r w:rsidRPr="002E15B1">
              <w:rPr>
                <w:rFonts w:ascii="Arial" w:hAnsi="Arial" w:cs="Arial"/>
                <w:sz w:val="20"/>
                <w:szCs w:val="20"/>
              </w:rPr>
              <w:t xml:space="preserve"> ar lygiavertį standartą</w:t>
            </w:r>
            <w:r>
              <w:rPr>
                <w:rFonts w:ascii="Arial" w:hAnsi="Arial" w:cs="Arial"/>
                <w:sz w:val="20"/>
                <w:szCs w:val="20"/>
              </w:rPr>
              <w:t>.</w:t>
            </w:r>
          </w:p>
        </w:tc>
        <w:tc>
          <w:tcPr>
            <w:tcW w:w="992" w:type="dxa"/>
            <w:tcBorders>
              <w:left w:val="single" w:sz="4" w:space="0" w:color="auto"/>
              <w:right w:val="single" w:sz="4" w:space="0" w:color="auto"/>
            </w:tcBorders>
          </w:tcPr>
          <w:p w14:paraId="699F5A84" w14:textId="2E308137" w:rsidR="005F63F2" w:rsidRPr="005F63F2" w:rsidRDefault="005F63F2" w:rsidP="005F63F2">
            <w:pPr>
              <w:ind w:left="-14" w:firstLine="14"/>
              <w:contextualSpacing/>
              <w:rPr>
                <w:rFonts w:ascii="Arial" w:hAnsi="Arial" w:cs="Arial"/>
                <w:bCs/>
                <w:sz w:val="20"/>
                <w:szCs w:val="20"/>
              </w:rPr>
            </w:pPr>
            <w:r w:rsidRPr="005F63F2">
              <w:rPr>
                <w:rFonts w:ascii="Arial" w:hAnsi="Arial" w:cs="Arial"/>
                <w:sz w:val="20"/>
                <w:szCs w:val="20"/>
              </w:rPr>
              <w:t>2.2.</w:t>
            </w:r>
            <w:r w:rsidRPr="005F63F2">
              <w:rPr>
                <w:rFonts w:ascii="Arial" w:hAnsi="Arial" w:cs="Arial"/>
                <w:sz w:val="20"/>
                <w:szCs w:val="20"/>
              </w:rPr>
              <w:t>7</w:t>
            </w:r>
            <w:r w:rsidRPr="005F63F2">
              <w:rPr>
                <w:rFonts w:ascii="Arial" w:hAnsi="Arial" w:cs="Arial"/>
                <w:sz w:val="20"/>
                <w:szCs w:val="20"/>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60640E"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285C" w14:textId="77777777" w:rsidR="005F63F2" w:rsidRPr="00C12403" w:rsidRDefault="005F63F2" w:rsidP="005F63F2">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F889" w14:textId="77777777" w:rsidR="005F63F2" w:rsidRPr="00C12403" w:rsidRDefault="005F63F2" w:rsidP="005F63F2">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2EE30C" w14:textId="77777777" w:rsidR="005F63F2" w:rsidRDefault="005F63F2">
            <w:pPr>
              <w:ind w:right="-1" w:firstLine="322"/>
              <w:rPr>
                <w:rFonts w:ascii="Arial" w:eastAsia="Times New Roman" w:hAnsi="Arial" w:cs="Arial"/>
                <w:position w:val="6"/>
                <w:sz w:val="18"/>
                <w:szCs w:val="18"/>
              </w:rPr>
            </w:pPr>
          </w:p>
          <w:p w14:paraId="376AAF28" w14:textId="5774CED0"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66810C97" w14:textId="77777777" w:rsidR="005F63F2" w:rsidRDefault="005F63F2">
            <w:pPr>
              <w:jc w:val="center"/>
              <w:rPr>
                <w:rFonts w:ascii="Arial" w:eastAsia="Times New Roman" w:hAnsi="Arial" w:cs="Arial"/>
                <w:position w:val="6"/>
                <w:sz w:val="18"/>
                <w:szCs w:val="18"/>
              </w:rPr>
            </w:pPr>
          </w:p>
          <w:p w14:paraId="14028CCC" w14:textId="1CC902E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451AE6C" w14:textId="77777777" w:rsidR="005F63F2" w:rsidRDefault="005F63F2">
            <w:pPr>
              <w:jc w:val="center"/>
              <w:rPr>
                <w:rFonts w:ascii="Arial" w:eastAsia="Times New Roman" w:hAnsi="Arial" w:cs="Arial"/>
                <w:position w:val="6"/>
                <w:sz w:val="18"/>
                <w:szCs w:val="18"/>
              </w:rPr>
            </w:pPr>
          </w:p>
          <w:p w14:paraId="75497D10" w14:textId="7FCCF14A"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D38C" w14:textId="77777777" w:rsidR="00D35E19" w:rsidRDefault="00D35E19" w:rsidP="00BD242C">
      <w:r>
        <w:separator/>
      </w:r>
    </w:p>
  </w:endnote>
  <w:endnote w:type="continuationSeparator" w:id="0">
    <w:p w14:paraId="3792EC03" w14:textId="77777777" w:rsidR="00D35E19" w:rsidRDefault="00D35E19"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0FE7" w14:textId="77777777" w:rsidR="00D35E19" w:rsidRDefault="00D35E19" w:rsidP="00BD242C">
      <w:r>
        <w:separator/>
      </w:r>
    </w:p>
  </w:footnote>
  <w:footnote w:type="continuationSeparator" w:id="0">
    <w:p w14:paraId="125C2D99" w14:textId="77777777" w:rsidR="00D35E19" w:rsidRDefault="00D35E19"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0E7C48"/>
    <w:rsid w:val="001003F3"/>
    <w:rsid w:val="00113ED1"/>
    <w:rsid w:val="00113FFE"/>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01C60"/>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70F53"/>
    <w:rsid w:val="0059102C"/>
    <w:rsid w:val="005A1D7E"/>
    <w:rsid w:val="005B20AA"/>
    <w:rsid w:val="005B213F"/>
    <w:rsid w:val="005B2A5E"/>
    <w:rsid w:val="005B57A3"/>
    <w:rsid w:val="005C63C6"/>
    <w:rsid w:val="005F0CD9"/>
    <w:rsid w:val="005F63F2"/>
    <w:rsid w:val="005F7E9A"/>
    <w:rsid w:val="00600068"/>
    <w:rsid w:val="00611D3C"/>
    <w:rsid w:val="00623349"/>
    <w:rsid w:val="00625661"/>
    <w:rsid w:val="00646E15"/>
    <w:rsid w:val="006470CE"/>
    <w:rsid w:val="00665AD4"/>
    <w:rsid w:val="00671EB1"/>
    <w:rsid w:val="00674722"/>
    <w:rsid w:val="006A21AE"/>
    <w:rsid w:val="006B7BC5"/>
    <w:rsid w:val="006C3913"/>
    <w:rsid w:val="006E7B91"/>
    <w:rsid w:val="00711795"/>
    <w:rsid w:val="00750D73"/>
    <w:rsid w:val="007850E4"/>
    <w:rsid w:val="00787773"/>
    <w:rsid w:val="007A6850"/>
    <w:rsid w:val="007B5730"/>
    <w:rsid w:val="007B6302"/>
    <w:rsid w:val="007D2719"/>
    <w:rsid w:val="007D3109"/>
    <w:rsid w:val="007E60A6"/>
    <w:rsid w:val="007E7362"/>
    <w:rsid w:val="007E74B1"/>
    <w:rsid w:val="0081269D"/>
    <w:rsid w:val="00812D97"/>
    <w:rsid w:val="00843D6C"/>
    <w:rsid w:val="008A45F3"/>
    <w:rsid w:val="008A6216"/>
    <w:rsid w:val="008A6450"/>
    <w:rsid w:val="008B4C37"/>
    <w:rsid w:val="008C16E0"/>
    <w:rsid w:val="008C376F"/>
    <w:rsid w:val="008D4888"/>
    <w:rsid w:val="008E0EB3"/>
    <w:rsid w:val="00900642"/>
    <w:rsid w:val="00904F96"/>
    <w:rsid w:val="009147DD"/>
    <w:rsid w:val="00920B55"/>
    <w:rsid w:val="00920C71"/>
    <w:rsid w:val="00927A53"/>
    <w:rsid w:val="00934CA6"/>
    <w:rsid w:val="00957142"/>
    <w:rsid w:val="00961709"/>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A5E18"/>
    <w:rsid w:val="00AB699B"/>
    <w:rsid w:val="00AC1FFA"/>
    <w:rsid w:val="00AC676C"/>
    <w:rsid w:val="00B11E83"/>
    <w:rsid w:val="00B1201C"/>
    <w:rsid w:val="00B13A8D"/>
    <w:rsid w:val="00B16494"/>
    <w:rsid w:val="00B40554"/>
    <w:rsid w:val="00B571C2"/>
    <w:rsid w:val="00B84C71"/>
    <w:rsid w:val="00B959DA"/>
    <w:rsid w:val="00BA684F"/>
    <w:rsid w:val="00BD0215"/>
    <w:rsid w:val="00BD242C"/>
    <w:rsid w:val="00C06FDB"/>
    <w:rsid w:val="00C12403"/>
    <w:rsid w:val="00C21F4A"/>
    <w:rsid w:val="00C2541F"/>
    <w:rsid w:val="00C42851"/>
    <w:rsid w:val="00C83C35"/>
    <w:rsid w:val="00CC209B"/>
    <w:rsid w:val="00CC2E43"/>
    <w:rsid w:val="00CD37DB"/>
    <w:rsid w:val="00D1115D"/>
    <w:rsid w:val="00D16C6E"/>
    <w:rsid w:val="00D30AEA"/>
    <w:rsid w:val="00D35E19"/>
    <w:rsid w:val="00D43566"/>
    <w:rsid w:val="00D507A1"/>
    <w:rsid w:val="00D545AF"/>
    <w:rsid w:val="00D73C4D"/>
    <w:rsid w:val="00D75DB8"/>
    <w:rsid w:val="00D77DFE"/>
    <w:rsid w:val="00D81958"/>
    <w:rsid w:val="00DB173C"/>
    <w:rsid w:val="00DB21D4"/>
    <w:rsid w:val="00DB7041"/>
    <w:rsid w:val="00DC03AE"/>
    <w:rsid w:val="00DD1E4C"/>
    <w:rsid w:val="00DD32CE"/>
    <w:rsid w:val="00DF7B3D"/>
    <w:rsid w:val="00E76391"/>
    <w:rsid w:val="00E918D1"/>
    <w:rsid w:val="00EA4FD2"/>
    <w:rsid w:val="00EA511B"/>
    <w:rsid w:val="00EB2399"/>
    <w:rsid w:val="00EB4CF0"/>
    <w:rsid w:val="00EE50AE"/>
    <w:rsid w:val="00EF3D3B"/>
    <w:rsid w:val="00F123C8"/>
    <w:rsid w:val="00F3404D"/>
    <w:rsid w:val="00F55552"/>
    <w:rsid w:val="00F67E16"/>
    <w:rsid w:val="00F727B6"/>
    <w:rsid w:val="00F806FD"/>
    <w:rsid w:val="00F916C5"/>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2042</Words>
  <Characters>1164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2025-12-29T11:56:00Z</dcterms:created>
  <dcterms:modified xsi:type="dcterms:W3CDTF">2025-12-29T11:56:00Z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