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7350A7E2" w14:textId="43D17404" w:rsidR="00D526C8" w:rsidRPr="00DD6662" w:rsidRDefault="00133CA7" w:rsidP="00E61757">
          <w:pPr>
            <w:spacing w:line="240" w:lineRule="auto"/>
            <w:ind w:left="567" w:firstLine="0"/>
            <w:contextualSpacing/>
            <w:jc w:val="center"/>
            <w:rPr>
              <w:rFonts w:cstheme="minorHAnsi"/>
              <w:b/>
              <w:bCs/>
              <w:sz w:val="28"/>
              <w:szCs w:val="28"/>
            </w:rPr>
          </w:pPr>
          <w:r w:rsidRPr="00EE2C0C">
            <w:rPr>
              <w:rFonts w:cstheme="minorHAnsi"/>
              <w:b/>
              <w:bCs/>
              <w:sz w:val="28"/>
              <w:szCs w:val="28"/>
            </w:rPr>
            <w:t>KLAIPĖDOS MIESTO SAVIVALDYBĖS ADMINISTRACIJ</w:t>
          </w:r>
          <w:r w:rsidR="00DD6662">
            <w:rPr>
              <w:rFonts w:cstheme="minorHAnsi"/>
              <w:b/>
              <w:bCs/>
              <w:sz w:val="28"/>
              <w:szCs w:val="28"/>
            </w:rPr>
            <w:t>A</w:t>
          </w:r>
        </w:p>
        <w:p w14:paraId="1D1BF965" w14:textId="2168BC02" w:rsidR="00D526C8" w:rsidRPr="00255176" w:rsidRDefault="00C006CB" w:rsidP="00E61757">
          <w:pPr>
            <w:spacing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255176" w:rsidRPr="00E22092">
            <w:rPr>
              <w:rFonts w:cstheme="minorHAnsi"/>
              <w:b/>
              <w:bCs/>
              <w:sz w:val="28"/>
              <w:szCs w:val="28"/>
            </w:rPr>
            <w:t>„</w:t>
          </w:r>
          <w:r w:rsidR="00E61757" w:rsidRPr="00E61757">
            <w:rPr>
              <w:rFonts w:cstheme="minorHAnsi"/>
              <w:b/>
              <w:bCs/>
              <w:sz w:val="28"/>
              <w:szCs w:val="28"/>
            </w:rPr>
            <w:t>KLAIPĖDOS MIESTO INFORMACINIŲ OBJEKTŲ ĮRENGIMAS IR REMONTO PASLAUGOS</w:t>
          </w:r>
          <w:r w:rsidR="00B46642" w:rsidRPr="00E22092">
            <w:rPr>
              <w:rFonts w:cstheme="minorHAnsi"/>
              <w:b/>
              <w:bCs/>
              <w:sz w:val="28"/>
              <w:szCs w:val="28"/>
            </w:rPr>
            <w:t>“</w:t>
          </w:r>
        </w:p>
        <w:p w14:paraId="76C6D435" w14:textId="77777777" w:rsidR="00FC63B8" w:rsidRPr="004939D6" w:rsidDel="00FC63B8" w:rsidRDefault="00DF1318" w:rsidP="00E61757">
          <w:pPr>
            <w:spacing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E61757">
          <w:pPr>
            <w:spacing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C78129C"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31C7277" w14:textId="21752194" w:rsidR="00EB6CD6" w:rsidRDefault="00C01B06">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256025CF" w14:textId="05D9EFE4" w:rsidR="00EB6CD6" w:rsidRDefault="00C01B06">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6C656A">
                  <w:rPr>
                    <w:noProof/>
                    <w:webHidden/>
                  </w:rPr>
                  <w:t>0</w:t>
                </w:r>
                <w:r w:rsidR="00EB6CD6">
                  <w:rPr>
                    <w:noProof/>
                    <w:webHidden/>
                  </w:rPr>
                  <w:fldChar w:fldCharType="end"/>
                </w:r>
              </w:hyperlink>
            </w:p>
            <w:p w14:paraId="7497434C" w14:textId="3FCAE1B0" w:rsidR="00EB6CD6" w:rsidRDefault="00C01B06">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69FDB74A" w14:textId="07D7E703" w:rsidR="00EB6CD6" w:rsidRDefault="00C01B06">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6C656A">
                  <w:rPr>
                    <w:noProof/>
                    <w:webHidden/>
                  </w:rPr>
                  <w:t>1</w:t>
                </w:r>
                <w:r w:rsidR="00EB6CD6">
                  <w:rPr>
                    <w:noProof/>
                    <w:webHidden/>
                  </w:rPr>
                  <w:fldChar w:fldCharType="end"/>
                </w:r>
              </w:hyperlink>
            </w:p>
            <w:p w14:paraId="456D7550" w14:textId="4AA24D94" w:rsidR="00EB6CD6" w:rsidRDefault="00C01B06">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133A5954" w14:textId="0A68695A" w:rsidR="00EB6CD6" w:rsidRDefault="00C01B06">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081A822" w14:textId="6F9DC5FF" w:rsidR="00EB6CD6" w:rsidRDefault="00C01B06">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491BF82B" w14:textId="2FCE8CD6" w:rsidR="00EB6CD6" w:rsidRDefault="00C01B06">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6C656A">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C01B06"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4FE49281" w:rsidR="00020DD7" w:rsidRPr="00DD6662" w:rsidRDefault="0048754A" w:rsidP="00DD6662">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FC63B8" w:rsidRPr="00DD6662">
        <w:rPr>
          <w:rFonts w:cstheme="minorHAnsi"/>
        </w:rPr>
        <w:t>Klaipėdos miesto savivaldybės administracija</w:t>
      </w:r>
      <w:bookmarkEnd w:id="9"/>
      <w:r w:rsidR="00FB3C75" w:rsidRPr="00DD6662">
        <w:rPr>
          <w:rFonts w:cstheme="minorHAnsi"/>
        </w:rPr>
        <w:t xml:space="preserve">, juridinio asmens kodas </w:t>
      </w:r>
      <w:r w:rsidR="00E17109" w:rsidRPr="00DD6662">
        <w:rPr>
          <w:rFonts w:cstheme="minorHAnsi"/>
        </w:rPr>
        <w:t>188710823</w:t>
      </w:r>
      <w:r w:rsidR="00FB3C75" w:rsidRPr="00DD6662">
        <w:rPr>
          <w:rFonts w:cstheme="minorHAnsi"/>
        </w:rPr>
        <w:t xml:space="preserve">, adresas </w:t>
      </w:r>
      <w:r w:rsidR="00E17109" w:rsidRPr="00DD6662">
        <w:rPr>
          <w:rFonts w:cstheme="minorHAnsi"/>
        </w:rPr>
        <w:t>Liepų g. 11, 91502 Klaipėda</w:t>
      </w:r>
      <w:r w:rsidR="00FB3C75" w:rsidRPr="00DD6662">
        <w:rPr>
          <w:rFonts w:cstheme="minorHAnsi"/>
        </w:rPr>
        <w:t xml:space="preserve">. </w:t>
      </w:r>
      <w:r w:rsidR="4A61FFE7" w:rsidRPr="00DD6662">
        <w:rPr>
          <w:rFonts w:cstheme="minorHAnsi"/>
        </w:rPr>
        <w:t>P</w:t>
      </w:r>
      <w:r w:rsidR="00020176" w:rsidRPr="00DD6662">
        <w:rPr>
          <w:rFonts w:cstheme="minorHAnsi"/>
        </w:rPr>
        <w:t>erkančioji organizacija</w:t>
      </w:r>
      <w:r w:rsidR="00FB3C75" w:rsidRPr="00DD6662">
        <w:rPr>
          <w:rFonts w:cstheme="minorHAnsi"/>
        </w:rPr>
        <w:t xml:space="preserve"> </w:t>
      </w:r>
      <w:r w:rsidR="00E17109" w:rsidRPr="00DD6662">
        <w:rPr>
          <w:rFonts w:cstheme="minorHAnsi"/>
        </w:rPr>
        <w:t xml:space="preserve">nėra </w:t>
      </w:r>
      <w:r w:rsidR="00FB3C75" w:rsidRPr="00DD6662">
        <w:rPr>
          <w:rFonts w:cstheme="minorHAnsi"/>
        </w:rPr>
        <w:t>PVM mokėtoja.</w:t>
      </w:r>
      <w:r w:rsidR="00A56E33" w:rsidRPr="00DD6662">
        <w:rPr>
          <w:rFonts w:eastAsia="Calibri" w:cstheme="minorHAnsi"/>
        </w:rPr>
        <w:t xml:space="preserve"> </w:t>
      </w:r>
    </w:p>
    <w:p w14:paraId="5E2D2E8C" w14:textId="1D4B17B0" w:rsidR="00133CA7" w:rsidRPr="00B30914"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D6662" w:rsidRPr="00B30914">
        <w:rPr>
          <w:rFonts w:cstheme="minorHAnsi"/>
        </w:rPr>
        <w:t>CPO LT kataloge nėra perkamo objekto</w:t>
      </w:r>
      <w:r w:rsidRPr="00B30914">
        <w:rPr>
          <w:rFonts w:cstheme="minorHAnsi"/>
        </w:rPr>
        <w:t xml:space="preserve">.  </w:t>
      </w:r>
    </w:p>
    <w:p w14:paraId="0366E248" w14:textId="77777777" w:rsidR="00F80C08"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sudaroma.</w:t>
      </w:r>
    </w:p>
    <w:p w14:paraId="77437840" w14:textId="7CB09238" w:rsidR="0048754A" w:rsidRPr="00F80C08" w:rsidRDefault="00091F01" w:rsidP="00F80C08">
      <w:pPr>
        <w:pStyle w:val="Sraopastraipa"/>
        <w:numPr>
          <w:ilvl w:val="1"/>
          <w:numId w:val="8"/>
        </w:numPr>
        <w:spacing w:line="240" w:lineRule="auto"/>
        <w:ind w:left="0" w:firstLine="710"/>
        <w:rPr>
          <w:rFonts w:cstheme="minorHAnsi"/>
        </w:rPr>
      </w:pPr>
      <w:r w:rsidRPr="0048754A">
        <w:rPr>
          <w:rFonts w:cstheme="minorHAnsi"/>
        </w:rPr>
        <w:t xml:space="preserve"> </w:t>
      </w:r>
      <w:r w:rsidR="00F80C08" w:rsidRPr="00F80C08">
        <w:rPr>
          <w:rFonts w:cstheme="minorHAnsi"/>
        </w:rPr>
        <w:t xml:space="preserve">Atliekamas žaliasis pirkimas. Pirkimas vykdomas vadovaujantis </w:t>
      </w:r>
      <w:hyperlink r:id="rId15" w:history="1">
        <w:r w:rsidR="00F80C08" w:rsidRPr="00F80C08">
          <w:rPr>
            <w:rStyle w:val="Hipersaitas"/>
            <w:rFonts w:cstheme="minorHAnsi"/>
          </w:rPr>
          <w:t>Lietuvos Respublikos aplinkos ministro 2011 m. birželio 28 d. įsakymu Nr. D1-508 „Dėl aplinkos apsaugos kriterijų taikymo, vykdant žaliuosius pirkimus, tvarkos aprašo patvirtinimo“</w:t>
        </w:r>
      </w:hyperlink>
      <w:r w:rsidR="00F80C08" w:rsidRPr="00F80C08">
        <w:rPr>
          <w:rFonts w:cstheme="minorHAnsi"/>
        </w:rPr>
        <w:t xml:space="preserve"> </w:t>
      </w:r>
      <w:r w:rsidR="00D675E4" w:rsidRPr="00C01B06">
        <w:rPr>
          <w:rFonts w:cstheme="minorHAnsi"/>
        </w:rPr>
        <w:t>4.4.</w:t>
      </w:r>
      <w:r w:rsidR="00C01B06" w:rsidRPr="00C01B06">
        <w:rPr>
          <w:rFonts w:cstheme="minorHAnsi"/>
        </w:rPr>
        <w:t>4</w:t>
      </w:r>
      <w:r w:rsidR="00D675E4" w:rsidRPr="00C01B06">
        <w:rPr>
          <w:rFonts w:cstheme="minorHAnsi"/>
        </w:rPr>
        <w:t>.</w:t>
      </w:r>
      <w:r w:rsidR="00F80C08" w:rsidRPr="00C01B06">
        <w:rPr>
          <w:rFonts w:cstheme="minorHAnsi"/>
        </w:rPr>
        <w:t xml:space="preserve"> punktu</w:t>
      </w:r>
      <w:r w:rsidR="00F80C08" w:rsidRPr="00F80C08">
        <w:rPr>
          <w:rFonts w:cstheme="minorHAnsi"/>
        </w:rPr>
        <w:t>. Aplinkos apaugos kriterijai nustatyti Aplinkos apaugos kriterijai nustatyti sutarties vykdymo sąlygose (4 priedas)</w:t>
      </w:r>
      <w:r w:rsidR="00F80C08">
        <w:rPr>
          <w:rFonts w:cstheme="minorHAnsi"/>
        </w:rPr>
        <w:t>.</w:t>
      </w:r>
      <w:r w:rsidR="0048754A" w:rsidRPr="00B06C35">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E66CC33" w:rsidR="00FB3C75" w:rsidRPr="00EA6190" w:rsidRDefault="4A330118" w:rsidP="00002550">
      <w:pPr>
        <w:pStyle w:val="Betarp"/>
        <w:numPr>
          <w:ilvl w:val="1"/>
          <w:numId w:val="7"/>
        </w:numPr>
        <w:tabs>
          <w:tab w:val="left" w:pos="1134"/>
        </w:tabs>
        <w:spacing w:after="120"/>
        <w:ind w:left="0" w:firstLine="709"/>
        <w:contextualSpacing/>
        <w:rPr>
          <w:rFonts w:eastAsia="Calibri" w:cstheme="minorHAnsi"/>
          <w:b/>
          <w:color w:val="00B05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61757" w:rsidRPr="00E61757">
        <w:rPr>
          <w:rFonts w:eastAsia="Calibri" w:cstheme="minorHAnsi"/>
        </w:rPr>
        <w:t>Klaipėdos miesto informacinių objektų įrengim</w:t>
      </w:r>
      <w:r w:rsidR="00E61757">
        <w:rPr>
          <w:rFonts w:eastAsia="Calibri" w:cstheme="minorHAnsi"/>
        </w:rPr>
        <w:t>ą</w:t>
      </w:r>
      <w:r w:rsidR="00E61757" w:rsidRPr="00E61757">
        <w:rPr>
          <w:rFonts w:eastAsia="Calibri" w:cstheme="minorHAnsi"/>
        </w:rPr>
        <w:t xml:space="preserve"> ir remonto paslaug</w:t>
      </w:r>
      <w:r w:rsidR="00E61757">
        <w:rPr>
          <w:rFonts w:eastAsia="Calibri" w:cstheme="minorHAnsi"/>
        </w:rPr>
        <w:t>a</w:t>
      </w:r>
      <w:r w:rsidR="00E61757" w:rsidRPr="00E61757">
        <w:rPr>
          <w:rFonts w:eastAsia="Calibri" w:cstheme="minorHAnsi"/>
        </w:rPr>
        <w:t>s</w:t>
      </w:r>
      <w:r w:rsidR="00FB3C75" w:rsidRPr="00002550">
        <w:rPr>
          <w:rFonts w:eastAsia="Calibri" w:cstheme="minorHAnsi"/>
        </w:rPr>
        <w:t>.</w:t>
      </w:r>
      <w:r w:rsidR="00FB3C75" w:rsidRPr="00002550">
        <w:rPr>
          <w:rFonts w:cstheme="minorHAnsi"/>
        </w:rPr>
        <w:t xml:space="preserve"> Reikalavimai </w:t>
      </w:r>
      <w:r w:rsidR="00966703" w:rsidRPr="00002550">
        <w:rPr>
          <w:rFonts w:cstheme="minorHAnsi"/>
        </w:rPr>
        <w:t>p</w:t>
      </w:r>
      <w:r w:rsidR="00FB3C75" w:rsidRPr="00002550">
        <w:rPr>
          <w:rFonts w:cstheme="minorHAnsi"/>
        </w:rPr>
        <w:t>irkimo objektui nustatyti</w:t>
      </w:r>
      <w:r w:rsidR="00AE2AEF" w:rsidRPr="00002550">
        <w:rPr>
          <w:rFonts w:cstheme="minorHAnsi"/>
        </w:rPr>
        <w:t xml:space="preserve"> </w:t>
      </w:r>
      <w:r w:rsidR="00966703" w:rsidRPr="00002550">
        <w:rPr>
          <w:rFonts w:cstheme="minorHAnsi"/>
        </w:rPr>
        <w:t>s</w:t>
      </w:r>
      <w:r w:rsidR="00044836" w:rsidRPr="00002550">
        <w:rPr>
          <w:rFonts w:cstheme="minorHAnsi"/>
        </w:rPr>
        <w:t>pecialiųjų p</w:t>
      </w:r>
      <w:r w:rsidR="00AE2AEF" w:rsidRPr="00002550">
        <w:rPr>
          <w:rFonts w:cstheme="minorHAnsi"/>
        </w:rPr>
        <w:t xml:space="preserve">irkimo sąlygų </w:t>
      </w:r>
      <w:r w:rsidR="00002550" w:rsidRPr="0085402C">
        <w:rPr>
          <w:rFonts w:cstheme="minorHAnsi"/>
        </w:rPr>
        <w:t>1</w:t>
      </w:r>
      <w:r w:rsidR="00AE2AEF" w:rsidRPr="00002550">
        <w:rPr>
          <w:rFonts w:cstheme="minorHAnsi"/>
          <w:color w:val="00B050"/>
        </w:rPr>
        <w:t xml:space="preserve"> </w:t>
      </w:r>
      <w:r w:rsidR="00AE2AEF" w:rsidRPr="00002550">
        <w:rPr>
          <w:rFonts w:cstheme="minorHAnsi"/>
        </w:rPr>
        <w:t>priede.</w:t>
      </w:r>
      <w:r w:rsidR="00311511" w:rsidRPr="00311511">
        <w:rPr>
          <w:rFonts w:cstheme="minorHAnsi"/>
          <w:bCs/>
        </w:rPr>
        <w:t xml:space="preserve"> </w:t>
      </w:r>
      <w:r w:rsidR="00311511">
        <w:rPr>
          <w:rFonts w:cstheme="minorHAnsi"/>
          <w:bCs/>
        </w:rPr>
        <w:t xml:space="preserve">Preliminarus prekių </w:t>
      </w:r>
      <w:r w:rsidR="00C01B06">
        <w:rPr>
          <w:rFonts w:cstheme="minorHAnsi"/>
          <w:bCs/>
        </w:rPr>
        <w:t xml:space="preserve">ir paslaugų </w:t>
      </w:r>
      <w:r w:rsidR="00311511">
        <w:rPr>
          <w:rFonts w:cstheme="minorHAnsi"/>
          <w:bCs/>
        </w:rPr>
        <w:t xml:space="preserve">kiekis nurodytas konkurso sąlygų aprašo 3 priede, jis sutarties vykdymo metu pagal Perkančiosios organizacijos poreikį gali būti mažinamas arba didinamas. </w:t>
      </w:r>
      <w:r w:rsidR="00311511">
        <w:rPr>
          <w:rFonts w:cstheme="minorHAnsi"/>
          <w:b/>
        </w:rPr>
        <w:t xml:space="preserve">Maksimaliai sutarties vykdymo metu bus perkama </w:t>
      </w:r>
      <w:bookmarkStart w:id="12" w:name="_Hlk211602882"/>
      <w:r w:rsidR="00311511">
        <w:rPr>
          <w:rFonts w:cstheme="minorHAnsi"/>
          <w:b/>
        </w:rPr>
        <w:t>ne daugiau kaip už</w:t>
      </w:r>
      <w:r w:rsidR="00311511">
        <w:rPr>
          <w:rFonts w:cstheme="minorHAnsi"/>
          <w:bCs/>
        </w:rPr>
        <w:t xml:space="preserve"> </w:t>
      </w:r>
      <w:bookmarkEnd w:id="12"/>
      <w:r w:rsidR="00311511">
        <w:rPr>
          <w:rFonts w:cstheme="minorHAnsi"/>
          <w:b/>
        </w:rPr>
        <w:t>3</w:t>
      </w:r>
      <w:r w:rsidR="007879D2">
        <w:rPr>
          <w:rFonts w:cstheme="minorHAnsi"/>
          <w:b/>
        </w:rPr>
        <w:t>0</w:t>
      </w:r>
      <w:r w:rsidR="00311511">
        <w:rPr>
          <w:rFonts w:cstheme="minorHAnsi"/>
          <w:b/>
        </w:rPr>
        <w:t xml:space="preserve"> 000,00 Eur su PVM</w:t>
      </w:r>
      <w:r w:rsidR="00311511">
        <w:rPr>
          <w:rFonts w:cstheme="minorHAnsi"/>
          <w:bCs/>
        </w:rPr>
        <w:t xml:space="preserve"> (arba</w:t>
      </w:r>
      <w:r w:rsidR="00311511" w:rsidRPr="00311511">
        <w:rPr>
          <w:rFonts w:cstheme="minorHAnsi"/>
          <w:bCs/>
        </w:rPr>
        <w:t xml:space="preserve"> </w:t>
      </w:r>
      <w:r w:rsidR="007879D2" w:rsidRPr="007879D2">
        <w:rPr>
          <w:rFonts w:cstheme="minorHAnsi"/>
          <w:bCs/>
        </w:rPr>
        <w:t>24 793,39</w:t>
      </w:r>
      <w:r w:rsidR="007879D2">
        <w:rPr>
          <w:rFonts w:cstheme="minorHAnsi"/>
          <w:bCs/>
        </w:rPr>
        <w:t xml:space="preserve"> </w:t>
      </w:r>
      <w:r w:rsidR="00311511" w:rsidRPr="00311511">
        <w:rPr>
          <w:rFonts w:cstheme="minorHAnsi"/>
          <w:bCs/>
        </w:rPr>
        <w:t>Eur be PVM, jei tiekėjas yra ne PVM mokėtojas ar prekės neapmokestinamos PVM, ar dėl kitų priežasčių Perkančiosios organizacijos galutinė tiekėjui mokėtina suma bus be PVM).</w:t>
      </w:r>
      <w:r w:rsidR="00EA6190" w:rsidRPr="00EA6190">
        <w:t xml:space="preserve"> </w:t>
      </w:r>
      <w:r w:rsidR="00EA6190" w:rsidRPr="00EA6190">
        <w:rPr>
          <w:rFonts w:cstheme="minorHAnsi"/>
          <w:b/>
        </w:rPr>
        <w:t>Šią sumą viršijantys pasiūlymai bus laikomi nepriimtinais ir bus atmetami.</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5402C">
        <w:rPr>
          <w:rFonts w:cstheme="minorHAnsi"/>
        </w:rPr>
        <w:t>1</w:t>
      </w:r>
      <w:r w:rsidR="00702B7B" w:rsidRPr="0085402C">
        <w:rPr>
          <w:rFonts w:cstheme="minorHAnsi"/>
        </w:rPr>
        <w:t xml:space="preserve"> priede</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84234D">
        <w:rPr>
          <w:rFonts w:cstheme="minorHAnsi"/>
        </w:rPr>
        <w:t>2</w:t>
      </w:r>
      <w:r w:rsidRPr="0084234D">
        <w:rPr>
          <w:rFonts w:cstheme="minorHAnsi"/>
        </w:rPr>
        <w:t xml:space="preserve"> priede. </w:t>
      </w:r>
    </w:p>
    <w:p w14:paraId="317A11F7" w14:textId="0626C094" w:rsidR="00464D07" w:rsidRPr="0084234D" w:rsidRDefault="005D280D" w:rsidP="0084234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FF56114" w:rsidR="000C625C" w:rsidRPr="00F8218F" w:rsidRDefault="0084234D"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87AC5">
        <w:rPr>
          <w:rFonts w:cstheme="minorHAnsi"/>
        </w:rPr>
        <w:t>3</w:t>
      </w:r>
      <w:r w:rsidR="00D85943" w:rsidRPr="00887AC5">
        <w:rPr>
          <w:rFonts w:cstheme="minorHAnsi"/>
        </w:rPr>
        <w:t xml:space="preserve"> </w:t>
      </w:r>
      <w:r w:rsidR="008339CC" w:rsidRPr="00887AC5">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370755ED"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901F8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0FFF321F" w14:textId="66A6771F" w:rsidR="006831C4" w:rsidRDefault="007F65C2" w:rsidP="006831C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6831C4" w:rsidRPr="006831C4">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4B588853" w14:textId="77777777" w:rsidR="00887AC5" w:rsidRPr="004802BB" w:rsidRDefault="00887AC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887AC5" w:rsidRDefault="002B40CB" w:rsidP="00041762">
      <w:pPr>
        <w:pStyle w:val="Sraopastraipa"/>
        <w:spacing w:line="240" w:lineRule="auto"/>
        <w:ind w:left="0" w:firstLine="709"/>
        <w:rPr>
          <w:rFonts w:cstheme="minorHAnsi"/>
        </w:rPr>
      </w:pPr>
      <w:r w:rsidRPr="00041762">
        <w:rPr>
          <w:rFonts w:eastAsia="Calibri" w:cstheme="minorHAnsi"/>
        </w:rPr>
        <w:lastRenderedPageBreak/>
        <w:t>7.1</w:t>
      </w:r>
      <w:r w:rsidRPr="00887AC5">
        <w:rPr>
          <w:rFonts w:eastAsia="Calibri" w:cstheme="minorHAnsi"/>
        </w:rPr>
        <w:t xml:space="preserve">. </w:t>
      </w:r>
      <w:r w:rsidR="00B870A5" w:rsidRPr="00887AC5">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BEBA172" w:rsidR="00831133" w:rsidRPr="00887AC5" w:rsidRDefault="005A4255" w:rsidP="00887AC5">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87AC5">
        <w:rPr>
          <w:rFonts w:cstheme="minorHAnsi"/>
        </w:rPr>
        <w:t>3</w:t>
      </w:r>
      <w:r w:rsidR="00943B00" w:rsidRPr="00887AC5">
        <w:rPr>
          <w:rFonts w:cstheme="minorHAnsi"/>
        </w:rPr>
        <w:t xml:space="preserve"> </w:t>
      </w:r>
      <w:r w:rsidR="00DE051B" w:rsidRPr="00887AC5">
        <w:rPr>
          <w:rFonts w:cstheme="minorHAnsi"/>
        </w:rPr>
        <w:t>priede</w:t>
      </w:r>
      <w:r w:rsidR="00831133" w:rsidRPr="00887AC5">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887AC5">
        <w:rPr>
          <w:rFonts w:cstheme="minorHAnsi"/>
        </w:rPr>
        <w:t>4</w:t>
      </w:r>
      <w:r w:rsidR="00F56579" w:rsidRPr="00887AC5">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44CFC8A2" w14:textId="77777777" w:rsidR="001679BC" w:rsidRDefault="001679BC" w:rsidP="00D25A13">
      <w:pPr>
        <w:spacing w:line="240" w:lineRule="auto"/>
        <w:ind w:firstLine="0"/>
        <w:rPr>
          <w:rFonts w:cstheme="minorHAnsi"/>
        </w:rPr>
      </w:pPr>
    </w:p>
    <w:p w14:paraId="1DFF7932" w14:textId="7F63677C" w:rsidR="001679BC" w:rsidRDefault="001679BC" w:rsidP="00112F92">
      <w:pPr>
        <w:spacing w:line="240" w:lineRule="auto"/>
        <w:ind w:left="7314" w:firstLine="0"/>
        <w:rPr>
          <w:rFonts w:cstheme="minorHAnsi"/>
        </w:rPr>
      </w:pPr>
    </w:p>
    <w:p w14:paraId="2385EBF2" w14:textId="63B96BF8" w:rsidR="00545799" w:rsidRDefault="00545799" w:rsidP="00112F92">
      <w:pPr>
        <w:spacing w:line="240" w:lineRule="auto"/>
        <w:ind w:left="7314" w:firstLine="0"/>
        <w:rPr>
          <w:rFonts w:cstheme="minorHAnsi"/>
        </w:rPr>
      </w:pPr>
    </w:p>
    <w:p w14:paraId="5B6FE6C1" w14:textId="6EF455E6" w:rsidR="00545799" w:rsidRDefault="00545799" w:rsidP="00112F92">
      <w:pPr>
        <w:spacing w:line="240" w:lineRule="auto"/>
        <w:ind w:left="7314" w:firstLine="0"/>
        <w:rPr>
          <w:rFonts w:cstheme="minorHAnsi"/>
        </w:rPr>
      </w:pPr>
    </w:p>
    <w:p w14:paraId="2E9045F4" w14:textId="6FD85C9B" w:rsidR="00545799" w:rsidRDefault="00545799" w:rsidP="00112F92">
      <w:pPr>
        <w:spacing w:line="240" w:lineRule="auto"/>
        <w:ind w:left="7314" w:firstLine="0"/>
        <w:rPr>
          <w:rFonts w:cstheme="minorHAnsi"/>
        </w:rPr>
      </w:pPr>
    </w:p>
    <w:p w14:paraId="5A65A4A3" w14:textId="0869E4A6" w:rsidR="00545799" w:rsidRDefault="00545799" w:rsidP="00112F92">
      <w:pPr>
        <w:spacing w:line="240" w:lineRule="auto"/>
        <w:ind w:left="7314" w:firstLine="0"/>
        <w:rPr>
          <w:rFonts w:cstheme="minorHAnsi"/>
        </w:rPr>
      </w:pPr>
    </w:p>
    <w:p w14:paraId="61756934" w14:textId="7051D2DE" w:rsidR="00545799" w:rsidRDefault="00545799" w:rsidP="00112F92">
      <w:pPr>
        <w:spacing w:line="240" w:lineRule="auto"/>
        <w:ind w:left="7314" w:firstLine="0"/>
        <w:rPr>
          <w:rFonts w:cstheme="minorHAnsi"/>
        </w:rPr>
      </w:pPr>
    </w:p>
    <w:p w14:paraId="0E138CD5" w14:textId="1F0E765C" w:rsidR="00545799" w:rsidRDefault="00545799" w:rsidP="00112F92">
      <w:pPr>
        <w:spacing w:line="240" w:lineRule="auto"/>
        <w:ind w:left="7314" w:firstLine="0"/>
        <w:rPr>
          <w:rFonts w:cstheme="minorHAnsi"/>
        </w:rPr>
      </w:pPr>
    </w:p>
    <w:p w14:paraId="08DF7CFE" w14:textId="00CAE063" w:rsidR="00545799" w:rsidRDefault="00545799" w:rsidP="00112F92">
      <w:pPr>
        <w:spacing w:line="240" w:lineRule="auto"/>
        <w:ind w:left="7314" w:firstLine="0"/>
        <w:rPr>
          <w:rFonts w:cstheme="minorHAnsi"/>
        </w:rPr>
      </w:pPr>
    </w:p>
    <w:p w14:paraId="020EEDB7" w14:textId="11C23E5B" w:rsidR="00545799" w:rsidRDefault="00545799" w:rsidP="00112F92">
      <w:pPr>
        <w:spacing w:line="240" w:lineRule="auto"/>
        <w:ind w:left="7314" w:firstLine="0"/>
        <w:rPr>
          <w:rFonts w:cstheme="minorHAnsi"/>
        </w:rPr>
      </w:pPr>
    </w:p>
    <w:p w14:paraId="63DEE2DD" w14:textId="78B21382" w:rsidR="00545799" w:rsidRDefault="00545799" w:rsidP="00112F92">
      <w:pPr>
        <w:spacing w:line="240" w:lineRule="auto"/>
        <w:ind w:left="7314" w:firstLine="0"/>
        <w:rPr>
          <w:rFonts w:cstheme="minorHAnsi"/>
        </w:rPr>
      </w:pPr>
    </w:p>
    <w:p w14:paraId="62A354DD" w14:textId="2EFB9F31" w:rsidR="00545799" w:rsidRDefault="00545799" w:rsidP="00112F92">
      <w:pPr>
        <w:spacing w:line="240" w:lineRule="auto"/>
        <w:ind w:left="7314" w:firstLine="0"/>
        <w:rPr>
          <w:rFonts w:cstheme="minorHAnsi"/>
        </w:rPr>
      </w:pPr>
    </w:p>
    <w:p w14:paraId="0616ECC7" w14:textId="388636D4" w:rsidR="00545799" w:rsidRDefault="00545799" w:rsidP="00112F92">
      <w:pPr>
        <w:spacing w:line="240" w:lineRule="auto"/>
        <w:ind w:left="7314" w:firstLine="0"/>
        <w:rPr>
          <w:rFonts w:cstheme="minorHAnsi"/>
        </w:rPr>
      </w:pPr>
    </w:p>
    <w:p w14:paraId="0FF24720" w14:textId="5C9F3D83" w:rsidR="00545799" w:rsidRDefault="00545799" w:rsidP="00112F92">
      <w:pPr>
        <w:spacing w:line="240" w:lineRule="auto"/>
        <w:ind w:left="7314" w:firstLine="0"/>
        <w:rPr>
          <w:rFonts w:cstheme="minorHAnsi"/>
        </w:rPr>
      </w:pPr>
    </w:p>
    <w:p w14:paraId="6407AED8" w14:textId="15CB6FA9" w:rsidR="00545799" w:rsidRDefault="00545799" w:rsidP="00112F92">
      <w:pPr>
        <w:spacing w:line="240" w:lineRule="auto"/>
        <w:ind w:left="7314" w:firstLine="0"/>
        <w:rPr>
          <w:rFonts w:cstheme="minorHAnsi"/>
        </w:rPr>
      </w:pPr>
    </w:p>
    <w:p w14:paraId="38875C0B" w14:textId="3BE2EDEF" w:rsidR="00545799" w:rsidRDefault="00545799" w:rsidP="00112F92">
      <w:pPr>
        <w:spacing w:line="240" w:lineRule="auto"/>
        <w:ind w:left="7314" w:firstLine="0"/>
        <w:rPr>
          <w:rFonts w:cstheme="minorHAnsi"/>
        </w:rPr>
      </w:pPr>
    </w:p>
    <w:p w14:paraId="0BCEBECC" w14:textId="157A4AD7" w:rsidR="00545799" w:rsidRDefault="00545799" w:rsidP="00112F92">
      <w:pPr>
        <w:spacing w:line="240" w:lineRule="auto"/>
        <w:ind w:left="7314" w:firstLine="0"/>
        <w:rPr>
          <w:rFonts w:cstheme="minorHAnsi"/>
        </w:rPr>
      </w:pPr>
    </w:p>
    <w:p w14:paraId="0F95CC76" w14:textId="00D180BF" w:rsidR="00545799" w:rsidRDefault="00545799" w:rsidP="00112F92">
      <w:pPr>
        <w:spacing w:line="240" w:lineRule="auto"/>
        <w:ind w:left="7314" w:firstLine="0"/>
        <w:rPr>
          <w:rFonts w:cstheme="minorHAnsi"/>
        </w:rPr>
      </w:pPr>
    </w:p>
    <w:p w14:paraId="0044C382" w14:textId="690CF478" w:rsidR="00545799" w:rsidRDefault="00545799" w:rsidP="00112F92">
      <w:pPr>
        <w:spacing w:line="240" w:lineRule="auto"/>
        <w:ind w:left="7314" w:firstLine="0"/>
        <w:rPr>
          <w:rFonts w:cstheme="minorHAnsi"/>
        </w:rPr>
      </w:pPr>
    </w:p>
    <w:p w14:paraId="310B854F" w14:textId="2205F062" w:rsidR="00545799" w:rsidRDefault="00545799" w:rsidP="00112F92">
      <w:pPr>
        <w:spacing w:line="240" w:lineRule="auto"/>
        <w:ind w:left="7314" w:firstLine="0"/>
        <w:rPr>
          <w:rFonts w:cstheme="minorHAnsi"/>
        </w:rPr>
      </w:pPr>
    </w:p>
    <w:p w14:paraId="58E39A6B" w14:textId="2EA7EB44" w:rsidR="00545799" w:rsidRDefault="00545799" w:rsidP="00112F92">
      <w:pPr>
        <w:spacing w:line="240" w:lineRule="auto"/>
        <w:ind w:left="7314" w:firstLine="0"/>
        <w:rPr>
          <w:rFonts w:cstheme="minorHAnsi"/>
        </w:rPr>
      </w:pPr>
    </w:p>
    <w:p w14:paraId="7AF954DC" w14:textId="4A396EDD" w:rsidR="00545799" w:rsidRDefault="00545799" w:rsidP="00112F92">
      <w:pPr>
        <w:spacing w:line="240" w:lineRule="auto"/>
        <w:ind w:left="7314" w:firstLine="0"/>
        <w:rPr>
          <w:rFonts w:cstheme="minorHAnsi"/>
        </w:rPr>
      </w:pPr>
    </w:p>
    <w:p w14:paraId="185EE057" w14:textId="0AD12B19" w:rsidR="00545799" w:rsidRDefault="00545799" w:rsidP="00112F92">
      <w:pPr>
        <w:spacing w:line="240" w:lineRule="auto"/>
        <w:ind w:left="7314" w:firstLine="0"/>
        <w:rPr>
          <w:rFonts w:cstheme="minorHAnsi"/>
        </w:rPr>
      </w:pPr>
    </w:p>
    <w:p w14:paraId="156F081F" w14:textId="5F973CEA" w:rsidR="00545799" w:rsidRDefault="00545799" w:rsidP="00112F92">
      <w:pPr>
        <w:spacing w:line="240" w:lineRule="auto"/>
        <w:ind w:left="7314" w:firstLine="0"/>
        <w:rPr>
          <w:rFonts w:cstheme="minorHAnsi"/>
        </w:rPr>
      </w:pPr>
    </w:p>
    <w:p w14:paraId="4808CAED" w14:textId="145DD1D9" w:rsidR="00545799" w:rsidRDefault="00545799" w:rsidP="00112F92">
      <w:pPr>
        <w:spacing w:line="240" w:lineRule="auto"/>
        <w:ind w:left="7314" w:firstLine="0"/>
        <w:rPr>
          <w:rFonts w:cstheme="minorHAnsi"/>
        </w:rPr>
      </w:pPr>
    </w:p>
    <w:p w14:paraId="6E482CF3" w14:textId="77777777" w:rsidR="00545799" w:rsidRDefault="00545799"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5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76"/>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6F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11"/>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404"/>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A3"/>
    <w:rsid w:val="004D7B52"/>
    <w:rsid w:val="004D7DFA"/>
    <w:rsid w:val="004E00CC"/>
    <w:rsid w:val="004E05A2"/>
    <w:rsid w:val="004E07B2"/>
    <w:rsid w:val="004E0D09"/>
    <w:rsid w:val="004E13EA"/>
    <w:rsid w:val="004E1FB0"/>
    <w:rsid w:val="004E2171"/>
    <w:rsid w:val="004E2550"/>
    <w:rsid w:val="004E3415"/>
    <w:rsid w:val="004E378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799"/>
    <w:rsid w:val="00547265"/>
    <w:rsid w:val="00547443"/>
    <w:rsid w:val="00547F32"/>
    <w:rsid w:val="005505A6"/>
    <w:rsid w:val="005505BF"/>
    <w:rsid w:val="00550751"/>
    <w:rsid w:val="0055081A"/>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5D1"/>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CF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1C4"/>
    <w:rsid w:val="0068448B"/>
    <w:rsid w:val="00685C49"/>
    <w:rsid w:val="00687997"/>
    <w:rsid w:val="00687E47"/>
    <w:rsid w:val="0069058D"/>
    <w:rsid w:val="006912EA"/>
    <w:rsid w:val="00692635"/>
    <w:rsid w:val="00693C7B"/>
    <w:rsid w:val="00694911"/>
    <w:rsid w:val="006966D7"/>
    <w:rsid w:val="00696EED"/>
    <w:rsid w:val="0069761E"/>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56A"/>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745"/>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1B0"/>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9D2"/>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4D"/>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2C"/>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AC5"/>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8E"/>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04"/>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C35"/>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914"/>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B06"/>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0D9"/>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A13"/>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E4"/>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662"/>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09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757"/>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EE0"/>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190"/>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0C"/>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C0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E2209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2209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02259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1896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388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614489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8760</Words>
  <Characters>4994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13727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6</cp:revision>
  <cp:lastPrinted>2025-07-02T13:51:00Z</cp:lastPrinted>
  <dcterms:created xsi:type="dcterms:W3CDTF">2025-12-12T12:48:00Z</dcterms:created>
  <dcterms:modified xsi:type="dcterms:W3CDTF">2025-12-22T07:44:00Z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