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75BA2" w:rsidRDefault="79A52F8C" w:rsidP="79A52F8C">
      <w:pPr>
        <w:spacing w:after="120" w:line="20" w:lineRule="atLeast"/>
        <w:contextualSpacing/>
        <w:jc w:val="center"/>
        <w:rPr>
          <w:rFonts w:cstheme="minorHAnsi"/>
          <w:b/>
          <w:bCs/>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D75BA2" w:rsidRDefault="7D92ACDC" w:rsidP="004E4612">
          <w:pPr>
            <w:spacing w:after="120" w:line="20" w:lineRule="atLeast"/>
            <w:contextualSpacing/>
            <w:jc w:val="center"/>
            <w:rPr>
              <w:rFonts w:cstheme="minorHAnsi"/>
              <w:b/>
              <w:sz w:val="22"/>
              <w:szCs w:val="22"/>
            </w:rPr>
          </w:pPr>
          <w:r w:rsidRPr="00D75BA2">
            <w:rPr>
              <w:rFonts w:cstheme="minorHAnsi"/>
              <w:b/>
              <w:bCs/>
              <w:sz w:val="22"/>
              <w:szCs w:val="22"/>
            </w:rPr>
            <w:t>VILNIAUS MIESTO SAVIVALDYBĖS ADMINISTRACIJA</w:t>
          </w:r>
        </w:p>
        <w:p w14:paraId="2721BB57" w14:textId="537F7BFC" w:rsidR="00D526C8" w:rsidRPr="00D75BA2" w:rsidRDefault="791DA65D" w:rsidP="00EA4362">
          <w:pPr>
            <w:spacing w:after="120" w:line="20" w:lineRule="atLeast"/>
            <w:jc w:val="center"/>
            <w:rPr>
              <w:rFonts w:eastAsia="Calibri" w:cstheme="minorHAnsi"/>
              <w:sz w:val="22"/>
              <w:szCs w:val="22"/>
            </w:rPr>
          </w:pPr>
          <w:r w:rsidRPr="00D75BA2">
            <w:rPr>
              <w:rFonts w:cstheme="minorHAnsi"/>
              <w:sz w:val="22"/>
              <w:szCs w:val="22"/>
            </w:rPr>
            <w:t>Konstitucijos pr. 3, LT-09601 Vilnius</w:t>
          </w:r>
          <w:r w:rsidR="00414D9A" w:rsidRPr="00D75BA2">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51F4665A" w:rsidR="00D53BF4" w:rsidRPr="00682B25" w:rsidRDefault="003D62E8" w:rsidP="4D4E2759">
          <w:pPr>
            <w:spacing w:after="120" w:line="20" w:lineRule="atLeast"/>
            <w:ind w:left="5245"/>
            <w:contextualSpacing/>
            <w:rPr>
              <w:sz w:val="22"/>
              <w:szCs w:val="22"/>
            </w:rPr>
          </w:pPr>
          <w:r>
            <w:rPr>
              <w:i/>
              <w:iCs/>
              <w:color w:val="7030A0"/>
              <w:sz w:val="22"/>
              <w:szCs w:val="22"/>
            </w:rPr>
            <w:t>2025-12-30</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3A1C6E46" w:rsidR="00D526C8" w:rsidRPr="00D75BA2" w:rsidRDefault="007A130B" w:rsidP="004E4612">
          <w:pPr>
            <w:spacing w:after="120" w:line="20" w:lineRule="atLeast"/>
            <w:contextualSpacing/>
            <w:jc w:val="center"/>
            <w:rPr>
              <w:rFonts w:cstheme="minorHAnsi"/>
              <w:b/>
              <w:bCs/>
              <w:sz w:val="22"/>
              <w:szCs w:val="22"/>
            </w:rPr>
          </w:pPr>
          <w:r w:rsidRPr="00D75BA2">
            <w:rPr>
              <w:rFonts w:cstheme="minorHAnsi"/>
              <w:b/>
              <w:bCs/>
              <w:sz w:val="22"/>
              <w:szCs w:val="22"/>
            </w:rPr>
            <w:t>TARPTAUTIN</w:t>
          </w:r>
          <w:r w:rsidR="0069195A" w:rsidRPr="00D75BA2">
            <w:rPr>
              <w:rFonts w:cstheme="minorHAnsi"/>
              <w:b/>
              <w:bCs/>
              <w:sz w:val="22"/>
              <w:szCs w:val="22"/>
            </w:rPr>
            <w:t>ĖS VERTĖS</w:t>
          </w:r>
          <w:r w:rsidRPr="00D75BA2">
            <w:rPr>
              <w:rFonts w:cstheme="minorHAnsi"/>
              <w:b/>
              <w:bCs/>
              <w:sz w:val="22"/>
              <w:szCs w:val="22"/>
            </w:rPr>
            <w:t xml:space="preserve"> </w:t>
          </w:r>
          <w:r w:rsidR="00D526C8" w:rsidRPr="00D75BA2">
            <w:rPr>
              <w:rFonts w:cstheme="minorHAnsi"/>
              <w:b/>
              <w:bCs/>
              <w:sz w:val="22"/>
              <w:szCs w:val="22"/>
            </w:rPr>
            <w:t>VIEŠOJO PIRKIMO „</w:t>
          </w:r>
          <w:r w:rsidR="00F743D5" w:rsidRPr="00D75BA2">
            <w:rPr>
              <w:rFonts w:cstheme="minorHAnsi"/>
              <w:b/>
              <w:bCs/>
              <w:sz w:val="22"/>
              <w:szCs w:val="22"/>
            </w:rPr>
            <w:t xml:space="preserve">AP-63936-1 </w:t>
          </w:r>
          <w:r w:rsidR="00D75BA2" w:rsidRPr="00D75BA2">
            <w:rPr>
              <w:rFonts w:cstheme="minorHAnsi"/>
              <w:b/>
              <w:bCs/>
              <w:sz w:val="22"/>
              <w:szCs w:val="22"/>
            </w:rPr>
            <w:t xml:space="preserve">Reagentai ir papildomos priemonės infekcinės </w:t>
          </w:r>
          <w:proofErr w:type="spellStart"/>
          <w:r w:rsidR="00D75BA2" w:rsidRPr="00D75BA2">
            <w:rPr>
              <w:rFonts w:cstheme="minorHAnsi"/>
              <w:b/>
              <w:bCs/>
              <w:sz w:val="22"/>
              <w:szCs w:val="22"/>
            </w:rPr>
            <w:t>serologijos</w:t>
          </w:r>
          <w:proofErr w:type="spellEnd"/>
          <w:r w:rsidR="00D75BA2" w:rsidRPr="00D75BA2">
            <w:rPr>
              <w:rFonts w:cstheme="minorHAnsi"/>
              <w:b/>
              <w:bCs/>
              <w:sz w:val="22"/>
              <w:szCs w:val="22"/>
            </w:rPr>
            <w:t xml:space="preserve"> tyrimams atlikti su įrangos įsigijimu panaudos būdu</w:t>
          </w:r>
          <w:r w:rsidR="00D526C8" w:rsidRPr="00D75BA2">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5F303DBE"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D75BA2" w:rsidRPr="003D62E8">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25E6E27D"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4463A2F2" w:rsidR="00863B22" w:rsidRDefault="00863B22">
              <w:pPr>
                <w:pStyle w:val="Turinys2"/>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1644283D" w14:textId="609EA5AF" w:rsidR="00FA1ED5" w:rsidRDefault="00FA1ED5" w:rsidP="00FA1ED5">
              <w:pPr>
                <w:pStyle w:val="Turinys2"/>
                <w:ind w:firstLine="773"/>
              </w:pPr>
              <w:hyperlink w:anchor="_Toc195618405" w:history="1">
                <w:r w:rsidRPr="00AE150C">
                  <w:rPr>
                    <w:rStyle w:val="Hipersaitas"/>
                    <w:rFonts w:eastAsia="Calibri" w:cstheme="minorHAnsi"/>
                    <w:noProof/>
                  </w:rPr>
                  <w:t>Pirkimo sąlygų 2</w:t>
                </w:r>
                <w:r>
                  <w:rPr>
                    <w:rStyle w:val="Hipersaitas"/>
                    <w:rFonts w:eastAsia="Calibri" w:cstheme="minorHAnsi"/>
                    <w:noProof/>
                  </w:rPr>
                  <w:t>.1</w:t>
                </w:r>
                <w:r w:rsidRPr="00AE150C">
                  <w:rPr>
                    <w:rStyle w:val="Hipersaitas"/>
                    <w:rFonts w:eastAsia="Calibri" w:cstheme="minorHAnsi"/>
                    <w:noProof/>
                  </w:rPr>
                  <w:t xml:space="preserve"> priedas „</w:t>
                </w:r>
                <w:r>
                  <w:rPr>
                    <w:rStyle w:val="Hipersaitas"/>
                    <w:rFonts w:eastAsia="Calibri" w:cstheme="minorHAnsi"/>
                    <w:noProof/>
                  </w:rPr>
                  <w:t>Prekių t</w:t>
                </w:r>
                <w:r w:rsidRPr="00AE150C">
                  <w:rPr>
                    <w:rStyle w:val="Hipersaitas"/>
                    <w:rFonts w:eastAsia="Calibri" w:cstheme="minorHAnsi"/>
                    <w:noProof/>
                  </w:rPr>
                  <w:t>echninė specifikacija“</w:t>
                </w:r>
                <w:r>
                  <w:rPr>
                    <w:noProof/>
                    <w:webHidden/>
                  </w:rPr>
                  <w:tab/>
                </w:r>
              </w:hyperlink>
            </w:p>
            <w:p w14:paraId="68A76FC4" w14:textId="181503A0" w:rsidR="00DB560B" w:rsidRPr="00DB560B" w:rsidRDefault="00FA1ED5" w:rsidP="00FA1ED5">
              <w:pPr>
                <w:spacing w:after="0"/>
                <w:ind w:firstLine="992"/>
              </w:pPr>
              <w:hyperlink w:anchor="_Toc195618405" w:history="1">
                <w:r w:rsidRPr="00AE150C">
                  <w:rPr>
                    <w:rStyle w:val="Hipersaitas"/>
                    <w:rFonts w:eastAsia="Calibri" w:cstheme="minorHAnsi"/>
                    <w:noProof/>
                  </w:rPr>
                  <w:t>Pirkimo sąlygų 2</w:t>
                </w:r>
                <w:r>
                  <w:rPr>
                    <w:rStyle w:val="Hipersaitas"/>
                    <w:rFonts w:eastAsia="Calibri" w:cstheme="minorHAnsi"/>
                    <w:noProof/>
                  </w:rPr>
                  <w:t>.2</w:t>
                </w:r>
                <w:r w:rsidRPr="00AE150C">
                  <w:rPr>
                    <w:rStyle w:val="Hipersaitas"/>
                    <w:rFonts w:eastAsia="Calibri" w:cstheme="minorHAnsi"/>
                    <w:noProof/>
                  </w:rPr>
                  <w:t xml:space="preserve"> priedas „</w:t>
                </w:r>
                <w:r>
                  <w:rPr>
                    <w:rStyle w:val="Hipersaitas"/>
                    <w:rFonts w:eastAsia="Calibri" w:cstheme="minorHAnsi"/>
                    <w:noProof/>
                  </w:rPr>
                  <w:t>Įrangos t</w:t>
                </w:r>
                <w:r w:rsidRPr="00AE150C">
                  <w:rPr>
                    <w:rStyle w:val="Hipersaitas"/>
                    <w:rFonts w:eastAsia="Calibri" w:cstheme="minorHAnsi"/>
                    <w:noProof/>
                  </w:rPr>
                  <w:t>echninė specifikacija“</w:t>
                </w:r>
                <w:r>
                  <w:rPr>
                    <w:noProof/>
                    <w:webHidden/>
                  </w:rPr>
                  <w:tab/>
                </w:r>
              </w:hyperlink>
            </w:p>
            <w:p w14:paraId="613A3D11" w14:textId="45C4C514"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4594DD" w14:textId="6F5E971C"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2810B037"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hyperlink>
            </w:p>
            <w:p w14:paraId="6A780E7C" w14:textId="621C40A1"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hyperlink>
            </w:p>
            <w:p w14:paraId="1AD0967F" w14:textId="47568E04"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hyperlink>
            </w:p>
            <w:p w14:paraId="4F2A4BBF" w14:textId="1F9A7C02" w:rsidR="00863B22" w:rsidRDefault="00863B22">
              <w:pPr>
                <w:pStyle w:val="Turinys2"/>
                <w:rPr>
                  <w:noProof/>
                  <w:kern w:val="2"/>
                  <w:sz w:val="24"/>
                  <w:szCs w:val="24"/>
                  <w14:ligatures w14:val="standardContextual"/>
                </w:rPr>
              </w:pPr>
              <w:hyperlink w:anchor="_Toc195618411" w:history="1">
                <w:r w:rsidRPr="00AE150C">
                  <w:rPr>
                    <w:rStyle w:val="Hipersaitas"/>
                    <w:rFonts w:eastAsia="Calibri" w:cstheme="minorHAnsi"/>
                    <w:noProof/>
                  </w:rPr>
                  <w:t>Pirkimo sąlygų 8 priedas „</w:t>
                </w:r>
                <w:r w:rsidR="002E03D4" w:rsidRPr="002E03D4">
                  <w:rPr>
                    <w:rStyle w:val="Hipersaitas"/>
                    <w:rFonts w:eastAsia="Calibri" w:cstheme="minorHAnsi"/>
                    <w:noProof/>
                  </w:rPr>
                  <w:t>Nacionalinio saugumo reikalavimų atitikties deklaracija</w:t>
                </w:r>
                <w:r w:rsidRPr="00AE150C">
                  <w:rPr>
                    <w:rStyle w:val="Hipersaitas"/>
                    <w:rFonts w:eastAsia="Calibri" w:cstheme="minorHAnsi"/>
                    <w:noProof/>
                  </w:rPr>
                  <w:t>“</w:t>
                </w:r>
                <w:r>
                  <w:rPr>
                    <w:noProof/>
                    <w:webHidden/>
                  </w:rPr>
                  <w:tab/>
                </w:r>
              </w:hyperlink>
            </w:p>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25ADF779" w:rsidR="008272CE" w:rsidRPr="00D1737C" w:rsidRDefault="008272CE" w:rsidP="006F514D">
      <w:pPr>
        <w:pStyle w:val="Sraopastraipa"/>
        <w:numPr>
          <w:ilvl w:val="1"/>
          <w:numId w:val="3"/>
        </w:numPr>
        <w:tabs>
          <w:tab w:val="left" w:pos="1134"/>
        </w:tabs>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C0207C" w:rsidRPr="00D51FC6">
        <w:rPr>
          <w:rFonts w:eastAsia="Calibri" w:cstheme="minorHAnsi"/>
          <w:sz w:val="22"/>
          <w:szCs w:val="22"/>
        </w:rPr>
        <w:t>VšĮ Antakalnio poliklinika, juridinio asmens kodas 124244035, adresas Antakalnio g. 59, LT-10207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74DBF7DB" w:rsidR="00E32C8E" w:rsidRPr="00FC36E7"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C0207C" w:rsidRPr="00D51FC6">
        <w:rPr>
          <w:rFonts w:eastAsia="Calibri" w:cstheme="minorHAnsi"/>
          <w:sz w:val="22"/>
          <w:szCs w:val="22"/>
        </w:rPr>
        <w:t>VšĮ Antakalnio poliklinika</w:t>
      </w:r>
      <w:r w:rsidR="00BB3F33" w:rsidRPr="00FC36E7">
        <w:rPr>
          <w:rFonts w:eastAsia="Calibri" w:cstheme="minorHAnsi"/>
          <w:sz w:val="22"/>
          <w:szCs w:val="22"/>
        </w:rPr>
        <w:t>.</w:t>
      </w:r>
    </w:p>
    <w:p w14:paraId="2239DD1B" w14:textId="28EACC8B" w:rsidR="002F5F8E" w:rsidRPr="006538D0" w:rsidRDefault="007D6857" w:rsidP="006538D0">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6538D0" w:rsidRPr="00D51FC6">
        <w:rPr>
          <w:rFonts w:cstheme="minorHAnsi"/>
          <w:sz w:val="22"/>
          <w:szCs w:val="22"/>
        </w:rPr>
        <w:t>centralizuotų pirkimų kataloge šių prekių nėra arba neatitinka perkančiosios organizacijos poreikių</w:t>
      </w:r>
      <w:r w:rsidR="008C5F5E" w:rsidRPr="006538D0">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6DC704E" w:rsidR="005E62F0" w:rsidRPr="006538D0" w:rsidRDefault="003A502A" w:rsidP="0FB971BC">
      <w:pPr>
        <w:pStyle w:val="Sraopastraipa"/>
        <w:numPr>
          <w:ilvl w:val="0"/>
          <w:numId w:val="17"/>
        </w:numPr>
        <w:spacing w:after="0" w:line="240" w:lineRule="auto"/>
        <w:ind w:left="0" w:firstLine="567"/>
        <w:jc w:val="both"/>
        <w:rPr>
          <w:sz w:val="22"/>
          <w:szCs w:val="22"/>
        </w:rPr>
      </w:pPr>
      <w:r w:rsidRPr="0FB971BC">
        <w:rPr>
          <w:sz w:val="22"/>
          <w:szCs w:val="22"/>
        </w:rPr>
        <w:t>Atliekamas žaliasis pirkimas. Pirkimas vykdomas vadovaujantis Lietuvos Respublikos aplinkos ministro 2011 m. birželio 28 d. įsakymo Nr. D1-508 „</w:t>
      </w:r>
      <w:hyperlink r:id="rId11">
        <w:r w:rsidRPr="0FB971BC">
          <w:rPr>
            <w:rStyle w:val="Hipersaitas"/>
            <w:color w:val="0070C0"/>
            <w:sz w:val="22"/>
            <w:szCs w:val="22"/>
            <w:u w:val="single"/>
          </w:rPr>
          <w:t>Dėl Aplinkos apsaugos kriterijų taikymo, vykdant žaliuosius pirkimus, tvarkos aprašo patvirtinimo</w:t>
        </w:r>
      </w:hyperlink>
      <w:r w:rsidRPr="006538D0">
        <w:rPr>
          <w:sz w:val="22"/>
          <w:szCs w:val="22"/>
        </w:rPr>
        <w:t xml:space="preserve">“ </w:t>
      </w:r>
      <w:r w:rsidR="00FC36E7" w:rsidRPr="006538D0">
        <w:rPr>
          <w:sz w:val="22"/>
          <w:szCs w:val="22"/>
        </w:rPr>
        <w:t>4.4.4.1</w:t>
      </w:r>
      <w:r w:rsidRPr="006538D0">
        <w:rPr>
          <w:i/>
          <w:iCs/>
          <w:sz w:val="22"/>
          <w:szCs w:val="22"/>
        </w:rPr>
        <w:t xml:space="preserve"> </w:t>
      </w:r>
      <w:r w:rsidRPr="006538D0">
        <w:rPr>
          <w:sz w:val="22"/>
          <w:szCs w:val="22"/>
        </w:rPr>
        <w:t xml:space="preserve"> punktu (-</w:t>
      </w:r>
      <w:proofErr w:type="spellStart"/>
      <w:r w:rsidRPr="006538D0">
        <w:rPr>
          <w:sz w:val="22"/>
          <w:szCs w:val="22"/>
        </w:rPr>
        <w:t>ais</w:t>
      </w:r>
      <w:proofErr w:type="spellEnd"/>
      <w:r w:rsidRPr="006538D0">
        <w:rPr>
          <w:sz w:val="22"/>
          <w:szCs w:val="22"/>
        </w:rPr>
        <w:t>). Aplinkos ap</w:t>
      </w:r>
      <w:r w:rsidR="5DAF9A0E" w:rsidRPr="006538D0">
        <w:rPr>
          <w:sz w:val="22"/>
          <w:szCs w:val="22"/>
        </w:rPr>
        <w:t>s</w:t>
      </w:r>
      <w:r w:rsidRPr="006538D0">
        <w:rPr>
          <w:sz w:val="22"/>
          <w:szCs w:val="22"/>
        </w:rPr>
        <w:t xml:space="preserve">augos kriterijai </w:t>
      </w:r>
      <w:r w:rsidR="009C3765" w:rsidRPr="006538D0">
        <w:rPr>
          <w:sz w:val="22"/>
          <w:szCs w:val="22"/>
        </w:rPr>
        <w:t xml:space="preserve">nurodyti </w:t>
      </w:r>
      <w:r w:rsidR="00D4732D" w:rsidRPr="006538D0">
        <w:rPr>
          <w:sz w:val="22"/>
          <w:szCs w:val="22"/>
        </w:rPr>
        <w:t xml:space="preserve">specialiųjų pirkimo sąlygų </w:t>
      </w:r>
      <w:r w:rsidR="00C62292" w:rsidRPr="006538D0">
        <w:rPr>
          <w:sz w:val="22"/>
          <w:szCs w:val="22"/>
        </w:rPr>
        <w:t>5</w:t>
      </w:r>
      <w:r w:rsidR="00D4732D" w:rsidRPr="006538D0">
        <w:rPr>
          <w:sz w:val="22"/>
          <w:szCs w:val="22"/>
        </w:rPr>
        <w:t xml:space="preserve"> priede „</w:t>
      </w:r>
      <w:r w:rsidR="00C62292" w:rsidRPr="006538D0">
        <w:rPr>
          <w:sz w:val="22"/>
          <w:szCs w:val="22"/>
        </w:rPr>
        <w:t>Sutarties projektas</w:t>
      </w:r>
      <w:r w:rsidR="00D4732D" w:rsidRPr="006538D0">
        <w:rPr>
          <w:sz w:val="22"/>
          <w:szCs w:val="22"/>
        </w:rPr>
        <w:t>“</w:t>
      </w:r>
      <w:r w:rsidRPr="006538D0">
        <w:rPr>
          <w:sz w:val="22"/>
          <w:szCs w:val="22"/>
        </w:rPr>
        <w:t>.</w:t>
      </w:r>
    </w:p>
    <w:p w14:paraId="3589520C" w14:textId="1901767C" w:rsidR="0069195A" w:rsidRPr="006538D0" w:rsidRDefault="1A7124BC" w:rsidP="006538D0">
      <w:pPr>
        <w:pStyle w:val="Sraopastraipa"/>
        <w:tabs>
          <w:tab w:val="left" w:pos="1276"/>
        </w:tabs>
        <w:spacing w:after="0" w:line="240" w:lineRule="auto"/>
        <w:ind w:left="567"/>
        <w:jc w:val="both"/>
        <w:rPr>
          <w:rFonts w:eastAsia="Arial"/>
          <w:sz w:val="22"/>
          <w:szCs w:val="22"/>
        </w:rPr>
      </w:pPr>
      <w:r w:rsidRPr="006538D0">
        <w:rPr>
          <w:rFonts w:eastAsia="Arial"/>
          <w:sz w:val="22"/>
          <w:szCs w:val="22"/>
        </w:rPr>
        <w:t xml:space="preserve">1.7. </w:t>
      </w:r>
      <w:r w:rsidR="006538D0" w:rsidRPr="006538D0">
        <w:rPr>
          <w:rFonts w:eastAsia="Arial"/>
          <w:sz w:val="22"/>
          <w:szCs w:val="22"/>
        </w:rPr>
        <w:t xml:space="preserve"> </w:t>
      </w:r>
      <w:r w:rsidR="0069195A" w:rsidRPr="006538D0">
        <w:rPr>
          <w:rFonts w:eastAsia="Arial"/>
          <w:sz w:val="22"/>
          <w:szCs w:val="22"/>
        </w:rPr>
        <w:t xml:space="preserve">Šiame pirkime </w:t>
      </w:r>
      <w:r w:rsidR="00D701D9" w:rsidRPr="006538D0">
        <w:rPr>
          <w:rFonts w:eastAsia="Arial"/>
          <w:sz w:val="22"/>
          <w:szCs w:val="22"/>
        </w:rPr>
        <w:t xml:space="preserve">netaikomi </w:t>
      </w:r>
      <w:r w:rsidR="0069195A" w:rsidRPr="006538D0">
        <w:rPr>
          <w:rFonts w:eastAsia="Arial"/>
          <w:sz w:val="22"/>
          <w:szCs w:val="22"/>
        </w:rPr>
        <w:t>energijos vartojimo efektyvumo reikalavimai.</w:t>
      </w:r>
    </w:p>
    <w:p w14:paraId="2413C02D" w14:textId="7D284B3E" w:rsidR="00E32C8E" w:rsidRPr="006538D0" w:rsidRDefault="00E32C8E" w:rsidP="006538D0">
      <w:pPr>
        <w:pStyle w:val="Sraopastraipa"/>
        <w:numPr>
          <w:ilvl w:val="1"/>
          <w:numId w:val="2"/>
        </w:numPr>
        <w:tabs>
          <w:tab w:val="left" w:pos="1276"/>
        </w:tabs>
        <w:spacing w:after="0" w:line="240" w:lineRule="auto"/>
        <w:ind w:hanging="1080"/>
        <w:jc w:val="both"/>
      </w:pPr>
      <w:r w:rsidRPr="006538D0">
        <w:rPr>
          <w:rFonts w:eastAsia="Arial"/>
          <w:sz w:val="22"/>
          <w:szCs w:val="22"/>
        </w:rPr>
        <w:t xml:space="preserve">Išankstinis skelbimas apie </w:t>
      </w:r>
      <w:r w:rsidR="007A68AD" w:rsidRPr="006538D0">
        <w:rPr>
          <w:rFonts w:eastAsia="Arial"/>
          <w:sz w:val="22"/>
          <w:szCs w:val="22"/>
        </w:rPr>
        <w:t>p</w:t>
      </w:r>
      <w:r w:rsidRPr="006538D0">
        <w:rPr>
          <w:rFonts w:eastAsia="Arial"/>
          <w:sz w:val="22"/>
          <w:szCs w:val="22"/>
        </w:rPr>
        <w:t>irkimą nebuvo paskelbtas.</w:t>
      </w:r>
    </w:p>
    <w:p w14:paraId="72EF28E7" w14:textId="234086C3" w:rsidR="00AF1430" w:rsidRPr="006538D0" w:rsidRDefault="00015FC9" w:rsidP="006538D0">
      <w:pPr>
        <w:pStyle w:val="Sraopastraipa"/>
        <w:numPr>
          <w:ilvl w:val="1"/>
          <w:numId w:val="2"/>
        </w:numPr>
        <w:tabs>
          <w:tab w:val="left" w:pos="1276"/>
          <w:tab w:val="left" w:pos="1418"/>
        </w:tabs>
        <w:spacing w:after="0" w:line="240" w:lineRule="auto"/>
        <w:ind w:left="1276" w:hanging="709"/>
        <w:jc w:val="both"/>
        <w:rPr>
          <w:sz w:val="22"/>
          <w:szCs w:val="22"/>
        </w:rPr>
      </w:pPr>
      <w:r w:rsidRPr="006538D0">
        <w:rPr>
          <w:sz w:val="22"/>
          <w:szCs w:val="22"/>
          <w:lang w:eastAsia="en-US"/>
        </w:rPr>
        <w:t>P</w:t>
      </w:r>
      <w:r w:rsidR="00E32C8E" w:rsidRPr="006538D0">
        <w:rPr>
          <w:sz w:val="22"/>
          <w:szCs w:val="22"/>
          <w:lang w:eastAsia="en-US"/>
        </w:rPr>
        <w:t xml:space="preserve">irkime </w:t>
      </w:r>
      <w:r w:rsidR="007A68AD" w:rsidRPr="006538D0">
        <w:rPr>
          <w:sz w:val="22"/>
          <w:szCs w:val="22"/>
        </w:rPr>
        <w:t>perkančioji organizacija</w:t>
      </w:r>
      <w:r w:rsidR="00E32C8E" w:rsidRPr="006538D0">
        <w:rPr>
          <w:sz w:val="22"/>
          <w:szCs w:val="22"/>
          <w:lang w:eastAsia="en-US"/>
        </w:rPr>
        <w:t xml:space="preserve"> nenumato skelbti pranešimo dėl savanoriško </w:t>
      </w:r>
      <w:proofErr w:type="spellStart"/>
      <w:r w:rsidR="00E32C8E" w:rsidRPr="006538D0">
        <w:rPr>
          <w:sz w:val="22"/>
          <w:szCs w:val="22"/>
          <w:lang w:eastAsia="en-US"/>
        </w:rPr>
        <w:t>ex</w:t>
      </w:r>
      <w:proofErr w:type="spellEnd"/>
      <w:r w:rsidR="00E32C8E" w:rsidRPr="006538D0">
        <w:rPr>
          <w:sz w:val="22"/>
          <w:szCs w:val="22"/>
          <w:lang w:eastAsia="en-US"/>
        </w:rPr>
        <w:t xml:space="preserve"> ante skaidrumo.</w:t>
      </w:r>
    </w:p>
    <w:p w14:paraId="3BFD150A" w14:textId="31964E4F" w:rsidR="00976C74" w:rsidRPr="006538D0" w:rsidRDefault="00841F13" w:rsidP="133DFBD8">
      <w:pPr>
        <w:pStyle w:val="Sraopastraipa"/>
        <w:numPr>
          <w:ilvl w:val="1"/>
          <w:numId w:val="2"/>
        </w:numPr>
        <w:tabs>
          <w:tab w:val="left" w:pos="851"/>
          <w:tab w:val="left" w:pos="993"/>
        </w:tabs>
        <w:spacing w:after="0" w:line="240" w:lineRule="auto"/>
        <w:ind w:left="0" w:firstLine="567"/>
        <w:jc w:val="both"/>
        <w:rPr>
          <w:sz w:val="22"/>
          <w:szCs w:val="22"/>
        </w:rPr>
      </w:pPr>
      <w:r w:rsidRPr="006538D0">
        <w:rPr>
          <w:sz w:val="22"/>
          <w:szCs w:val="22"/>
        </w:rPr>
        <w:t xml:space="preserve">Pirkime neleidžiama pateikti alternatyvių pasiūlymų. </w:t>
      </w:r>
      <w:r w:rsidR="00BA0147" w:rsidRPr="006538D0">
        <w:rPr>
          <w:sz w:val="22"/>
          <w:szCs w:val="22"/>
        </w:rPr>
        <w:t>Tiekėjui pateikus alternatyvų pasiūlymą (alternatyvius pasiūlymus), jo pasiūlymas ir alternatyvūs pasiūlymai bus atmesti.</w:t>
      </w:r>
    </w:p>
    <w:p w14:paraId="5D0EA3C4" w14:textId="5B57548E" w:rsidR="004D070C" w:rsidRPr="006538D0" w:rsidRDefault="004D070C" w:rsidP="133DFBD8">
      <w:pPr>
        <w:pStyle w:val="Sraopastraipa"/>
        <w:numPr>
          <w:ilvl w:val="1"/>
          <w:numId w:val="2"/>
        </w:numPr>
        <w:tabs>
          <w:tab w:val="left" w:pos="851"/>
          <w:tab w:val="left" w:pos="993"/>
        </w:tabs>
        <w:spacing w:after="0" w:line="240" w:lineRule="auto"/>
        <w:ind w:left="0" w:firstLine="567"/>
        <w:jc w:val="both"/>
        <w:rPr>
          <w:sz w:val="22"/>
          <w:szCs w:val="22"/>
        </w:rPr>
      </w:pPr>
      <w:r w:rsidRPr="006538D0">
        <w:rPr>
          <w:sz w:val="22"/>
          <w:szCs w:val="22"/>
        </w:rPr>
        <w:t xml:space="preserve"> </w:t>
      </w:r>
      <w:r w:rsidRPr="006538D0">
        <w:rPr>
          <w:rFonts w:eastAsia="Times New Roman"/>
          <w:sz w:val="22"/>
          <w:szCs w:val="22"/>
        </w:rPr>
        <w:t xml:space="preserve">Jeigu Pirkimo metu bus atliekama patikra Nacionaliniam saugumui užtikrinti svarbių objektų apsaugos įstatyme nustatyta tvarka, </w:t>
      </w:r>
      <w:r w:rsidRPr="006538D0">
        <w:rPr>
          <w:sz w:val="22"/>
          <w:szCs w:val="22"/>
        </w:rPr>
        <w:t xml:space="preserve">dalyvis turės pateikti tokiai patikrai atlikti reikalingus dokumentus. </w:t>
      </w:r>
    </w:p>
    <w:p w14:paraId="0C002F05" w14:textId="56D9BA1E" w:rsidR="00E32C8E" w:rsidRPr="006538D0" w:rsidRDefault="005E7A2A" w:rsidP="006538D0">
      <w:pPr>
        <w:pStyle w:val="Sraopastraipa"/>
        <w:numPr>
          <w:ilvl w:val="1"/>
          <w:numId w:val="2"/>
        </w:numPr>
        <w:tabs>
          <w:tab w:val="left" w:pos="993"/>
        </w:tabs>
        <w:spacing w:after="0" w:line="240" w:lineRule="auto"/>
        <w:ind w:left="1276" w:hanging="709"/>
        <w:jc w:val="both"/>
        <w:rPr>
          <w:sz w:val="22"/>
          <w:szCs w:val="22"/>
        </w:rPr>
      </w:pPr>
      <w:r w:rsidRPr="006538D0">
        <w:rPr>
          <w:rFonts w:eastAsia="Arial"/>
          <w:sz w:val="22"/>
          <w:szCs w:val="22"/>
        </w:rPr>
        <w:t xml:space="preserve"> </w:t>
      </w:r>
      <w:r w:rsidR="00E32C8E" w:rsidRPr="006538D0">
        <w:rPr>
          <w:rFonts w:eastAsia="Arial"/>
          <w:sz w:val="22"/>
          <w:szCs w:val="22"/>
        </w:rPr>
        <w:t xml:space="preserve">Bendrosios </w:t>
      </w:r>
      <w:r w:rsidR="007E5F55" w:rsidRPr="006538D0">
        <w:rPr>
          <w:rFonts w:eastAsia="Arial"/>
          <w:sz w:val="22"/>
          <w:szCs w:val="22"/>
        </w:rPr>
        <w:t xml:space="preserve">pirkimo </w:t>
      </w:r>
      <w:r w:rsidR="00E32C8E" w:rsidRPr="006538D0">
        <w:rPr>
          <w:rFonts w:eastAsia="Arial"/>
          <w:sz w:val="22"/>
          <w:szCs w:val="22"/>
        </w:rPr>
        <w:t>sąlygos yra neatskiriama ši</w:t>
      </w:r>
      <w:r w:rsidR="00C07F25" w:rsidRPr="006538D0">
        <w:rPr>
          <w:rFonts w:eastAsia="Arial"/>
          <w:sz w:val="22"/>
          <w:szCs w:val="22"/>
        </w:rPr>
        <w:t>ų</w:t>
      </w:r>
      <w:r w:rsidR="00E32C8E" w:rsidRPr="006538D0">
        <w:rPr>
          <w:rFonts w:eastAsia="Arial"/>
          <w:sz w:val="22"/>
          <w:szCs w:val="22"/>
        </w:rPr>
        <w:t xml:space="preserve"> </w:t>
      </w:r>
      <w:r w:rsidR="00F4541C" w:rsidRPr="006538D0">
        <w:rPr>
          <w:rFonts w:eastAsia="Arial"/>
          <w:sz w:val="22"/>
          <w:szCs w:val="22"/>
        </w:rPr>
        <w:t>p</w:t>
      </w:r>
      <w:r w:rsidR="00E32C8E" w:rsidRPr="006538D0">
        <w:rPr>
          <w:rFonts w:eastAsia="Arial"/>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791C8988" w:rsidR="00B41C66" w:rsidRPr="003D3711" w:rsidRDefault="00B41C66" w:rsidP="003D3711">
      <w:pPr>
        <w:pStyle w:val="Betarp"/>
        <w:numPr>
          <w:ilvl w:val="1"/>
          <w:numId w:val="7"/>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AE4D7A" w:rsidRPr="003D62E8">
        <w:rPr>
          <w:rFonts w:eastAsia="Calibri" w:cstheme="minorHAnsi"/>
          <w:b/>
          <w:bCs/>
          <w:i/>
          <w:iCs/>
          <w:sz w:val="22"/>
          <w:szCs w:val="22"/>
        </w:rPr>
        <w:t xml:space="preserve">reagentus ir papildomas priemones infekcinės </w:t>
      </w:r>
      <w:proofErr w:type="spellStart"/>
      <w:r w:rsidR="00AE4D7A" w:rsidRPr="003D62E8">
        <w:rPr>
          <w:rFonts w:eastAsia="Calibri" w:cstheme="minorHAnsi"/>
          <w:b/>
          <w:bCs/>
          <w:i/>
          <w:iCs/>
          <w:sz w:val="22"/>
          <w:szCs w:val="22"/>
        </w:rPr>
        <w:t>serologijos</w:t>
      </w:r>
      <w:proofErr w:type="spellEnd"/>
      <w:r w:rsidR="00AE4D7A" w:rsidRPr="003D62E8">
        <w:rPr>
          <w:rFonts w:eastAsia="Calibri" w:cstheme="minorHAnsi"/>
          <w:b/>
          <w:bCs/>
          <w:i/>
          <w:iCs/>
          <w:sz w:val="22"/>
          <w:szCs w:val="22"/>
        </w:rPr>
        <w:t xml:space="preserve"> tyrimams atlikti</w:t>
      </w:r>
      <w:r w:rsidR="00AE4D7A" w:rsidRPr="006930B6">
        <w:rPr>
          <w:rFonts w:eastAsia="Times New Roman" w:cstheme="minorHAnsi"/>
          <w:sz w:val="22"/>
          <w:szCs w:val="22"/>
          <w:lang w:eastAsia="en-US"/>
        </w:rPr>
        <w:t xml:space="preserve"> (toliau – prekės, tyrimai, pirkimo objektas) </w:t>
      </w:r>
      <w:r w:rsidR="00AE4D7A" w:rsidRPr="003D62E8">
        <w:rPr>
          <w:rFonts w:eastAsia="Times New Roman" w:cstheme="minorHAnsi"/>
          <w:b/>
          <w:bCs/>
          <w:i/>
          <w:iCs/>
          <w:sz w:val="22"/>
          <w:szCs w:val="22"/>
          <w:lang w:eastAsia="en-US"/>
        </w:rPr>
        <w:t>bei įrangą panaudos būdu</w:t>
      </w:r>
      <w:r w:rsidR="00AE4D7A" w:rsidRPr="006930B6">
        <w:rPr>
          <w:rFonts w:eastAsia="Times New Roman" w:cstheme="minorHAnsi"/>
          <w:sz w:val="22"/>
          <w:szCs w:val="22"/>
          <w:lang w:eastAsia="en-US"/>
        </w:rPr>
        <w:t xml:space="preserve"> (toliau – įranga)</w:t>
      </w:r>
      <w:r w:rsidR="00AE4D7A" w:rsidRPr="006930B6">
        <w:rPr>
          <w:rFonts w:eastAsia="Calibri" w:cstheme="minorHAnsi"/>
          <w:sz w:val="22"/>
          <w:szCs w:val="22"/>
        </w:rPr>
        <w:t>.</w:t>
      </w:r>
    </w:p>
    <w:p w14:paraId="518A2CFB" w14:textId="77777777" w:rsidR="004F61AD" w:rsidRDefault="00507DC9" w:rsidP="00627313">
      <w:pPr>
        <w:pStyle w:val="Betarp"/>
        <w:spacing w:after="120"/>
        <w:ind w:firstLine="720"/>
        <w:contextualSpacing/>
        <w:jc w:val="both"/>
        <w:rPr>
          <w:rFonts w:cstheme="minorHAnsi"/>
          <w:sz w:val="22"/>
          <w:szCs w:val="22"/>
        </w:rPr>
      </w:pPr>
      <w:r w:rsidRPr="00682B25">
        <w:rPr>
          <w:rFonts w:cstheme="minorHAnsi"/>
          <w:sz w:val="22"/>
          <w:szCs w:val="22"/>
        </w:rPr>
        <w:t>2.2</w:t>
      </w:r>
      <w:r w:rsidR="003D3711">
        <w:rPr>
          <w:rFonts w:cstheme="minorHAnsi"/>
          <w:sz w:val="22"/>
          <w:szCs w:val="22"/>
        </w:rPr>
        <w:t xml:space="preserve">  </w:t>
      </w:r>
      <w:r w:rsidR="00B41C66" w:rsidRPr="25C60621">
        <w:rPr>
          <w:sz w:val="22"/>
          <w:szCs w:val="22"/>
        </w:rPr>
        <w:t>Pirkimo objektas į dalis neskaidomas</w:t>
      </w:r>
      <w:r w:rsidR="005F1B3F">
        <w:rPr>
          <w:sz w:val="22"/>
          <w:szCs w:val="22"/>
        </w:rPr>
        <w:t>, nes p</w:t>
      </w:r>
      <w:r w:rsidR="005F1B3F" w:rsidRPr="005F1B3F">
        <w:rPr>
          <w:sz w:val="22"/>
          <w:szCs w:val="22"/>
        </w:rPr>
        <w:t>erkami vienos</w:t>
      </w:r>
      <w:r w:rsidR="005F1B3F">
        <w:rPr>
          <w:sz w:val="22"/>
          <w:szCs w:val="22"/>
        </w:rPr>
        <w:t xml:space="preserve"> </w:t>
      </w:r>
      <w:r w:rsidR="005F1B3F" w:rsidRPr="005F1B3F">
        <w:rPr>
          <w:sz w:val="22"/>
          <w:szCs w:val="22"/>
        </w:rPr>
        <w:t>grupės serologiniai tyrimai, todėl skaidymas į pirkimo dalis yra sudėtingas techniniu požiūriu. Visos</w:t>
      </w:r>
      <w:r w:rsidR="005F1B3F">
        <w:rPr>
          <w:sz w:val="22"/>
          <w:szCs w:val="22"/>
        </w:rPr>
        <w:t xml:space="preserve"> </w:t>
      </w:r>
      <w:r w:rsidR="005F1B3F" w:rsidRPr="005F1B3F">
        <w:rPr>
          <w:sz w:val="22"/>
          <w:szCs w:val="22"/>
        </w:rPr>
        <w:t>tyrimams reikalingos medžiagos ir priemonės turi tikti panaudai suteikiamai įrangai</w:t>
      </w:r>
      <w:r w:rsidR="00B41C66" w:rsidRPr="25C60621">
        <w:rPr>
          <w:sz w:val="22"/>
          <w:szCs w:val="22"/>
        </w:rPr>
        <w:t xml:space="preserve">. </w:t>
      </w:r>
      <w:r w:rsidR="007554D6" w:rsidRPr="25C60621">
        <w:rPr>
          <w:sz w:val="22"/>
          <w:szCs w:val="22"/>
        </w:rPr>
        <w:t xml:space="preserve">Pirkimo apimtys, reikalavimai ir techninė specifikacija apibrėžti </w:t>
      </w:r>
      <w:r w:rsidR="007204DB" w:rsidRPr="25C60621">
        <w:rPr>
          <w:sz w:val="22"/>
          <w:szCs w:val="22"/>
        </w:rPr>
        <w:t xml:space="preserve">specialiųjų </w:t>
      </w:r>
      <w:r w:rsidR="007554D6" w:rsidRPr="25C60621">
        <w:rPr>
          <w:sz w:val="22"/>
          <w:szCs w:val="22"/>
        </w:rPr>
        <w:t xml:space="preserve">pirkimo sąlygų </w:t>
      </w:r>
      <w:r w:rsidR="00B762D8" w:rsidRPr="00627313">
        <w:rPr>
          <w:sz w:val="22"/>
          <w:szCs w:val="22"/>
        </w:rPr>
        <w:t>2</w:t>
      </w:r>
      <w:r w:rsidR="009275CC" w:rsidRPr="00627313">
        <w:rPr>
          <w:sz w:val="22"/>
          <w:szCs w:val="22"/>
        </w:rPr>
        <w:t xml:space="preserve"> priede „Techninė specifikacija</w:t>
      </w:r>
      <w:r w:rsidR="00D56705" w:rsidRPr="00627313">
        <w:rPr>
          <w:rFonts w:cstheme="minorHAnsi"/>
          <w:sz w:val="22"/>
          <w:szCs w:val="22"/>
        </w:rPr>
        <w:t>“</w:t>
      </w:r>
      <w:r w:rsidR="007554D6" w:rsidRPr="00627313">
        <w:rPr>
          <w:rFonts w:cstheme="minorHAnsi"/>
          <w:sz w:val="22"/>
          <w:szCs w:val="22"/>
        </w:rPr>
        <w:t>.</w:t>
      </w:r>
      <w:r w:rsidR="00627313">
        <w:rPr>
          <w:rFonts w:cstheme="minorHAnsi"/>
          <w:sz w:val="22"/>
          <w:szCs w:val="22"/>
        </w:rPr>
        <w:t xml:space="preserve"> </w:t>
      </w:r>
    </w:p>
    <w:p w14:paraId="0CA81FB8" w14:textId="40CF0C3D" w:rsidR="00325243" w:rsidRPr="00682B25" w:rsidRDefault="00E53E12" w:rsidP="00ED20DD">
      <w:pPr>
        <w:pStyle w:val="Betarp"/>
        <w:numPr>
          <w:ilvl w:val="1"/>
          <w:numId w:val="38"/>
        </w:numPr>
        <w:ind w:left="0" w:firstLine="709"/>
        <w:contextualSpacing/>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ED20DD">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00046522" w:rsidRPr="00682B25">
        <w:rPr>
          <w:rFonts w:cstheme="minorHAnsi"/>
          <w:color w:val="000000"/>
          <w:sz w:val="22"/>
          <w:szCs w:val="22"/>
        </w:rPr>
        <w:lastRenderedPageBreak/>
        <w:t>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w:t>
      </w:r>
      <w:r w:rsidRPr="00E46356">
        <w:rPr>
          <w:rFonts w:cstheme="minorHAnsi"/>
          <w:sz w:val="22"/>
          <w:szCs w:val="22"/>
        </w:rPr>
        <w:t>organizacija 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F73D96C" w:rsidR="00BE0587" w:rsidRPr="005432CE" w:rsidRDefault="00BE0587" w:rsidP="005432CE">
      <w:pPr>
        <w:pStyle w:val="Body2"/>
        <w:numPr>
          <w:ilvl w:val="1"/>
          <w:numId w:val="31"/>
        </w:numPr>
        <w:spacing w:after="0"/>
        <w:ind w:firstLine="207"/>
        <w:rPr>
          <w:rFonts w:asciiTheme="minorHAnsi" w:hAnsiTheme="minorHAnsi" w:cstheme="minorHAnsi"/>
          <w:sz w:val="22"/>
          <w:szCs w:val="22"/>
          <w:lang w:val="lt-LT"/>
        </w:rPr>
      </w:pPr>
      <w:r w:rsidRPr="005432CE">
        <w:rPr>
          <w:rFonts w:asciiTheme="minorHAnsi" w:eastAsiaTheme="minorHAnsi" w:hAnsiTheme="minorHAnsi" w:cstheme="minorHAnsi"/>
          <w:sz w:val="22"/>
          <w:szCs w:val="22"/>
          <w:lang w:val="lt-LT"/>
        </w:rPr>
        <w:t>P</w:t>
      </w:r>
      <w:r w:rsidRPr="005432CE">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777CF377" w:rsidR="007E05C8" w:rsidRPr="006877A4" w:rsidRDefault="00990E9B" w:rsidP="00DD2AC6">
      <w:pPr>
        <w:pStyle w:val="Sraopastraipa"/>
        <w:numPr>
          <w:ilvl w:val="1"/>
          <w:numId w:val="23"/>
        </w:numPr>
        <w:spacing w:after="0" w:line="20" w:lineRule="atLeast"/>
        <w:ind w:left="0" w:firstLine="567"/>
        <w:jc w:val="both"/>
        <w:rPr>
          <w:rFonts w:cstheme="minorHAnsi"/>
          <w:sz w:val="22"/>
          <w:szCs w:val="22"/>
        </w:rPr>
      </w:pPr>
      <w:r w:rsidRPr="006877A4">
        <w:rPr>
          <w:rFonts w:cstheme="minorHAnsi"/>
          <w:sz w:val="22"/>
          <w:szCs w:val="22"/>
        </w:rPr>
        <w:t>Tiekėjams nenustatomi kvalifikacijos reikalavimai</w:t>
      </w:r>
      <w:r w:rsidR="006877A4" w:rsidRPr="006877A4">
        <w:rPr>
          <w:rFonts w:cstheme="minorHAnsi"/>
          <w:sz w:val="22"/>
          <w:szCs w:val="22"/>
        </w:rPr>
        <w:t>.</w:t>
      </w:r>
      <w:r w:rsidRPr="006877A4">
        <w:rPr>
          <w:rFonts w:cstheme="minorHAnsi"/>
          <w:sz w:val="22"/>
          <w:szCs w:val="22"/>
        </w:rPr>
        <w:t xml:space="preserve"> </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lastRenderedPageBreak/>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32674F3C" w14:textId="0E8998AC"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5.6.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3</w:t>
      </w:r>
      <w:r w:rsidRPr="26B62E15">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B188838" w14:textId="327D0377" w:rsidR="016E19F6" w:rsidRDefault="016E19F6" w:rsidP="26B62E15">
      <w:pPr>
        <w:spacing w:after="0" w:line="240" w:lineRule="auto"/>
        <w:ind w:firstLine="567"/>
        <w:jc w:val="both"/>
        <w:rPr>
          <w:rFonts w:ascii="Calibri" w:eastAsia="Calibri" w:hAnsi="Calibri" w:cs="Calibri"/>
          <w:color w:val="7030A0"/>
          <w:sz w:val="22"/>
          <w:szCs w:val="22"/>
        </w:rPr>
      </w:pPr>
      <w:r w:rsidRPr="26B62E15">
        <w:rPr>
          <w:rFonts w:ascii="Calibri" w:eastAsia="Calibri" w:hAnsi="Calibri" w:cs="Calibri"/>
          <w:i/>
          <w:iCs/>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26B62E15">
        <w:rPr>
          <w:rFonts w:ascii="Calibri" w:eastAsia="Calibri" w:hAnsi="Calibri" w:cs="Calibri"/>
          <w:i/>
          <w:iCs/>
          <w:color w:val="7030A0"/>
          <w:sz w:val="22"/>
          <w:szCs w:val="22"/>
        </w:rPr>
        <w:t>.</w:t>
      </w:r>
    </w:p>
    <w:p w14:paraId="5C2CDB7E" w14:textId="08D16878" w:rsidR="016E19F6" w:rsidRPr="00545D64" w:rsidRDefault="016E19F6" w:rsidP="26B62E15">
      <w:pPr>
        <w:spacing w:after="0" w:line="240" w:lineRule="auto"/>
        <w:ind w:firstLine="567"/>
        <w:jc w:val="both"/>
        <w:rPr>
          <w:rFonts w:ascii="Calibri" w:eastAsia="Calibri" w:hAnsi="Calibri" w:cs="Calibri"/>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w:t>
      </w:r>
      <w:r w:rsidR="00C6764E" w:rsidRPr="00545D64">
        <w:rPr>
          <w:rFonts w:ascii="Calibri" w:eastAsia="Calibri" w:hAnsi="Calibri" w:cs="Calibri"/>
          <w:i/>
          <w:iCs/>
          <w:sz w:val="22"/>
          <w:szCs w:val="22"/>
        </w:rPr>
        <w:t xml:space="preserve">30236000-2 Įvairi kompiuterių įranga; </w:t>
      </w:r>
      <w:r w:rsidR="00573544" w:rsidRPr="00545D64">
        <w:rPr>
          <w:rFonts w:ascii="Calibri" w:eastAsia="Calibri" w:hAnsi="Calibri" w:cs="Calibri"/>
          <w:i/>
          <w:iCs/>
          <w:sz w:val="22"/>
          <w:szCs w:val="22"/>
        </w:rPr>
        <w:t xml:space="preserve">31154000-0 Nenutrūkstamojo maitinimo šaltiniai; </w:t>
      </w:r>
      <w:r w:rsidR="00C6764E" w:rsidRPr="00545D64">
        <w:rPr>
          <w:rFonts w:ascii="Calibri" w:eastAsia="Calibri" w:hAnsi="Calibri" w:cs="Calibri"/>
          <w:i/>
          <w:iCs/>
          <w:sz w:val="22"/>
          <w:szCs w:val="22"/>
        </w:rPr>
        <w:t>48900000-7 Įvairūs programinės įrangos paketai ir kompiuterių sistemos; 50312600-1 Informacijos technologijos įrangos priežiūra ir remontas</w:t>
      </w:r>
      <w:r w:rsidRPr="00545D64">
        <w:rPr>
          <w:rFonts w:ascii="Calibri" w:eastAsia="Calibri" w:hAnsi="Calibri" w:cs="Calibri"/>
          <w:i/>
          <w:iCs/>
          <w:sz w:val="22"/>
          <w:szCs w:val="22"/>
        </w:rPr>
        <w:t>. Pirkimo objekto sudėtiniai elementai ir jų BVPŽ kodai nurodyti pirkimo sąlygų 2</w:t>
      </w:r>
      <w:r w:rsidR="006270EC">
        <w:rPr>
          <w:rFonts w:ascii="Calibri" w:eastAsia="Calibri" w:hAnsi="Calibri" w:cs="Calibri"/>
          <w:i/>
          <w:iCs/>
          <w:sz w:val="22"/>
          <w:szCs w:val="22"/>
        </w:rPr>
        <w:t>.2</w:t>
      </w:r>
      <w:r w:rsidRPr="00545D64">
        <w:rPr>
          <w:rFonts w:ascii="Calibri" w:eastAsia="Calibri" w:hAnsi="Calibri" w:cs="Calibri"/>
          <w:i/>
          <w:iCs/>
          <w:sz w:val="22"/>
          <w:szCs w:val="22"/>
        </w:rPr>
        <w:t xml:space="preserve"> priede „</w:t>
      </w:r>
      <w:r w:rsidR="006270EC">
        <w:rPr>
          <w:rFonts w:ascii="Calibri" w:eastAsia="Calibri" w:hAnsi="Calibri" w:cs="Calibri"/>
          <w:i/>
          <w:iCs/>
          <w:sz w:val="22"/>
          <w:szCs w:val="22"/>
        </w:rPr>
        <w:t>Įrangos t</w:t>
      </w:r>
      <w:r w:rsidRPr="00545D64">
        <w:rPr>
          <w:rFonts w:ascii="Calibri" w:eastAsia="Calibri" w:hAnsi="Calibri" w:cs="Calibri"/>
          <w:i/>
          <w:iCs/>
          <w:sz w:val="22"/>
          <w:szCs w:val="22"/>
        </w:rPr>
        <w:t xml:space="preserve">echninė specifikacija“. </w:t>
      </w:r>
    </w:p>
    <w:p w14:paraId="5A9DA931" w14:textId="07218291" w:rsidR="016E19F6" w:rsidRDefault="016E19F6" w:rsidP="26B62E15">
      <w:pPr>
        <w:spacing w:after="0" w:line="240" w:lineRule="auto"/>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37 str. 9 d. nuostatos, neatitinka nacionalinio saugumo reikalavimų, toks pasiūlymas atmetamas.</w:t>
      </w:r>
    </w:p>
    <w:p w14:paraId="5804EE01" w14:textId="4A58DBB6"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 xml:space="preserve">5.7. Perkančioji organizacija laiko, kad tiekėjas turi interesų, galinčių kelti grėsmę nacionaliniam saugumui, jei jis, jo subtiekėjas (-ai) ar ūkio subjektas (-ai), kurių pajėgumais remiamasi, kurie patys ar juos kontroliuojantys </w:t>
      </w:r>
      <w:r w:rsidRPr="26B62E15">
        <w:rPr>
          <w:rFonts w:ascii="Calibri" w:eastAsia="Calibri" w:hAnsi="Calibri" w:cs="Calibri"/>
          <w:color w:val="000000" w:themeColor="text1"/>
          <w:sz w:val="22"/>
          <w:szCs w:val="22"/>
        </w:rPr>
        <w:lastRenderedPageBreak/>
        <w:t>asmenys atitinka VPĮ 47 straipsnio 9 dalyje nustatytas sąlygas. Tiekėjas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4</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ED1D18" w14:textId="25E552F9" w:rsidR="016E19F6" w:rsidRPr="00327E3C" w:rsidRDefault="016E19F6" w:rsidP="26B62E15">
      <w:pPr>
        <w:spacing w:after="0" w:line="240" w:lineRule="auto"/>
        <w:ind w:firstLine="567"/>
        <w:jc w:val="both"/>
        <w:rPr>
          <w:rFonts w:ascii="Calibri" w:eastAsia="Calibri" w:hAnsi="Calibri" w:cs="Calibri"/>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w:t>
      </w:r>
      <w:r w:rsidR="00C6764E" w:rsidRPr="00327E3C">
        <w:rPr>
          <w:rFonts w:ascii="Calibri" w:eastAsia="Calibri" w:hAnsi="Calibri" w:cs="Calibri"/>
          <w:i/>
          <w:iCs/>
          <w:sz w:val="22"/>
          <w:szCs w:val="22"/>
        </w:rPr>
        <w:t xml:space="preserve">30236000-2 Įvairi kompiuterių įranga; </w:t>
      </w:r>
      <w:r w:rsidR="00BA2A41" w:rsidRPr="00545D64">
        <w:rPr>
          <w:rFonts w:ascii="Calibri" w:eastAsia="Calibri" w:hAnsi="Calibri" w:cs="Calibri"/>
          <w:i/>
          <w:iCs/>
          <w:sz w:val="22"/>
          <w:szCs w:val="22"/>
        </w:rPr>
        <w:t>31154000-0 Nenutrūkstamojo maitinimo šaltiniai</w:t>
      </w:r>
      <w:r w:rsidR="00BA2A41" w:rsidRPr="00327E3C">
        <w:rPr>
          <w:rFonts w:ascii="Calibri" w:eastAsia="Calibri" w:hAnsi="Calibri" w:cs="Calibri"/>
          <w:i/>
          <w:iCs/>
          <w:sz w:val="22"/>
          <w:szCs w:val="22"/>
        </w:rPr>
        <w:t xml:space="preserve">; </w:t>
      </w:r>
      <w:r w:rsidR="00C6764E" w:rsidRPr="00327E3C">
        <w:rPr>
          <w:rFonts w:ascii="Calibri" w:eastAsia="Calibri" w:hAnsi="Calibri" w:cs="Calibri"/>
          <w:i/>
          <w:iCs/>
          <w:sz w:val="22"/>
          <w:szCs w:val="22"/>
        </w:rPr>
        <w:t>48900000-7 Įvairūs programinės įrangos paketai ir kompiuterių sistemos; 50312600-1 Informacijos technologijos įrangos priežiūra ir remontas</w:t>
      </w:r>
      <w:r w:rsidRPr="00327E3C">
        <w:rPr>
          <w:rFonts w:ascii="Calibri" w:eastAsia="Calibri" w:hAnsi="Calibri" w:cs="Calibri"/>
          <w:i/>
          <w:iCs/>
          <w:sz w:val="22"/>
          <w:szCs w:val="22"/>
        </w:rPr>
        <w:t>. Pirkimo objekto sudėtiniai elementai ir jų BVPŽ kodai nurodyti pirkimo sąlygų 2</w:t>
      </w:r>
      <w:r w:rsidR="006270EC">
        <w:rPr>
          <w:rFonts w:ascii="Calibri" w:eastAsia="Calibri" w:hAnsi="Calibri" w:cs="Calibri"/>
          <w:i/>
          <w:iCs/>
          <w:sz w:val="22"/>
          <w:szCs w:val="22"/>
        </w:rPr>
        <w:t>.2</w:t>
      </w:r>
      <w:r w:rsidRPr="00327E3C">
        <w:rPr>
          <w:rFonts w:ascii="Calibri" w:eastAsia="Calibri" w:hAnsi="Calibri" w:cs="Calibri"/>
          <w:i/>
          <w:iCs/>
          <w:sz w:val="22"/>
          <w:szCs w:val="22"/>
        </w:rPr>
        <w:t xml:space="preserve"> priede „</w:t>
      </w:r>
      <w:r w:rsidR="006270EC">
        <w:rPr>
          <w:rFonts w:ascii="Calibri" w:eastAsia="Calibri" w:hAnsi="Calibri" w:cs="Calibri"/>
          <w:i/>
          <w:iCs/>
          <w:sz w:val="22"/>
          <w:szCs w:val="22"/>
        </w:rPr>
        <w:t>Įrangos t</w:t>
      </w:r>
      <w:r w:rsidRPr="00327E3C">
        <w:rPr>
          <w:rFonts w:ascii="Calibri" w:eastAsia="Calibri" w:hAnsi="Calibri" w:cs="Calibri"/>
          <w:i/>
          <w:iCs/>
          <w:sz w:val="22"/>
          <w:szCs w:val="22"/>
        </w:rPr>
        <w:t xml:space="preserve">echninė specifikacija“. </w:t>
      </w:r>
    </w:p>
    <w:p w14:paraId="7A4AF5F2" w14:textId="25390B07" w:rsidR="016E19F6" w:rsidRDefault="016E19F6" w:rsidP="26B62E15">
      <w:pPr>
        <w:spacing w:after="0" w:line="240" w:lineRule="auto"/>
        <w:jc w:val="both"/>
        <w:rPr>
          <w:rFonts w:ascii="Calibri" w:eastAsia="Calibri" w:hAnsi="Calibri" w:cs="Calibri"/>
          <w:i/>
          <w:iCs/>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47 str. 9 d. nuostatos, neatitinka nacionalinio saugumo reikalavimų, toks pasiūlymas atmetamas.</w:t>
      </w:r>
    </w:p>
    <w:p w14:paraId="7770EE1B" w14:textId="5F5345C0" w:rsidR="009E3383" w:rsidRDefault="00BB7A7F" w:rsidP="00BB7A7F">
      <w:pPr>
        <w:spacing w:after="0" w:line="240" w:lineRule="auto"/>
        <w:ind w:firstLine="567"/>
        <w:jc w:val="both"/>
        <w:rPr>
          <w:shd w:val="clear" w:color="auto" w:fill="FFFFFF"/>
        </w:rPr>
      </w:pPr>
      <w:r w:rsidRPr="00BB7A7F">
        <w:rPr>
          <w:rFonts w:ascii="Calibri" w:eastAsia="Calibri" w:hAnsi="Calibri" w:cs="Calibri"/>
          <w:color w:val="000000" w:themeColor="text1"/>
          <w:sz w:val="22"/>
          <w:szCs w:val="22"/>
        </w:rPr>
        <w:t>5.8.</w:t>
      </w:r>
      <w:r>
        <w:rPr>
          <w:rFonts w:ascii="Calibri" w:eastAsia="Calibri" w:hAnsi="Calibri" w:cs="Calibri"/>
          <w:color w:val="000000" w:themeColor="text1"/>
          <w:sz w:val="22"/>
          <w:szCs w:val="22"/>
        </w:rPr>
        <w:t xml:space="preserve"> </w:t>
      </w:r>
      <w:r w:rsidRPr="00D24EF8">
        <w:rPr>
          <w:shd w:val="clear" w:color="auto" w:fill="FFFFFF"/>
        </w:rPr>
        <w:t xml:space="preserve">Tiekėjo </w:t>
      </w:r>
      <w:r w:rsidRPr="00AF4A20">
        <w:rPr>
          <w:shd w:val="clear" w:color="auto" w:fill="FFFFFF"/>
        </w:rPr>
        <w:t xml:space="preserve">siūlomos prekės (įskaitant jų gamintojus) </w:t>
      </w:r>
      <w:r w:rsidRPr="00D24EF8">
        <w:rPr>
          <w:shd w:val="clear" w:color="auto" w:fill="FFFFFF"/>
        </w:rPr>
        <w:t xml:space="preserve">turi nekelti grėsmės nacionaliniam saugumui, kaip nurodyta VPĮ 37 straipsnio 8 dalyje. Nustačiusi pasiūlymų eilę perkančioji organizacija kreipsis į Nacionaliniam saugumui užtikrinti svarbių objektų apsaugos koordinavimo komisiją dėl numatomo sudaryti </w:t>
      </w:r>
      <w:r w:rsidRPr="00D24EF8">
        <w:rPr>
          <w:color w:val="000000"/>
          <w:spacing w:val="2"/>
          <w:shd w:val="clear" w:color="auto" w:fill="FFFFFF"/>
        </w:rPr>
        <w:t>sandorio atitikties nacionalinio saugumo interesams</w:t>
      </w:r>
      <w:r w:rsidRPr="00D24EF8">
        <w:rPr>
          <w:shd w:val="clear" w:color="auto" w:fill="FFFFFF"/>
        </w:rPr>
        <w:t>.</w:t>
      </w:r>
      <w:r>
        <w:rPr>
          <w:shd w:val="clear" w:color="auto" w:fill="FFFFFF"/>
        </w:rPr>
        <w:t xml:space="preserve"> Perkančioji organizacija prašys tiekėjo pateikti </w:t>
      </w:r>
      <w:r w:rsidRPr="00D24EF8">
        <w:rPr>
          <w:shd w:val="clear" w:color="auto" w:fill="FFFFFF"/>
        </w:rPr>
        <w:t>Nacionaliniam saugumui užtikrinti svarbių objektų apsaugos koordinavimo komisij</w:t>
      </w:r>
      <w:r>
        <w:rPr>
          <w:shd w:val="clear" w:color="auto" w:fill="FFFFFF"/>
        </w:rPr>
        <w:t>os prašomus dokumentus</w:t>
      </w:r>
      <w:r w:rsidR="00ED5DBF">
        <w:rPr>
          <w:shd w:val="clear" w:color="auto" w:fill="FFFFFF"/>
        </w:rPr>
        <w:t>.</w:t>
      </w:r>
    </w:p>
    <w:p w14:paraId="25F8D7EB" w14:textId="6D230FB6" w:rsidR="00ED5DBF" w:rsidRPr="00BB7A7F" w:rsidRDefault="00ED5DBF" w:rsidP="00BB7A7F">
      <w:pPr>
        <w:spacing w:after="0" w:line="240" w:lineRule="auto"/>
        <w:ind w:firstLine="567"/>
        <w:jc w:val="both"/>
        <w:rPr>
          <w:rFonts w:ascii="Calibri" w:eastAsia="Calibri" w:hAnsi="Calibri" w:cs="Calibri"/>
          <w:color w:val="000000" w:themeColor="text1"/>
          <w:sz w:val="22"/>
          <w:szCs w:val="22"/>
        </w:rPr>
      </w:pPr>
      <w:r>
        <w:rPr>
          <w:shd w:val="clear" w:color="auto" w:fill="FFFFFF"/>
        </w:rPr>
        <w:t xml:space="preserve">5.9. </w:t>
      </w:r>
      <w:r w:rsidRPr="00AC2A6E">
        <w:rPr>
          <w:shd w:val="clear" w:color="auto" w:fill="FFFFFF"/>
        </w:rPr>
        <w:t xml:space="preserve">Perkančioji organizacija laiko, kad </w:t>
      </w:r>
      <w:r>
        <w:rPr>
          <w:shd w:val="clear" w:color="auto" w:fill="FFFFFF"/>
        </w:rPr>
        <w:t xml:space="preserve">tiekėjas kelia grėsmę nacionaliniam saugumui </w:t>
      </w:r>
      <w:r>
        <w:rPr>
          <w:color w:val="000000"/>
        </w:rPr>
        <w:t xml:space="preserve">kai sandorio pagrindu susidarytų aplinkybės, nurodytos Nacionaliniam saugumui užtikrinti svarbių objektų apsaugos įstatymo 13 straipsnio 4 dalies 1 punkte. </w:t>
      </w:r>
      <w:r w:rsidRPr="006C67DC">
        <w:rPr>
          <w:shd w:val="clear" w:color="auto" w:fill="FFFFFF"/>
        </w:rPr>
        <w:t xml:space="preserve">Nustačiusi pasiūlymų eilę perkančioji organizacija kreipsis į Nacionaliniam saugumui užtikrinti svarbių objektų apsaugos koordinavimo komisiją dėl numatomo sudaryti </w:t>
      </w:r>
      <w:r w:rsidRPr="006C67DC">
        <w:rPr>
          <w:color w:val="000000"/>
          <w:spacing w:val="2"/>
          <w:shd w:val="clear" w:color="auto" w:fill="FFFFFF"/>
        </w:rPr>
        <w:t>sandorio atitikties nacionalinio saugumo interesams</w:t>
      </w:r>
      <w:r w:rsidRPr="006C67DC">
        <w:rPr>
          <w:shd w:val="clear" w:color="auto" w:fill="FFFFFF"/>
        </w:rPr>
        <w:t>.</w:t>
      </w:r>
      <w:r>
        <w:rPr>
          <w:shd w:val="clear" w:color="auto" w:fill="FFFFFF"/>
        </w:rPr>
        <w:t xml:space="preserve"> Perkančioji organizacija prašys tiekėjo pateikti </w:t>
      </w:r>
      <w:r w:rsidRPr="00D24EF8">
        <w:rPr>
          <w:shd w:val="clear" w:color="auto" w:fill="FFFFFF"/>
        </w:rPr>
        <w:t>Nacionaliniam saugumui užtikrinti svarbių objektų apsaugos koordinavimo komisij</w:t>
      </w:r>
      <w:r>
        <w:rPr>
          <w:shd w:val="clear" w:color="auto" w:fill="FFFFFF"/>
        </w:rPr>
        <w:t>os prašomus dokumentus.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767FF1">
        <w:rPr>
          <w:rFonts w:cstheme="minorHAnsi"/>
          <w:sz w:val="22"/>
          <w:szCs w:val="22"/>
        </w:rPr>
        <w:t>3</w:t>
      </w:r>
      <w:r w:rsidR="008E5F93" w:rsidRPr="00767FF1">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4BE48D04" w14:textId="77777777" w:rsidR="008C7E65" w:rsidRPr="00A91753" w:rsidRDefault="008C7E65" w:rsidP="008C7E65">
      <w:pPr>
        <w:pStyle w:val="Sraopastraipa"/>
        <w:numPr>
          <w:ilvl w:val="2"/>
          <w:numId w:val="10"/>
        </w:numPr>
        <w:spacing w:after="0" w:line="240" w:lineRule="auto"/>
        <w:ind w:left="0" w:firstLine="567"/>
        <w:jc w:val="both"/>
        <w:rPr>
          <w:rFonts w:cstheme="minorHAnsi"/>
          <w:sz w:val="22"/>
          <w:szCs w:val="22"/>
          <w:u w:val="single"/>
        </w:rPr>
      </w:pPr>
      <w:r w:rsidRPr="004C26DA">
        <w:rPr>
          <w:rFonts w:cstheme="minorHAnsi"/>
          <w:sz w:val="22"/>
          <w:szCs w:val="22"/>
        </w:rPr>
        <w:t>įgaliojimas ar kitas dokumentas (pvz., pareigybės aprašymas), suteikiantis teisę pateikti tiekėjo pasiūlymą, kai pasiūlymą teikia ne juridinio asmens vadovas, o jo įgaliotas asmuo</w:t>
      </w:r>
      <w:r>
        <w:rPr>
          <w:rFonts w:cstheme="minorHAnsi"/>
          <w:sz w:val="22"/>
          <w:szCs w:val="22"/>
        </w:rPr>
        <w:t>;</w:t>
      </w:r>
    </w:p>
    <w:p w14:paraId="1A02A70D" w14:textId="77777777" w:rsidR="008C7E65" w:rsidRDefault="008C7E65" w:rsidP="008C7E65">
      <w:pPr>
        <w:pStyle w:val="Sraopastraipa"/>
        <w:numPr>
          <w:ilvl w:val="2"/>
          <w:numId w:val="10"/>
        </w:numPr>
        <w:spacing w:after="0" w:line="240" w:lineRule="auto"/>
        <w:ind w:left="0" w:firstLine="567"/>
        <w:jc w:val="both"/>
        <w:rPr>
          <w:rFonts w:cstheme="minorHAnsi"/>
          <w:sz w:val="22"/>
          <w:szCs w:val="22"/>
        </w:rPr>
      </w:pPr>
      <w:r w:rsidRPr="00DA5490">
        <w:rPr>
          <w:rFonts w:cstheme="minorHAnsi"/>
          <w:sz w:val="22"/>
          <w:szCs w:val="22"/>
        </w:rPr>
        <w:t xml:space="preserve">užpildytas ir pasirašytas EBVPD (pirkimo sąlygų </w:t>
      </w:r>
      <w:r>
        <w:rPr>
          <w:rFonts w:cstheme="minorHAnsi"/>
          <w:sz w:val="22"/>
          <w:szCs w:val="22"/>
        </w:rPr>
        <w:t>7</w:t>
      </w:r>
      <w:r w:rsidRPr="00DA5490">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72CF53F8" w14:textId="77777777" w:rsidR="008C7E65" w:rsidRPr="005F0C05" w:rsidRDefault="008C7E65" w:rsidP="008C7E65">
      <w:pPr>
        <w:pStyle w:val="Sraopastraipa"/>
        <w:numPr>
          <w:ilvl w:val="2"/>
          <w:numId w:val="10"/>
        </w:numPr>
        <w:spacing w:after="0" w:line="240" w:lineRule="auto"/>
        <w:ind w:left="0" w:firstLine="567"/>
        <w:jc w:val="both"/>
        <w:rPr>
          <w:rFonts w:cstheme="minorHAnsi"/>
          <w:color w:val="00B050"/>
          <w:sz w:val="22"/>
          <w:szCs w:val="22"/>
          <w:u w:val="single"/>
        </w:rPr>
      </w:pPr>
      <w:r w:rsidRPr="004478F2">
        <w:rPr>
          <w:rFonts w:cstheme="minorHAnsi"/>
          <w:sz w:val="22"/>
          <w:szCs w:val="22"/>
        </w:rPr>
        <w:t>užpildyt</w:t>
      </w:r>
      <w:r>
        <w:rPr>
          <w:rFonts w:cstheme="minorHAnsi"/>
          <w:sz w:val="22"/>
          <w:szCs w:val="22"/>
        </w:rPr>
        <w:t>a</w:t>
      </w:r>
      <w:r w:rsidRPr="004478F2">
        <w:rPr>
          <w:rFonts w:cstheme="minorHAnsi"/>
          <w:sz w:val="22"/>
          <w:szCs w:val="22"/>
        </w:rPr>
        <w:t xml:space="preserve"> techninė specifikacij</w:t>
      </w:r>
      <w:r>
        <w:rPr>
          <w:rFonts w:cstheme="minorHAnsi"/>
          <w:sz w:val="22"/>
          <w:szCs w:val="22"/>
        </w:rPr>
        <w:t>a</w:t>
      </w:r>
      <w:r w:rsidRPr="004478F2">
        <w:rPr>
          <w:rFonts w:cstheme="minorHAnsi"/>
          <w:sz w:val="22"/>
          <w:szCs w:val="22"/>
        </w:rPr>
        <w:t xml:space="preserve"> (pirkimo sąlygų </w:t>
      </w:r>
      <w:r w:rsidRPr="00AB5A0D">
        <w:rPr>
          <w:rFonts w:cs="Calibri"/>
        </w:rPr>
        <w:t>2.1 ir 2.2</w:t>
      </w:r>
      <w:r>
        <w:rPr>
          <w:rFonts w:cs="Calibri"/>
        </w:rPr>
        <w:t xml:space="preserve"> priedai</w:t>
      </w:r>
      <w:r w:rsidRPr="004478F2">
        <w:rPr>
          <w:rFonts w:cstheme="minorHAnsi"/>
          <w:sz w:val="22"/>
          <w:szCs w:val="22"/>
        </w:rPr>
        <w:t>) ir j</w:t>
      </w:r>
      <w:r>
        <w:rPr>
          <w:rFonts w:cstheme="minorHAnsi"/>
          <w:sz w:val="22"/>
          <w:szCs w:val="22"/>
        </w:rPr>
        <w:t>oje</w:t>
      </w:r>
      <w:r w:rsidRPr="004478F2">
        <w:rPr>
          <w:rFonts w:cstheme="minorHAnsi"/>
          <w:sz w:val="22"/>
          <w:szCs w:val="22"/>
        </w:rPr>
        <w:t xml:space="preserve"> nurodyti reikalaujami dokumentai</w:t>
      </w:r>
      <w:r>
        <w:rPr>
          <w:rFonts w:cstheme="minorHAnsi"/>
          <w:sz w:val="22"/>
          <w:szCs w:val="22"/>
        </w:rPr>
        <w:t>;</w:t>
      </w:r>
    </w:p>
    <w:p w14:paraId="58FFDABF" w14:textId="7C278EF8" w:rsidR="005F0C05" w:rsidRPr="00883FF9" w:rsidRDefault="005F0C05" w:rsidP="008C7E65">
      <w:pPr>
        <w:pStyle w:val="Sraopastraipa"/>
        <w:numPr>
          <w:ilvl w:val="2"/>
          <w:numId w:val="10"/>
        </w:numPr>
        <w:spacing w:after="0" w:line="240" w:lineRule="auto"/>
        <w:ind w:left="0" w:firstLine="567"/>
        <w:jc w:val="both"/>
        <w:rPr>
          <w:rFonts w:cstheme="minorHAnsi"/>
          <w:color w:val="00B050"/>
          <w:sz w:val="22"/>
          <w:szCs w:val="22"/>
          <w:u w:val="single"/>
        </w:rPr>
      </w:pPr>
      <w:r>
        <w:rPr>
          <w:rFonts w:cs="Times New Roman"/>
        </w:rPr>
        <w:t>į</w:t>
      </w:r>
      <w:r w:rsidRPr="006E096E">
        <w:rPr>
          <w:rFonts w:cs="Times New Roman"/>
        </w:rPr>
        <w:t>rangos techninių charakteristikų aprašymai ir dokumentai, patvirtinantys, kad siūloma įranga atitinka techninėje specifikacijoje nustatytus reikalavimus</w:t>
      </w:r>
      <w:r>
        <w:rPr>
          <w:rFonts w:cs="Times New Roman"/>
        </w:rPr>
        <w:t xml:space="preserve"> originalo kalba </w:t>
      </w:r>
      <w:r w:rsidRPr="004353CE">
        <w:rPr>
          <w:rFonts w:cs="Times New Roman"/>
        </w:rPr>
        <w:t xml:space="preserve"> </w:t>
      </w:r>
      <w:r>
        <w:rPr>
          <w:rFonts w:cs="Times New Roman"/>
        </w:rPr>
        <w:t xml:space="preserve">ir </w:t>
      </w:r>
      <w:r w:rsidRPr="004353CE">
        <w:rPr>
          <w:rFonts w:cs="Times New Roman"/>
        </w:rPr>
        <w:t>vertim</w:t>
      </w:r>
      <w:r>
        <w:rPr>
          <w:rFonts w:cs="Times New Roman"/>
        </w:rPr>
        <w:t>u</w:t>
      </w:r>
      <w:r w:rsidRPr="004353CE">
        <w:rPr>
          <w:rFonts w:cs="Times New Roman"/>
        </w:rPr>
        <w:t xml:space="preserve"> į lietuvių kalbą</w:t>
      </w:r>
      <w:r>
        <w:rPr>
          <w:rFonts w:cs="Times New Roman"/>
        </w:rPr>
        <w:t xml:space="preserve"> (</w:t>
      </w:r>
      <w:r w:rsidRPr="004353CE">
        <w:rPr>
          <w:rFonts w:cs="Times New Roman"/>
        </w:rPr>
        <w:t>išskyrus atvejus, kai originalo kalba yra anglų – tokiu atveju vertimo į lietuvių kalbą pateikti nereikia</w:t>
      </w:r>
      <w:r>
        <w:rPr>
          <w:rFonts w:cs="Times New Roman"/>
        </w:rPr>
        <w:t>)</w:t>
      </w:r>
      <w:r w:rsidRPr="006E096E">
        <w:rPr>
          <w:rFonts w:cs="Times New Roman"/>
        </w:rPr>
        <w:t>.</w:t>
      </w:r>
    </w:p>
    <w:p w14:paraId="16D53E6B" w14:textId="77777777" w:rsidR="008C7E65" w:rsidRPr="00CF1319" w:rsidRDefault="008C7E65" w:rsidP="008C7E65">
      <w:pPr>
        <w:pStyle w:val="Sraopastraipa"/>
        <w:numPr>
          <w:ilvl w:val="2"/>
          <w:numId w:val="10"/>
        </w:numPr>
        <w:tabs>
          <w:tab w:val="left" w:pos="1134"/>
        </w:tabs>
        <w:spacing w:after="0" w:line="240" w:lineRule="auto"/>
        <w:ind w:left="0" w:firstLine="567"/>
        <w:jc w:val="both"/>
        <w:rPr>
          <w:rFonts w:cstheme="minorHAnsi"/>
          <w:sz w:val="22"/>
          <w:szCs w:val="22"/>
          <w:u w:val="single"/>
        </w:rPr>
      </w:pPr>
      <w:r>
        <w:rPr>
          <w:rFonts w:ascii="Calibri" w:hAnsi="Calibri" w:cs="Calibri"/>
          <w:sz w:val="22"/>
          <w:szCs w:val="22"/>
        </w:rPr>
        <w:t>užpildyta ir pasirašyta n</w:t>
      </w:r>
      <w:r w:rsidRPr="00B52E8A">
        <w:rPr>
          <w:rFonts w:ascii="Calibri" w:hAnsi="Calibri" w:cs="Calibri"/>
          <w:sz w:val="22"/>
          <w:szCs w:val="22"/>
        </w:rPr>
        <w:t xml:space="preserve">acionalinio saugumo reikalavimų atitikties deklaracija (specialiųjų pirkimo sąlygų </w:t>
      </w:r>
      <w:r>
        <w:rPr>
          <w:rFonts w:ascii="Calibri" w:hAnsi="Calibri" w:cs="Calibri"/>
          <w:sz w:val="22"/>
          <w:szCs w:val="22"/>
        </w:rPr>
        <w:t xml:space="preserve">8 </w:t>
      </w:r>
      <w:r w:rsidRPr="00B52E8A">
        <w:rPr>
          <w:rFonts w:ascii="Calibri" w:hAnsi="Calibri" w:cs="Calibri"/>
          <w:sz w:val="22"/>
          <w:szCs w:val="22"/>
        </w:rPr>
        <w:t>priedas)</w:t>
      </w:r>
      <w:r>
        <w:rPr>
          <w:rFonts w:ascii="Calibri" w:hAnsi="Calibri" w:cs="Calibri"/>
          <w:sz w:val="22"/>
          <w:szCs w:val="22"/>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3DC3CF45" w:rsidR="00633007" w:rsidRDefault="000F3DF3" w:rsidP="00633007">
      <w:pPr>
        <w:pStyle w:val="Sraopastraipa"/>
        <w:numPr>
          <w:ilvl w:val="1"/>
          <w:numId w:val="11"/>
        </w:numPr>
        <w:spacing w:line="240" w:lineRule="auto"/>
        <w:ind w:left="0" w:firstLine="567"/>
        <w:jc w:val="both"/>
        <w:rPr>
          <w:rFonts w:cstheme="minorHAnsi"/>
          <w:sz w:val="22"/>
          <w:szCs w:val="22"/>
        </w:rPr>
      </w:pPr>
      <w:r>
        <w:rPr>
          <w:rFonts w:cstheme="minorHAnsi"/>
          <w:sz w:val="22"/>
          <w:szCs w:val="22"/>
        </w:rPr>
        <w:t>Pasiūlymo forma</w:t>
      </w:r>
      <w:r w:rsidRPr="00682B25">
        <w:rPr>
          <w:rFonts w:cstheme="minorHAnsi"/>
          <w:sz w:val="22"/>
          <w:szCs w:val="22"/>
        </w:rPr>
        <w:t xml:space="preserve"> </w:t>
      </w:r>
      <w:r w:rsidR="0048587E" w:rsidRPr="00682B25">
        <w:rPr>
          <w:rFonts w:cstheme="minorHAnsi"/>
          <w:sz w:val="22"/>
          <w:szCs w:val="22"/>
        </w:rPr>
        <w:t>turi būti parengta</w:t>
      </w:r>
      <w:r w:rsidR="00EE44B0" w:rsidRPr="00682B25">
        <w:rPr>
          <w:rFonts w:cstheme="minorHAnsi"/>
          <w:sz w:val="22"/>
          <w:szCs w:val="22"/>
        </w:rPr>
        <w:t xml:space="preserve"> </w:t>
      </w:r>
      <w:r w:rsidR="0048587E" w:rsidRPr="006B158D">
        <w:rPr>
          <w:rFonts w:cstheme="minorHAnsi"/>
          <w:b/>
          <w:bCs/>
          <w:sz w:val="22"/>
          <w:szCs w:val="22"/>
        </w:rPr>
        <w:t>lietuvių kalba</w:t>
      </w:r>
      <w:r w:rsidR="00D17972" w:rsidRPr="006B158D">
        <w:rPr>
          <w:rFonts w:cstheme="minorHAnsi"/>
          <w:sz w:val="22"/>
          <w:szCs w:val="22"/>
        </w:rPr>
        <w:t>.</w:t>
      </w:r>
      <w:r w:rsidR="0048587E" w:rsidRPr="006B158D">
        <w:rPr>
          <w:rFonts w:cstheme="minorHAnsi"/>
          <w:sz w:val="22"/>
          <w:szCs w:val="22"/>
        </w:rPr>
        <w:t xml:space="preserve"> </w:t>
      </w:r>
      <w:r w:rsidR="001140D2" w:rsidRPr="006B158D">
        <w:rPr>
          <w:rFonts w:cstheme="minorHAnsi"/>
          <w:sz w:val="22"/>
          <w:szCs w:val="22"/>
        </w:rPr>
        <w:t xml:space="preserve">Su pasiūlymu pateikiami dokumentai </w:t>
      </w:r>
      <w:r w:rsidR="00F74594" w:rsidRPr="006B158D">
        <w:rPr>
          <w:rFonts w:cstheme="minorHAnsi"/>
          <w:sz w:val="22"/>
          <w:szCs w:val="22"/>
        </w:rPr>
        <w:t xml:space="preserve">(išskyrus tuos dokumentus, kuriuos reikalaujama pateikti abejomis kalbomis) </w:t>
      </w:r>
      <w:r w:rsidR="001140D2" w:rsidRPr="006B158D">
        <w:rPr>
          <w:rFonts w:cstheme="minorHAnsi"/>
          <w:sz w:val="22"/>
          <w:szCs w:val="22"/>
        </w:rPr>
        <w:t xml:space="preserve">turi </w:t>
      </w:r>
      <w:r w:rsidR="001140D2" w:rsidRPr="00682B25">
        <w:rPr>
          <w:rFonts w:cstheme="minorHAnsi"/>
          <w:sz w:val="22"/>
          <w:szCs w:val="22"/>
        </w:rPr>
        <w:t xml:space="preserve">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w:t>
      </w:r>
      <w:r w:rsidR="00EB2414">
        <w:rPr>
          <w:rFonts w:eastAsia="Arial" w:cstheme="minorHAnsi"/>
          <w:sz w:val="22"/>
          <w:szCs w:val="22"/>
        </w:rPr>
        <w:lastRenderedPageBreak/>
        <w:t xml:space="preserve">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2F5195D4" w:rsidR="00C576BD" w:rsidRPr="00B235D1" w:rsidRDefault="003D3768" w:rsidP="003266E6">
      <w:pPr>
        <w:pStyle w:val="Sraopastraipa"/>
        <w:numPr>
          <w:ilvl w:val="1"/>
          <w:numId w:val="11"/>
        </w:numPr>
        <w:spacing w:after="0" w:line="240" w:lineRule="auto"/>
        <w:ind w:left="0" w:firstLine="567"/>
        <w:jc w:val="both"/>
        <w:rPr>
          <w:rFonts w:eastAsia="Calibri" w:cstheme="minorHAnsi"/>
          <w:i/>
          <w:iCs/>
          <w:sz w:val="22"/>
          <w:szCs w:val="22"/>
        </w:rPr>
      </w:pPr>
      <w:r w:rsidRPr="00B235D1">
        <w:rPr>
          <w:rFonts w:cstheme="minorHAnsi"/>
          <w:sz w:val="22"/>
          <w:szCs w:val="22"/>
        </w:rPr>
        <w:t xml:space="preserve">Tiekėjas privalo užtikrinti savo pasiūlymo galiojimą </w:t>
      </w:r>
      <w:r w:rsidR="000D7D49" w:rsidRPr="00B235D1">
        <w:rPr>
          <w:rFonts w:cstheme="minorHAnsi"/>
          <w:sz w:val="22"/>
          <w:szCs w:val="22"/>
        </w:rPr>
        <w:t xml:space="preserve">netesybomis: </w:t>
      </w:r>
      <w:r w:rsidR="007C2617" w:rsidRPr="00B235D1">
        <w:rPr>
          <w:rFonts w:cstheme="minorHAnsi"/>
          <w:b/>
          <w:bCs/>
          <w:sz w:val="22"/>
          <w:szCs w:val="22"/>
        </w:rPr>
        <w:t>3 300,00</w:t>
      </w:r>
      <w:r w:rsidR="00B235D1" w:rsidRPr="00B235D1">
        <w:rPr>
          <w:rFonts w:cstheme="minorHAnsi"/>
          <w:sz w:val="22"/>
          <w:szCs w:val="22"/>
        </w:rPr>
        <w:t xml:space="preserve"> (trys tūkstančiai) </w:t>
      </w:r>
      <w:r w:rsidR="00B235D1" w:rsidRPr="00B235D1">
        <w:rPr>
          <w:rFonts w:cstheme="minorHAnsi"/>
          <w:b/>
          <w:bCs/>
          <w:sz w:val="22"/>
          <w:szCs w:val="22"/>
        </w:rPr>
        <w:t>Eur</w:t>
      </w:r>
      <w:r w:rsidR="00B235D1" w:rsidRPr="00B235D1">
        <w:rPr>
          <w:rFonts w:cstheme="minorHAnsi"/>
          <w:sz w:val="22"/>
          <w:szCs w:val="22"/>
        </w:rPr>
        <w:t xml:space="preserve"> </w:t>
      </w:r>
      <w:r w:rsidR="000D7D49" w:rsidRPr="00B235D1">
        <w:rPr>
          <w:rFonts w:cstheme="minorHAnsi"/>
          <w:b/>
          <w:bCs/>
          <w:sz w:val="22"/>
          <w:szCs w:val="22"/>
        </w:rPr>
        <w:t>bauda</w:t>
      </w:r>
      <w:r w:rsidR="00E74111" w:rsidRPr="00B235D1">
        <w:rPr>
          <w:rFonts w:cstheme="minorHAnsi"/>
          <w:sz w:val="22"/>
          <w:szCs w:val="22"/>
        </w:rPr>
        <w:t>, kurią priv</w:t>
      </w:r>
      <w:r w:rsidR="008741E1" w:rsidRPr="00B235D1">
        <w:rPr>
          <w:rFonts w:cstheme="minorHAnsi"/>
          <w:sz w:val="22"/>
          <w:szCs w:val="22"/>
        </w:rPr>
        <w:t>a</w:t>
      </w:r>
      <w:r w:rsidR="00E74111" w:rsidRPr="00B235D1">
        <w:rPr>
          <w:rFonts w:cstheme="minorHAnsi"/>
          <w:sz w:val="22"/>
          <w:szCs w:val="22"/>
        </w:rPr>
        <w:t>lės sumokėti per 10 darbo dienų</w:t>
      </w:r>
      <w:r w:rsidR="008741E1" w:rsidRPr="00B235D1">
        <w:rPr>
          <w:rFonts w:cstheme="minorHAnsi"/>
          <w:sz w:val="22"/>
          <w:szCs w:val="22"/>
        </w:rPr>
        <w:t xml:space="preserve"> nuo perkančiosios organizacijos pareikalavimo</w:t>
      </w:r>
      <w:r w:rsidR="006275D6" w:rsidRPr="00B235D1">
        <w:rPr>
          <w:rFonts w:cstheme="minorHAnsi"/>
          <w:sz w:val="22"/>
          <w:szCs w:val="22"/>
        </w:rPr>
        <w:t>.</w:t>
      </w:r>
      <w:r w:rsidR="000D7D49" w:rsidRPr="00B235D1">
        <w:rPr>
          <w:rFonts w:cstheme="minorHAnsi"/>
          <w:sz w:val="22"/>
          <w:szCs w:val="22"/>
        </w:rPr>
        <w:t xml:space="preserve"> </w:t>
      </w:r>
      <w:r w:rsidR="000D7D49" w:rsidRPr="00B235D1">
        <w:rPr>
          <w:rFonts w:cstheme="minorHAnsi"/>
          <w:sz w:val="22"/>
          <w:szCs w:val="22"/>
          <w:highlight w:val="lightGray"/>
        </w:rPr>
        <w:t xml:space="preserve"> </w:t>
      </w:r>
    </w:p>
    <w:p w14:paraId="2B1BFBE6" w14:textId="6EE5138D" w:rsidR="00000B56" w:rsidRPr="00E9683B" w:rsidRDefault="00000B56" w:rsidP="0BEFDCB3">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239F5622" w14:textId="37307CEB" w:rsidR="0033072F" w:rsidRPr="00682B25" w:rsidRDefault="00902F2D"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7594D2A3" w:rsidR="00BF5928" w:rsidRPr="001B70DB" w:rsidRDefault="004E71CB" w:rsidP="001B70DB">
      <w:pPr>
        <w:pStyle w:val="Sraopastraipa"/>
        <w:numPr>
          <w:ilvl w:val="1"/>
          <w:numId w:val="11"/>
        </w:numPr>
        <w:spacing w:after="0" w:line="240" w:lineRule="auto"/>
        <w:ind w:left="0" w:firstLine="710"/>
        <w:jc w:val="both"/>
        <w:rPr>
          <w:rFonts w:cstheme="minorHAnsi"/>
          <w:sz w:val="22"/>
          <w:szCs w:val="22"/>
        </w:rPr>
      </w:pPr>
      <w:r w:rsidRPr="00FB0B66">
        <w:rPr>
          <w:rFonts w:eastAsia="Calibri" w:cstheme="minorHAnsi"/>
          <w:sz w:val="22"/>
          <w:szCs w:val="22"/>
        </w:rPr>
        <w:t xml:space="preserve">Perkančioji organizacija ekonomiškai naudingiausią pasiūlymą išrenka pagal </w:t>
      </w:r>
      <w:r w:rsidR="00003A3F" w:rsidRPr="00FB0B66">
        <w:rPr>
          <w:rFonts w:eastAsia="Calibri" w:cstheme="minorHAnsi"/>
          <w:sz w:val="22"/>
          <w:szCs w:val="22"/>
        </w:rPr>
        <w:t>kainos ir kokybės santykį. Duomenys, kuriuos savo pasiūlyme turi pateikti tiekėjas, vertinimo kriterijai ir tvarka, pagal kuri</w:t>
      </w:r>
      <w:r w:rsidR="00822F6E" w:rsidRPr="00FB0B66">
        <w:rPr>
          <w:rFonts w:eastAsia="Calibri" w:cstheme="minorHAnsi"/>
          <w:sz w:val="22"/>
          <w:szCs w:val="22"/>
        </w:rPr>
        <w:t>ą</w:t>
      </w:r>
      <w:r w:rsidR="00003A3F" w:rsidRPr="00FB0B66">
        <w:rPr>
          <w:rFonts w:eastAsia="Calibri" w:cstheme="minorHAnsi"/>
          <w:sz w:val="22"/>
          <w:szCs w:val="22"/>
        </w:rPr>
        <w:t xml:space="preserve"> vertinami tiekėjo pateikti duomenys, pateikiama</w:t>
      </w:r>
      <w:r w:rsidRPr="00FB0B66">
        <w:rPr>
          <w:rFonts w:eastAsia="Calibri" w:cstheme="minorHAnsi"/>
          <w:sz w:val="22"/>
          <w:szCs w:val="22"/>
        </w:rPr>
        <w:t xml:space="preserve"> </w:t>
      </w:r>
      <w:r w:rsidR="00CE14DF" w:rsidRPr="00FB0B66">
        <w:rPr>
          <w:rFonts w:eastAsia="Calibri" w:cstheme="minorHAnsi"/>
          <w:sz w:val="22"/>
          <w:szCs w:val="22"/>
        </w:rPr>
        <w:t>specialiųjų p</w:t>
      </w:r>
      <w:r w:rsidR="00551FA7" w:rsidRPr="00FB0B66">
        <w:rPr>
          <w:rFonts w:eastAsia="Calibri" w:cstheme="minorHAnsi"/>
          <w:sz w:val="22"/>
          <w:szCs w:val="22"/>
        </w:rPr>
        <w:t xml:space="preserve">irkimo </w:t>
      </w:r>
      <w:r w:rsidR="00913029" w:rsidRPr="00FB0B66">
        <w:rPr>
          <w:rFonts w:eastAsia="Calibri" w:cstheme="minorHAnsi"/>
          <w:sz w:val="22"/>
          <w:szCs w:val="22"/>
        </w:rPr>
        <w:t>sąlygų</w:t>
      </w:r>
      <w:r w:rsidR="00090235" w:rsidRPr="00FB0B66">
        <w:rPr>
          <w:rFonts w:eastAsia="Calibri" w:cstheme="minorHAnsi"/>
          <w:sz w:val="22"/>
          <w:szCs w:val="22"/>
        </w:rPr>
        <w:t xml:space="preserve"> </w:t>
      </w:r>
      <w:r w:rsidR="00BD7BAD" w:rsidRPr="001B70DB">
        <w:rPr>
          <w:rFonts w:cstheme="minorHAnsi"/>
          <w:sz w:val="22"/>
          <w:szCs w:val="22"/>
          <w:shd w:val="clear" w:color="auto" w:fill="FFFFFF"/>
        </w:rPr>
        <w:t>3</w:t>
      </w:r>
      <w:r w:rsidR="003339CC" w:rsidRPr="001B70DB">
        <w:rPr>
          <w:rFonts w:cstheme="minorHAnsi"/>
          <w:sz w:val="22"/>
          <w:szCs w:val="22"/>
          <w:shd w:val="clear" w:color="auto" w:fill="FFFFFF"/>
        </w:rPr>
        <w:t xml:space="preserve"> priede „Pasiūlymo forma“ ir </w:t>
      </w:r>
      <w:r w:rsidR="00F76B50" w:rsidRPr="001B70DB">
        <w:rPr>
          <w:rFonts w:cstheme="minorHAnsi"/>
          <w:sz w:val="22"/>
          <w:szCs w:val="22"/>
          <w:shd w:val="clear" w:color="auto" w:fill="FFFFFF"/>
        </w:rPr>
        <w:t>4</w:t>
      </w:r>
      <w:r w:rsidR="004C7E56" w:rsidRPr="001B70DB">
        <w:rPr>
          <w:rFonts w:cstheme="minorHAnsi"/>
          <w:sz w:val="22"/>
          <w:szCs w:val="22"/>
          <w:shd w:val="clear" w:color="auto" w:fill="FFFFFF"/>
        </w:rPr>
        <w:t xml:space="preserve"> priede </w:t>
      </w:r>
      <w:r w:rsidR="004C7E56" w:rsidRPr="001B70DB">
        <w:rPr>
          <w:rFonts w:eastAsia="Calibri" w:cstheme="minorHAnsi"/>
          <w:sz w:val="22"/>
          <w:szCs w:val="22"/>
        </w:rPr>
        <w:t>„Pasiūlymų vertinimo kriterijai ir sąlygos</w:t>
      </w:r>
      <w:r w:rsidR="002D1075" w:rsidRPr="001B70DB">
        <w:rPr>
          <w:rFonts w:eastAsia="Calibri" w:cstheme="minorHAnsi"/>
          <w:sz w:val="22"/>
          <w:szCs w:val="22"/>
        </w:rPr>
        <w:t>“</w:t>
      </w:r>
      <w:r w:rsidR="00090235" w:rsidRPr="001B70DB">
        <w:rPr>
          <w:rFonts w:eastAsia="Calibri" w:cstheme="minorHAnsi"/>
          <w:sz w:val="22"/>
          <w:szCs w:val="22"/>
        </w:rPr>
        <w:t>.</w:t>
      </w:r>
      <w:r w:rsidR="00CE14DF" w:rsidRPr="001B70DB">
        <w:rPr>
          <w:rFonts w:eastAsia="Calibri" w:cstheme="minorHAnsi"/>
          <w:sz w:val="22"/>
          <w:szCs w:val="22"/>
        </w:rPr>
        <w:t xml:space="preserve"> </w:t>
      </w:r>
    </w:p>
    <w:p w14:paraId="102136D3" w14:textId="63F04838" w:rsidR="00D734C6" w:rsidRPr="001B70DB" w:rsidRDefault="00D734C6" w:rsidP="001B70DB">
      <w:pPr>
        <w:pStyle w:val="Sraopastraipa"/>
        <w:numPr>
          <w:ilvl w:val="1"/>
          <w:numId w:val="11"/>
        </w:numPr>
        <w:spacing w:after="0" w:line="240" w:lineRule="auto"/>
        <w:ind w:left="0" w:firstLine="710"/>
        <w:jc w:val="both"/>
        <w:rPr>
          <w:rFonts w:eastAsia="Calibri" w:cstheme="minorHAnsi"/>
          <w:sz w:val="22"/>
          <w:szCs w:val="22"/>
        </w:rPr>
      </w:pPr>
      <w:r w:rsidRPr="001B70DB">
        <w:rPr>
          <w:rFonts w:cstheme="minorHAnsi"/>
          <w:color w:val="000000" w:themeColor="text1"/>
          <w:sz w:val="22"/>
          <w:szCs w:val="22"/>
        </w:rPr>
        <w:t xml:space="preserve">Laimėjusiu </w:t>
      </w:r>
      <w:r w:rsidR="005D7D8C" w:rsidRPr="001B70DB">
        <w:rPr>
          <w:rFonts w:cstheme="minorHAnsi"/>
          <w:color w:val="000000" w:themeColor="text1"/>
          <w:sz w:val="22"/>
          <w:szCs w:val="22"/>
        </w:rPr>
        <w:t>pasiūlymu</w:t>
      </w:r>
      <w:r w:rsidRPr="001B70DB">
        <w:rPr>
          <w:rFonts w:cstheme="minorHAnsi"/>
          <w:color w:val="000000" w:themeColor="text1"/>
          <w:sz w:val="22"/>
          <w:szCs w:val="22"/>
        </w:rPr>
        <w:t xml:space="preserve"> galės būti pripažintas tik 1 (vienas) </w:t>
      </w:r>
      <w:r w:rsidR="005D7D8C" w:rsidRPr="001B70DB">
        <w:rPr>
          <w:rFonts w:cstheme="minorHAnsi"/>
          <w:color w:val="000000" w:themeColor="text1"/>
          <w:sz w:val="22"/>
          <w:szCs w:val="22"/>
        </w:rPr>
        <w:t>ekonomiškai naudingiausias pasiūlymas, esantis pasiūlymų eilės pirmojoje vietoje</w:t>
      </w:r>
      <w:r w:rsidRPr="001B70DB">
        <w:rPr>
          <w:rFonts w:cstheme="minorHAnsi"/>
          <w:color w:val="000000" w:themeColor="text1"/>
          <w:sz w:val="22"/>
          <w:szCs w:val="22"/>
        </w:rPr>
        <w:t xml:space="preserve">. </w:t>
      </w:r>
    </w:p>
    <w:p w14:paraId="2BC5D08C" w14:textId="48429E00" w:rsidR="000857D7" w:rsidRPr="00DF0D53"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DF0D53" w:rsidRPr="00FF5D52">
        <w:rPr>
          <w:rStyle w:val="cf01"/>
          <w:rFonts w:asciiTheme="minorHAnsi" w:hAnsiTheme="minorHAnsi" w:cstheme="minorHAnsi"/>
          <w:sz w:val="22"/>
          <w:szCs w:val="22"/>
        </w:rPr>
        <w:t xml:space="preserve">Techninė specifikacija, užpildyta pagal specialiųjų pirkimo sąlygų 2.1 </w:t>
      </w:r>
      <w:r w:rsidR="00DF0D53" w:rsidRPr="00DF0D53">
        <w:rPr>
          <w:rStyle w:val="cf01"/>
          <w:rFonts w:asciiTheme="minorHAnsi" w:hAnsiTheme="minorHAnsi" w:cstheme="minorHAnsi"/>
          <w:sz w:val="22"/>
          <w:szCs w:val="22"/>
        </w:rPr>
        <w:t xml:space="preserve">ir 2.2 priedus </w:t>
      </w:r>
      <w:r w:rsidR="005F7E31" w:rsidRPr="00DF0D53">
        <w:rPr>
          <w:rStyle w:val="cf01"/>
          <w:rFonts w:asciiTheme="minorHAnsi" w:hAnsiTheme="minorHAnsi" w:cstheme="minorHAnsi"/>
          <w:sz w:val="22"/>
          <w:szCs w:val="22"/>
        </w:rPr>
        <w:t>ir</w:t>
      </w:r>
      <w:r w:rsidR="000857D7" w:rsidRPr="00DF0D53">
        <w:rPr>
          <w:rStyle w:val="cf01"/>
          <w:rFonts w:asciiTheme="minorHAnsi" w:hAnsiTheme="minorHAnsi" w:cstheme="minorHAnsi"/>
          <w:sz w:val="22"/>
          <w:szCs w:val="22"/>
        </w:rPr>
        <w:t xml:space="preserve"> Pasiūlymo forma, užpildyta pagal specialiųjų pirkimo sąlygų 3 priedą</w:t>
      </w:r>
      <w:r w:rsidR="00C50B8F" w:rsidRPr="00DF0D53">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lastRenderedPageBreak/>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Pr="00DF0D53"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xml:space="preserve">, o jei pirkimas skaidomas į dalis – su tiekėjais, kurių </w:t>
      </w:r>
      <w:r w:rsidR="008933BC" w:rsidRPr="00DF0D53">
        <w:rPr>
          <w:rFonts w:cstheme="minorHAnsi"/>
          <w:sz w:val="22"/>
          <w:szCs w:val="22"/>
        </w:rPr>
        <w:t>pasiūlymai bus pripažinti laimėję</w:t>
      </w:r>
      <w:r w:rsidR="00F065D6" w:rsidRPr="00DF0D53">
        <w:rPr>
          <w:rFonts w:cstheme="minorHAnsi"/>
          <w:sz w:val="22"/>
          <w:szCs w:val="22"/>
        </w:rPr>
        <w:t xml:space="preserve">. </w:t>
      </w:r>
      <w:r w:rsidR="004B2DE4" w:rsidRPr="00DF0D53">
        <w:rPr>
          <w:rFonts w:cstheme="minorHAnsi"/>
          <w:sz w:val="22"/>
          <w:szCs w:val="22"/>
        </w:rPr>
        <w:t xml:space="preserve">Sutarties sąlygos pateikiamos </w:t>
      </w:r>
      <w:r w:rsidR="00F04AAE" w:rsidRPr="00DF0D53">
        <w:rPr>
          <w:rFonts w:cstheme="minorHAnsi"/>
          <w:sz w:val="22"/>
          <w:szCs w:val="22"/>
        </w:rPr>
        <w:t>specialiųjų pirkimo</w:t>
      </w:r>
      <w:r w:rsidR="00551FA7" w:rsidRPr="00DF0D53">
        <w:rPr>
          <w:rFonts w:cstheme="minorHAnsi"/>
          <w:sz w:val="22"/>
          <w:szCs w:val="22"/>
        </w:rPr>
        <w:t xml:space="preserve"> </w:t>
      </w:r>
      <w:r w:rsidR="00D86901" w:rsidRPr="00DF0D53">
        <w:rPr>
          <w:rFonts w:cstheme="minorHAnsi"/>
          <w:sz w:val="22"/>
          <w:szCs w:val="22"/>
        </w:rPr>
        <w:t xml:space="preserve">sąlygų </w:t>
      </w:r>
      <w:r w:rsidR="00442563" w:rsidRPr="00DF0D53">
        <w:rPr>
          <w:rFonts w:cstheme="minorHAnsi"/>
          <w:sz w:val="22"/>
          <w:szCs w:val="22"/>
        </w:rPr>
        <w:t>5</w:t>
      </w:r>
      <w:r w:rsidR="00F04AAE" w:rsidRPr="00DF0D53">
        <w:rPr>
          <w:rFonts w:cstheme="minorHAnsi"/>
          <w:sz w:val="22"/>
          <w:szCs w:val="22"/>
        </w:rPr>
        <w:t xml:space="preserve"> </w:t>
      </w:r>
      <w:r w:rsidR="00D86901" w:rsidRPr="00DF0D53">
        <w:rPr>
          <w:rFonts w:cstheme="minorHAnsi"/>
          <w:sz w:val="22"/>
          <w:szCs w:val="22"/>
        </w:rPr>
        <w:t>priede „Sutarties projektas“</w:t>
      </w:r>
      <w:r w:rsidR="004B2DE4" w:rsidRPr="00DF0D53">
        <w:rPr>
          <w:rFonts w:cstheme="minorHAnsi"/>
          <w:sz w:val="22"/>
          <w:szCs w:val="22"/>
        </w:rPr>
        <w:t>.</w:t>
      </w:r>
    </w:p>
    <w:p w14:paraId="62CB5B95" w14:textId="18253622" w:rsidR="00F67688" w:rsidRPr="009852E2" w:rsidRDefault="00F67688" w:rsidP="009852E2">
      <w:pPr>
        <w:pStyle w:val="Sraopastraipa"/>
        <w:numPr>
          <w:ilvl w:val="1"/>
          <w:numId w:val="11"/>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0" w:name="_Toc190416443"/>
      <w:bookmarkStart w:id="61"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9C4296">
            <w:pPr>
              <w:spacing w:after="0" w:line="240" w:lineRule="auto"/>
              <w:jc w:val="both"/>
              <w:rPr>
                <w:rFonts w:cstheme="minorHAnsi"/>
                <w:sz w:val="22"/>
                <w:szCs w:val="22"/>
              </w:rPr>
            </w:pPr>
            <w:r w:rsidRPr="00682B25">
              <w:rPr>
                <w:rFonts w:cstheme="minorHAnsi"/>
                <w:sz w:val="22"/>
                <w:szCs w:val="22"/>
              </w:rPr>
              <w:t xml:space="preserve">Pradedamas ne anksčiau nei </w:t>
            </w:r>
            <w:r w:rsidRPr="009C4296">
              <w:rPr>
                <w:rFonts w:cstheme="minorHAnsi"/>
                <w:sz w:val="22"/>
                <w:szCs w:val="22"/>
              </w:rPr>
              <w:t xml:space="preserve">po </w:t>
            </w:r>
            <w:r w:rsidR="006B0247" w:rsidRPr="009C4296">
              <w:rPr>
                <w:rFonts w:cstheme="minorHAnsi"/>
                <w:sz w:val="22"/>
                <w:szCs w:val="22"/>
              </w:rPr>
              <w:t>30</w:t>
            </w:r>
            <w:r w:rsidRPr="009C4296">
              <w:rPr>
                <w:rFonts w:cstheme="minorHAnsi"/>
                <w:sz w:val="22"/>
                <w:szCs w:val="22"/>
              </w:rPr>
              <w:t xml:space="preserve"> </w:t>
            </w:r>
            <w:r w:rsidR="00724BAD" w:rsidRPr="009C4296">
              <w:rPr>
                <w:rFonts w:cstheme="minorHAnsi"/>
                <w:sz w:val="22"/>
                <w:szCs w:val="22"/>
              </w:rPr>
              <w:t xml:space="preserve">(trisdešimt) </w:t>
            </w:r>
            <w:r w:rsidRPr="009C4296">
              <w:rPr>
                <w:rFonts w:cstheme="minorHAnsi"/>
                <w:sz w:val="22"/>
                <w:szCs w:val="22"/>
              </w:rPr>
              <w:t>minučių po pasiūly</w:t>
            </w:r>
            <w:r w:rsidRPr="00682B25">
              <w:rPr>
                <w:rFonts w:cstheme="minorHAnsi"/>
                <w:sz w:val="22"/>
                <w:szCs w:val="22"/>
              </w:rPr>
              <w:t>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16FDCA8A" w:rsidR="00774AA5" w:rsidRPr="00682B25" w:rsidRDefault="007F1600" w:rsidP="009C4296">
            <w:pPr>
              <w:spacing w:after="0" w:line="240" w:lineRule="auto"/>
              <w:jc w:val="both"/>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46A43102" w:rsidR="00774AA5" w:rsidRPr="00682B25" w:rsidRDefault="00724BAD" w:rsidP="009C4296">
            <w:pPr>
              <w:spacing w:after="0" w:line="240" w:lineRule="auto"/>
              <w:jc w:val="both"/>
              <w:rPr>
                <w:rFonts w:cstheme="minorHAnsi"/>
                <w:sz w:val="22"/>
                <w:szCs w:val="22"/>
              </w:rPr>
            </w:pPr>
            <w:r w:rsidRPr="00682B25">
              <w:rPr>
                <w:rFonts w:cstheme="minorHAnsi"/>
                <w:sz w:val="22"/>
                <w:szCs w:val="22"/>
              </w:rPr>
              <w:t>6 (šešios) dienos iki pasiūlymų pateikimo dienos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9C4296">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43DE53A0"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9C4296">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9C4296">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9C4296">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96B50A4" w:rsidR="00774AA5" w:rsidRPr="00682B25" w:rsidRDefault="58536623" w:rsidP="009C4296">
            <w:pPr>
              <w:spacing w:after="0" w:line="240" w:lineRule="auto"/>
              <w:jc w:val="both"/>
              <w:rPr>
                <w:sz w:val="22"/>
                <w:szCs w:val="22"/>
              </w:rPr>
            </w:pPr>
            <w:r w:rsidRPr="009C4296">
              <w:rPr>
                <w:sz w:val="22"/>
                <w:szCs w:val="22"/>
              </w:rPr>
              <w:t>3 (trys) mėnesiai</w:t>
            </w:r>
            <w:r w:rsidR="00774AA5" w:rsidRPr="009C4296">
              <w:rPr>
                <w:sz w:val="22"/>
                <w:szCs w:val="22"/>
              </w:rPr>
              <w:t xml:space="preserve"> nuo pasiūlymų pateiki</w:t>
            </w:r>
            <w:r w:rsidR="00774AA5" w:rsidRPr="1CF31C72">
              <w:rPr>
                <w:sz w:val="22"/>
                <w:szCs w:val="22"/>
              </w:rPr>
              <w:t>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64CD1">
            <w:pPr>
              <w:spacing w:after="0" w:line="240" w:lineRule="auto"/>
              <w:jc w:val="both"/>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64CD1">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2260F87A" w:rsidR="006C7941" w:rsidRPr="00682B25" w:rsidRDefault="00774AA5" w:rsidP="00064CD1">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064CD1">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064CD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40E2A509" w:rsidR="00774AA5" w:rsidRPr="00682B25" w:rsidRDefault="00774AA5" w:rsidP="00064CD1">
            <w:pPr>
              <w:spacing w:after="0" w:line="240" w:lineRule="auto"/>
              <w:jc w:val="both"/>
              <w:rPr>
                <w:rFonts w:cstheme="minorHAnsi"/>
                <w:sz w:val="22"/>
                <w:szCs w:val="22"/>
              </w:rPr>
            </w:pPr>
            <w:r w:rsidRPr="00682B25">
              <w:rPr>
                <w:rFonts w:cstheme="minorHAnsi"/>
                <w:sz w:val="22"/>
                <w:szCs w:val="22"/>
              </w:rPr>
              <w:t>6 (šešias) darbo dienas nuo</w:t>
            </w:r>
            <w:r w:rsidR="00064CD1">
              <w:rPr>
                <w:rFonts w:cstheme="minorHAnsi"/>
                <w:sz w:val="22"/>
                <w:szCs w:val="22"/>
              </w:rPr>
              <w:t xml:space="preserve"> </w:t>
            </w:r>
            <w:r w:rsidRPr="00682B25">
              <w:rPr>
                <w:rFonts w:cstheme="minorHAnsi"/>
                <w:sz w:val="22"/>
                <w:szCs w:val="22"/>
              </w:rPr>
              <w:t>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w:t>
            </w:r>
            <w:r w:rsidRPr="00682B25">
              <w:rPr>
                <w:rFonts w:cstheme="minorHAnsi"/>
                <w:bCs/>
                <w:sz w:val="22"/>
                <w:szCs w:val="22"/>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64CD1">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56A924F8" w:rsidR="00774AA5" w:rsidRPr="00682B25" w:rsidRDefault="00774AA5" w:rsidP="00064CD1">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064CD1" w:rsidRDefault="000B4E01" w:rsidP="00451AF7">
            <w:pPr>
              <w:spacing w:after="0" w:line="240" w:lineRule="auto"/>
              <w:jc w:val="both"/>
              <w:rPr>
                <w:rFonts w:cstheme="minorHAnsi"/>
                <w:i/>
                <w:iCs/>
                <w:sz w:val="22"/>
                <w:szCs w:val="22"/>
              </w:rPr>
            </w:pPr>
            <w:r w:rsidRPr="00064CD1">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064CD1" w:rsidRDefault="00ED5B78" w:rsidP="00451AF7">
            <w:pPr>
              <w:spacing w:after="0" w:line="240" w:lineRule="auto"/>
              <w:jc w:val="both"/>
              <w:rPr>
                <w:rFonts w:cstheme="minorHAnsi"/>
                <w:i/>
                <w:iCs/>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7777777" w:rsidR="00AB3E93" w:rsidRDefault="00AB3E93" w:rsidP="00AB3E93">
      <w:pPr>
        <w:jc w:val="right"/>
        <w:rPr>
          <w:rFonts w:eastAsia="Calibri" w:cstheme="minorHAnsi"/>
          <w:color w:val="0070C0"/>
          <w:sz w:val="22"/>
          <w:szCs w:val="22"/>
        </w:rPr>
        <w:sectPr w:rsidR="00AB3E93" w:rsidSect="00F47858">
          <w:footerReference w:type="first" r:id="rId15"/>
          <w:pgSz w:w="12240" w:h="15840"/>
          <w:pgMar w:top="1134" w:right="567" w:bottom="1134" w:left="1701" w:header="720" w:footer="720" w:gutter="0"/>
          <w:pgNumType w:start="22"/>
          <w:cols w:space="720"/>
          <w:titlePg/>
          <w:docGrid w:linePitch="360"/>
        </w:sectPr>
      </w:pPr>
      <w:bookmarkStart w:id="62" w:name="_Pirkimo_sąlygų_2"/>
      <w:bookmarkStart w:id="63" w:name="_Ref39484039"/>
      <w:bookmarkStart w:id="64" w:name="_Ref40278562"/>
      <w:bookmarkStart w:id="65" w:name="_Toc190416450"/>
      <w:bookmarkStart w:id="66" w:name="_Toc195618407"/>
      <w:bookmarkStart w:id="67" w:name="_Ref38285444"/>
      <w:bookmarkStart w:id="68" w:name="_Ref38291496"/>
      <w:bookmarkStart w:id="69" w:name="_Toc190416445"/>
      <w:bookmarkEnd w:id="62"/>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3"/>
      <w:bookmarkEnd w:id="64"/>
      <w:bookmarkEnd w:id="65"/>
      <w:bookmarkEnd w:id="6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77777777" w:rsidR="00D33821" w:rsidRPr="00F40A93" w:rsidRDefault="00D33821" w:rsidP="00D33821">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kriterijai:</w:t>
      </w:r>
    </w:p>
    <w:tbl>
      <w:tblPr>
        <w:tblStyle w:val="Lentelstinklelis"/>
        <w:tblW w:w="9917" w:type="dxa"/>
        <w:tblInd w:w="0" w:type="dxa"/>
        <w:tblLook w:val="04A0" w:firstRow="1" w:lastRow="0" w:firstColumn="1" w:lastColumn="0" w:noHBand="0" w:noVBand="1"/>
      </w:tblPr>
      <w:tblGrid>
        <w:gridCol w:w="669"/>
        <w:gridCol w:w="5563"/>
        <w:gridCol w:w="1842"/>
        <w:gridCol w:w="1843"/>
      </w:tblGrid>
      <w:tr w:rsidR="00507AC2" w:rsidRPr="00F40A93" w14:paraId="615D09CC" w14:textId="77777777" w:rsidTr="00EA18CC">
        <w:tc>
          <w:tcPr>
            <w:tcW w:w="6232" w:type="dxa"/>
            <w:gridSpan w:val="2"/>
            <w:vAlign w:val="center"/>
          </w:tcPr>
          <w:p w14:paraId="716B4374" w14:textId="77777777" w:rsidR="00507AC2" w:rsidRPr="00F40A93" w:rsidRDefault="00507AC2" w:rsidP="007403C4">
            <w:pPr>
              <w:suppressAutoHyphens/>
              <w:jc w:val="center"/>
              <w:rPr>
                <w:rFonts w:asciiTheme="minorHAnsi" w:cstheme="minorHAnsi"/>
              </w:rPr>
            </w:pPr>
            <w:r w:rsidRPr="00F40A93">
              <w:rPr>
                <w:rFonts w:asciiTheme="minorHAnsi" w:cstheme="minorHAnsi"/>
              </w:rPr>
              <w:t>Vertinimo kriterijai</w:t>
            </w:r>
          </w:p>
        </w:tc>
        <w:tc>
          <w:tcPr>
            <w:tcW w:w="1842" w:type="dxa"/>
            <w:vAlign w:val="center"/>
          </w:tcPr>
          <w:p w14:paraId="3B07BB84" w14:textId="77777777" w:rsidR="00507AC2" w:rsidRPr="00F40A93" w:rsidRDefault="00507AC2" w:rsidP="007403C4">
            <w:pPr>
              <w:suppressAutoHyphens/>
              <w:jc w:val="center"/>
              <w:rPr>
                <w:rFonts w:asciiTheme="minorHAnsi" w:cstheme="minorHAnsi"/>
              </w:rPr>
            </w:pPr>
            <w:r w:rsidRPr="00F40A93">
              <w:rPr>
                <w:rFonts w:asciiTheme="minorHAnsi" w:cstheme="minorHAnsi"/>
              </w:rPr>
              <w:t>Kriterijaus parametro lyginamasis svoris</w:t>
            </w:r>
          </w:p>
        </w:tc>
        <w:tc>
          <w:tcPr>
            <w:tcW w:w="1843" w:type="dxa"/>
            <w:vAlign w:val="center"/>
          </w:tcPr>
          <w:p w14:paraId="32B192E4" w14:textId="77777777" w:rsidR="00507AC2" w:rsidRPr="00F40A93" w:rsidRDefault="00507AC2" w:rsidP="007403C4">
            <w:pPr>
              <w:suppressAutoHyphens/>
              <w:jc w:val="center"/>
              <w:rPr>
                <w:rFonts w:asciiTheme="minorHAnsi" w:cstheme="minorHAnsi"/>
              </w:rPr>
            </w:pPr>
            <w:r w:rsidRPr="00F40A93">
              <w:rPr>
                <w:rFonts w:asciiTheme="minorHAnsi" w:cstheme="minorHAnsi"/>
              </w:rPr>
              <w:t>Kriterijaus lyginamasis svoris</w:t>
            </w:r>
          </w:p>
        </w:tc>
      </w:tr>
      <w:tr w:rsidR="00507AC2" w:rsidRPr="00502307" w14:paraId="123D6652" w14:textId="77777777" w:rsidTr="00EA18CC">
        <w:tc>
          <w:tcPr>
            <w:tcW w:w="6232" w:type="dxa"/>
            <w:gridSpan w:val="2"/>
          </w:tcPr>
          <w:p w14:paraId="494DB033" w14:textId="77777777" w:rsidR="00507AC2" w:rsidRPr="00502307" w:rsidRDefault="00507AC2" w:rsidP="007403C4">
            <w:pPr>
              <w:suppressAutoHyphens/>
              <w:jc w:val="both"/>
              <w:rPr>
                <w:rFonts w:asciiTheme="minorHAnsi" w:cstheme="minorHAnsi"/>
              </w:rPr>
            </w:pPr>
            <w:r w:rsidRPr="00502307">
              <w:rPr>
                <w:rFonts w:asciiTheme="minorHAnsi" w:cstheme="minorHAnsi"/>
              </w:rPr>
              <w:t xml:space="preserve">Kaina </w:t>
            </w:r>
            <w:r w:rsidRPr="00502307">
              <w:rPr>
                <w:rFonts w:asciiTheme="minorHAnsi" w:cstheme="minorHAnsi"/>
                <w:i/>
              </w:rPr>
              <w:t>(K)</w:t>
            </w:r>
          </w:p>
        </w:tc>
        <w:tc>
          <w:tcPr>
            <w:tcW w:w="1842" w:type="dxa"/>
          </w:tcPr>
          <w:p w14:paraId="446D6D3E" w14:textId="77777777" w:rsidR="00507AC2" w:rsidRPr="00502307" w:rsidRDefault="00507AC2" w:rsidP="007403C4">
            <w:pPr>
              <w:suppressAutoHyphens/>
              <w:jc w:val="both"/>
              <w:rPr>
                <w:rFonts w:asciiTheme="minorHAnsi" w:cstheme="minorHAnsi"/>
              </w:rPr>
            </w:pPr>
          </w:p>
        </w:tc>
        <w:tc>
          <w:tcPr>
            <w:tcW w:w="1843" w:type="dxa"/>
          </w:tcPr>
          <w:p w14:paraId="3504BFC3" w14:textId="62CD7D15" w:rsidR="00507AC2" w:rsidRPr="00502307" w:rsidRDefault="00507AC2" w:rsidP="007403C4">
            <w:pPr>
              <w:suppressAutoHyphens/>
              <w:jc w:val="both"/>
              <w:rPr>
                <w:rFonts w:asciiTheme="minorHAnsi" w:cstheme="minorHAnsi"/>
              </w:rPr>
            </w:pPr>
            <w:r w:rsidRPr="00502307">
              <w:rPr>
                <w:rFonts w:asciiTheme="minorHAnsi" w:cstheme="minorHAnsi"/>
              </w:rPr>
              <w:t>X=</w:t>
            </w:r>
            <w:r>
              <w:rPr>
                <w:rFonts w:asciiTheme="minorHAnsi" w:cstheme="minorHAnsi"/>
              </w:rPr>
              <w:t>9</w:t>
            </w:r>
            <w:r w:rsidR="0034560D">
              <w:rPr>
                <w:rFonts w:asciiTheme="minorHAnsi" w:cstheme="minorHAnsi"/>
              </w:rPr>
              <w:t>7</w:t>
            </w:r>
          </w:p>
        </w:tc>
      </w:tr>
      <w:tr w:rsidR="00507AC2" w:rsidRPr="00502307" w14:paraId="4CCDED2F" w14:textId="77777777" w:rsidTr="00EA18CC">
        <w:tc>
          <w:tcPr>
            <w:tcW w:w="6232" w:type="dxa"/>
            <w:gridSpan w:val="2"/>
          </w:tcPr>
          <w:p w14:paraId="588B2065" w14:textId="77777777" w:rsidR="00507AC2" w:rsidRPr="00502307" w:rsidRDefault="00507AC2" w:rsidP="007403C4">
            <w:pPr>
              <w:suppressAutoHyphens/>
              <w:jc w:val="both"/>
              <w:rPr>
                <w:rFonts w:asciiTheme="minorHAnsi" w:cstheme="minorHAnsi"/>
                <w:i/>
              </w:rPr>
            </w:pPr>
            <w:r w:rsidRPr="00502307">
              <w:rPr>
                <w:rFonts w:asciiTheme="minorHAnsi" w:cstheme="minorHAnsi"/>
              </w:rPr>
              <w:t xml:space="preserve">Techniniai pranašumai </w:t>
            </w:r>
            <w:r w:rsidRPr="00502307">
              <w:rPr>
                <w:rFonts w:asciiTheme="minorHAnsi" w:cstheme="minorHAnsi"/>
                <w:i/>
                <w:iCs/>
              </w:rPr>
              <w:t>(T)</w:t>
            </w:r>
          </w:p>
        </w:tc>
        <w:tc>
          <w:tcPr>
            <w:tcW w:w="1842" w:type="dxa"/>
          </w:tcPr>
          <w:p w14:paraId="6C669CE7" w14:textId="77777777" w:rsidR="00507AC2" w:rsidRPr="00502307" w:rsidRDefault="00507AC2" w:rsidP="007403C4">
            <w:pPr>
              <w:suppressAutoHyphens/>
              <w:jc w:val="both"/>
              <w:rPr>
                <w:rFonts w:asciiTheme="minorHAnsi" w:cstheme="minorHAnsi"/>
              </w:rPr>
            </w:pPr>
          </w:p>
        </w:tc>
        <w:tc>
          <w:tcPr>
            <w:tcW w:w="1843" w:type="dxa"/>
          </w:tcPr>
          <w:p w14:paraId="379E3E6F" w14:textId="3156F6AB" w:rsidR="00507AC2" w:rsidRPr="00502307" w:rsidRDefault="00507AC2" w:rsidP="007403C4">
            <w:pPr>
              <w:suppressAutoHyphens/>
              <w:jc w:val="both"/>
              <w:rPr>
                <w:rFonts w:asciiTheme="minorHAnsi" w:cstheme="minorHAnsi"/>
              </w:rPr>
            </w:pPr>
            <w:r w:rsidRPr="00502307">
              <w:rPr>
                <w:rFonts w:asciiTheme="minorHAnsi" w:cstheme="minorHAnsi"/>
              </w:rPr>
              <w:t>Y=</w:t>
            </w:r>
            <w:r w:rsidR="0034560D">
              <w:rPr>
                <w:rFonts w:asciiTheme="minorHAnsi" w:cstheme="minorHAnsi"/>
              </w:rPr>
              <w:t>3</w:t>
            </w:r>
          </w:p>
        </w:tc>
      </w:tr>
      <w:tr w:rsidR="00507AC2" w:rsidRPr="009B71D3" w14:paraId="345DA029" w14:textId="77777777" w:rsidTr="00EA18CC">
        <w:tc>
          <w:tcPr>
            <w:tcW w:w="669" w:type="dxa"/>
          </w:tcPr>
          <w:p w14:paraId="1310FB25" w14:textId="77777777" w:rsidR="00507AC2" w:rsidRPr="009B71D3" w:rsidRDefault="00507AC2" w:rsidP="007403C4">
            <w:pPr>
              <w:suppressAutoHyphens/>
              <w:jc w:val="both"/>
              <w:rPr>
                <w:rFonts w:asciiTheme="minorHAnsi" w:cstheme="minorHAnsi"/>
                <w:i/>
              </w:rPr>
            </w:pPr>
            <w:r w:rsidRPr="009B71D3">
              <w:rPr>
                <w:rFonts w:asciiTheme="minorHAnsi" w:cstheme="minorHAnsi"/>
                <w:i/>
              </w:rPr>
              <w:t>1.</w:t>
            </w:r>
          </w:p>
        </w:tc>
        <w:tc>
          <w:tcPr>
            <w:tcW w:w="5563" w:type="dxa"/>
          </w:tcPr>
          <w:p w14:paraId="0D7F7078" w14:textId="77777777" w:rsidR="00507AC2" w:rsidRPr="009B71D3" w:rsidRDefault="00507AC2" w:rsidP="007403C4">
            <w:pPr>
              <w:suppressAutoHyphens/>
              <w:jc w:val="both"/>
              <w:rPr>
                <w:rFonts w:asciiTheme="minorHAnsi" w:cstheme="minorHAnsi"/>
                <w:i/>
              </w:rPr>
            </w:pPr>
            <w:r>
              <w:rPr>
                <w:rFonts w:asciiTheme="minorHAnsi" w:cstheme="minorHAnsi"/>
                <w:i/>
              </w:rPr>
              <w:t xml:space="preserve">Atliekami kiekybiniai infekcinės </w:t>
            </w:r>
            <w:proofErr w:type="spellStart"/>
            <w:r>
              <w:rPr>
                <w:rFonts w:asciiTheme="minorHAnsi" w:cstheme="minorHAnsi"/>
                <w:i/>
              </w:rPr>
              <w:t>serologijos</w:t>
            </w:r>
            <w:proofErr w:type="spellEnd"/>
            <w:r>
              <w:rPr>
                <w:rFonts w:asciiTheme="minorHAnsi" w:cstheme="minorHAnsi"/>
                <w:i/>
              </w:rPr>
              <w:t xml:space="preserve"> tyrimai (balai suteikiami atskirai už kiekvieną atskiroje pozicijoje nurodytą tyrimą, kuris bus atliekamas kiekybiniu metodu). Maksimalus galimas surinkti balų skaičius (kai siūlomi visi kiekybiniai tyrimai 3 balai)</w:t>
            </w:r>
          </w:p>
        </w:tc>
        <w:tc>
          <w:tcPr>
            <w:tcW w:w="1842" w:type="dxa"/>
          </w:tcPr>
          <w:p w14:paraId="6D0A5DA5" w14:textId="77777777" w:rsidR="00507AC2" w:rsidRPr="009B71D3" w:rsidRDefault="00507AC2" w:rsidP="007403C4">
            <w:pPr>
              <w:suppressAutoHyphens/>
              <w:jc w:val="both"/>
              <w:rPr>
                <w:rFonts w:asciiTheme="minorHAnsi" w:cstheme="minorHAnsi"/>
              </w:rPr>
            </w:pPr>
          </w:p>
        </w:tc>
        <w:tc>
          <w:tcPr>
            <w:tcW w:w="1843" w:type="dxa"/>
          </w:tcPr>
          <w:p w14:paraId="41B769AB" w14:textId="77777777" w:rsidR="00507AC2" w:rsidRPr="009B71D3" w:rsidRDefault="00507AC2" w:rsidP="007403C4">
            <w:pPr>
              <w:suppressAutoHyphens/>
              <w:jc w:val="both"/>
              <w:rPr>
                <w:rFonts w:asciiTheme="minorHAnsi" w:cstheme="minorHAnsi"/>
              </w:rPr>
            </w:pPr>
            <w:r w:rsidRPr="009B71D3">
              <w:rPr>
                <w:rFonts w:asciiTheme="minorHAnsi" w:cstheme="minorHAnsi"/>
              </w:rPr>
              <w:t>L</w:t>
            </w:r>
            <w:r w:rsidRPr="009B71D3">
              <w:rPr>
                <w:rFonts w:asciiTheme="minorHAnsi" w:cstheme="minorHAnsi"/>
                <w:vertAlign w:val="subscript"/>
              </w:rPr>
              <w:t>1</w:t>
            </w:r>
            <w:r w:rsidRPr="009B71D3">
              <w:rPr>
                <w:rFonts w:asciiTheme="minorHAnsi" w:cstheme="minorHAnsi"/>
              </w:rPr>
              <w:t>=</w:t>
            </w:r>
            <w:r>
              <w:rPr>
                <w:rFonts w:asciiTheme="minorHAnsi" w:cstheme="minorHAnsi"/>
              </w:rPr>
              <w:t>3</w:t>
            </w:r>
          </w:p>
        </w:tc>
      </w:tr>
      <w:tr w:rsidR="00507AC2" w:rsidRPr="009B71D3" w14:paraId="205CF541" w14:textId="77777777" w:rsidTr="00EA18CC">
        <w:tc>
          <w:tcPr>
            <w:tcW w:w="669" w:type="dxa"/>
          </w:tcPr>
          <w:p w14:paraId="06D612F9" w14:textId="77777777" w:rsidR="00507AC2" w:rsidRPr="009B71D3" w:rsidRDefault="00507AC2" w:rsidP="007403C4">
            <w:pPr>
              <w:suppressAutoHyphens/>
              <w:jc w:val="both"/>
              <w:rPr>
                <w:rFonts w:asciiTheme="minorHAnsi" w:cstheme="minorHAnsi"/>
                <w:i/>
              </w:rPr>
            </w:pPr>
            <w:r w:rsidRPr="009B71D3">
              <w:rPr>
                <w:rFonts w:asciiTheme="minorHAnsi" w:cstheme="minorHAnsi"/>
                <w:i/>
              </w:rPr>
              <w:t>1.1.</w:t>
            </w:r>
          </w:p>
        </w:tc>
        <w:tc>
          <w:tcPr>
            <w:tcW w:w="5563" w:type="dxa"/>
          </w:tcPr>
          <w:p w14:paraId="5DA29845" w14:textId="6D68C3D1" w:rsidR="00507AC2" w:rsidRPr="009B71D3" w:rsidRDefault="00507AC2" w:rsidP="007403C4">
            <w:pPr>
              <w:suppressAutoHyphens/>
              <w:jc w:val="both"/>
              <w:rPr>
                <w:rFonts w:asciiTheme="minorHAnsi" w:cstheme="minorHAnsi"/>
                <w:i/>
              </w:rPr>
            </w:pPr>
            <w:proofErr w:type="spellStart"/>
            <w:r w:rsidRPr="00FF4AEC">
              <w:rPr>
                <w:rFonts w:asciiTheme="minorHAnsi" w:cstheme="minorHAnsi"/>
                <w:i/>
              </w:rPr>
              <w:t>Borrelia</w:t>
            </w:r>
            <w:proofErr w:type="spellEnd"/>
            <w:r w:rsidRPr="00FF4AEC">
              <w:rPr>
                <w:rFonts w:asciiTheme="minorHAnsi" w:cstheme="minorHAnsi"/>
                <w:i/>
              </w:rPr>
              <w:t xml:space="preserve"> </w:t>
            </w:r>
            <w:r w:rsidR="006270EC">
              <w:rPr>
                <w:rFonts w:asciiTheme="minorHAnsi" w:cstheme="minorHAnsi"/>
                <w:i/>
              </w:rPr>
              <w:t xml:space="preserve"> </w:t>
            </w:r>
            <w:proofErr w:type="spellStart"/>
            <w:r w:rsidRPr="00FF4AEC">
              <w:rPr>
                <w:rFonts w:asciiTheme="minorHAnsi" w:cstheme="minorHAnsi"/>
                <w:i/>
              </w:rPr>
              <w:t>IgM</w:t>
            </w:r>
            <w:proofErr w:type="spellEnd"/>
            <w:r w:rsidRPr="00FF4AEC">
              <w:rPr>
                <w:rFonts w:asciiTheme="minorHAnsi" w:cstheme="minorHAnsi"/>
                <w:i/>
              </w:rPr>
              <w:t xml:space="preserve"> kiekybini</w:t>
            </w:r>
            <w:r>
              <w:rPr>
                <w:rFonts w:asciiTheme="minorHAnsi" w:cstheme="minorHAnsi"/>
                <w:i/>
              </w:rPr>
              <w:t>s tyrimas</w:t>
            </w:r>
          </w:p>
        </w:tc>
        <w:tc>
          <w:tcPr>
            <w:tcW w:w="1842" w:type="dxa"/>
          </w:tcPr>
          <w:p w14:paraId="41B889A6" w14:textId="77777777" w:rsidR="00507AC2" w:rsidRPr="009B71D3" w:rsidRDefault="00507AC2" w:rsidP="007403C4">
            <w:pPr>
              <w:suppressAutoHyphens/>
              <w:jc w:val="both"/>
              <w:rPr>
                <w:rFonts w:asciiTheme="minorHAnsi" w:cstheme="minorHAnsi"/>
              </w:rPr>
            </w:pPr>
            <w:r w:rsidRPr="009B71D3">
              <w:rPr>
                <w:rFonts w:asciiTheme="minorHAnsi" w:cstheme="minorHAnsi"/>
              </w:rPr>
              <w:t>L</w:t>
            </w:r>
            <w:r w:rsidRPr="009B71D3">
              <w:rPr>
                <w:rFonts w:asciiTheme="minorHAnsi" w:cstheme="minorHAnsi"/>
                <w:vertAlign w:val="subscript"/>
              </w:rPr>
              <w:t>1.1</w:t>
            </w:r>
            <w:r w:rsidRPr="009B71D3">
              <w:rPr>
                <w:rFonts w:asciiTheme="minorHAnsi" w:cstheme="minorHAnsi"/>
              </w:rPr>
              <w:t>=</w:t>
            </w:r>
            <w:r>
              <w:rPr>
                <w:rFonts w:asciiTheme="minorHAnsi" w:cstheme="minorHAnsi"/>
              </w:rPr>
              <w:t>0,4</w:t>
            </w:r>
          </w:p>
        </w:tc>
        <w:tc>
          <w:tcPr>
            <w:tcW w:w="1843" w:type="dxa"/>
          </w:tcPr>
          <w:p w14:paraId="5F858570" w14:textId="77777777" w:rsidR="00507AC2" w:rsidRPr="009B71D3" w:rsidRDefault="00507AC2" w:rsidP="007403C4">
            <w:pPr>
              <w:suppressAutoHyphens/>
              <w:jc w:val="both"/>
              <w:rPr>
                <w:rFonts w:asciiTheme="minorHAnsi" w:cstheme="minorHAnsi"/>
              </w:rPr>
            </w:pPr>
          </w:p>
        </w:tc>
      </w:tr>
      <w:tr w:rsidR="00507AC2" w:rsidRPr="009B71D3" w14:paraId="64328FFB" w14:textId="77777777" w:rsidTr="00EA18CC">
        <w:tc>
          <w:tcPr>
            <w:tcW w:w="669" w:type="dxa"/>
          </w:tcPr>
          <w:p w14:paraId="293970BE" w14:textId="77777777" w:rsidR="00507AC2" w:rsidRPr="009B71D3" w:rsidRDefault="00507AC2" w:rsidP="007403C4">
            <w:pPr>
              <w:suppressAutoHyphens/>
              <w:jc w:val="both"/>
              <w:rPr>
                <w:rFonts w:asciiTheme="minorHAnsi" w:cstheme="minorHAnsi"/>
                <w:i/>
              </w:rPr>
            </w:pPr>
            <w:r w:rsidRPr="009B71D3">
              <w:rPr>
                <w:rFonts w:asciiTheme="minorHAnsi" w:cstheme="minorHAnsi"/>
                <w:i/>
              </w:rPr>
              <w:t>1.2.</w:t>
            </w:r>
          </w:p>
        </w:tc>
        <w:tc>
          <w:tcPr>
            <w:tcW w:w="5563" w:type="dxa"/>
          </w:tcPr>
          <w:p w14:paraId="1BA6F05C" w14:textId="220FA718" w:rsidR="00507AC2" w:rsidRPr="009B71D3" w:rsidRDefault="00507AC2" w:rsidP="007403C4">
            <w:pPr>
              <w:suppressAutoHyphens/>
              <w:jc w:val="both"/>
              <w:rPr>
                <w:rFonts w:asciiTheme="minorHAnsi" w:cstheme="minorHAnsi"/>
                <w:i/>
              </w:rPr>
            </w:pPr>
            <w:proofErr w:type="spellStart"/>
            <w:r w:rsidRPr="00FF4AEC">
              <w:rPr>
                <w:rFonts w:asciiTheme="minorHAnsi" w:cstheme="minorHAnsi"/>
                <w:i/>
              </w:rPr>
              <w:t>Borrelia</w:t>
            </w:r>
            <w:proofErr w:type="spellEnd"/>
            <w:r w:rsidRPr="00FF4AEC">
              <w:rPr>
                <w:rFonts w:asciiTheme="minorHAnsi" w:cstheme="minorHAnsi"/>
                <w:i/>
              </w:rPr>
              <w:t xml:space="preserve"> </w:t>
            </w:r>
            <w:r w:rsidR="006270EC">
              <w:rPr>
                <w:rFonts w:asciiTheme="minorHAnsi" w:cstheme="minorHAnsi"/>
                <w:i/>
              </w:rPr>
              <w:t xml:space="preserve"> </w:t>
            </w:r>
            <w:proofErr w:type="spellStart"/>
            <w:r w:rsidRPr="00FF4AEC">
              <w:rPr>
                <w:rFonts w:asciiTheme="minorHAnsi" w:cstheme="minorHAnsi"/>
                <w:i/>
              </w:rPr>
              <w:t>IgG</w:t>
            </w:r>
            <w:proofErr w:type="spellEnd"/>
            <w:r>
              <w:rPr>
                <w:rFonts w:asciiTheme="minorHAnsi" w:cstheme="minorHAnsi"/>
                <w:i/>
              </w:rPr>
              <w:t xml:space="preserve"> </w:t>
            </w:r>
            <w:r w:rsidRPr="00FF4AEC">
              <w:rPr>
                <w:rFonts w:asciiTheme="minorHAnsi" w:cstheme="minorHAnsi"/>
                <w:i/>
              </w:rPr>
              <w:t>kiekybinis</w:t>
            </w:r>
            <w:r>
              <w:rPr>
                <w:rFonts w:asciiTheme="minorHAnsi" w:cstheme="minorHAnsi"/>
                <w:i/>
              </w:rPr>
              <w:t xml:space="preserve"> tyrimas</w:t>
            </w:r>
          </w:p>
        </w:tc>
        <w:tc>
          <w:tcPr>
            <w:tcW w:w="1842" w:type="dxa"/>
          </w:tcPr>
          <w:p w14:paraId="6E5FA9E6" w14:textId="77777777" w:rsidR="00507AC2" w:rsidRPr="009B71D3" w:rsidRDefault="00507AC2" w:rsidP="007403C4">
            <w:pPr>
              <w:suppressAutoHyphens/>
              <w:jc w:val="both"/>
              <w:rPr>
                <w:rFonts w:asciiTheme="minorHAnsi" w:cstheme="minorHAnsi"/>
              </w:rPr>
            </w:pPr>
            <w:r w:rsidRPr="009B71D3">
              <w:rPr>
                <w:rFonts w:asciiTheme="minorHAnsi" w:cstheme="minorHAnsi"/>
              </w:rPr>
              <w:t>L</w:t>
            </w:r>
            <w:r w:rsidRPr="009B71D3">
              <w:rPr>
                <w:rFonts w:asciiTheme="minorHAnsi" w:cstheme="minorHAnsi"/>
                <w:vertAlign w:val="subscript"/>
              </w:rPr>
              <w:t>1.</w:t>
            </w:r>
            <w:r>
              <w:rPr>
                <w:rFonts w:asciiTheme="minorHAnsi" w:cstheme="minorHAnsi"/>
                <w:vertAlign w:val="subscript"/>
              </w:rPr>
              <w:t>2</w:t>
            </w:r>
            <w:r w:rsidRPr="009B71D3">
              <w:rPr>
                <w:rFonts w:asciiTheme="minorHAnsi" w:cstheme="minorHAnsi"/>
              </w:rPr>
              <w:t>=</w:t>
            </w:r>
            <w:r>
              <w:rPr>
                <w:rFonts w:asciiTheme="minorHAnsi" w:cstheme="minorHAnsi"/>
              </w:rPr>
              <w:t>0,4</w:t>
            </w:r>
          </w:p>
        </w:tc>
        <w:tc>
          <w:tcPr>
            <w:tcW w:w="1843" w:type="dxa"/>
          </w:tcPr>
          <w:p w14:paraId="6705CA66" w14:textId="77777777" w:rsidR="00507AC2" w:rsidRPr="009B71D3" w:rsidRDefault="00507AC2" w:rsidP="007403C4">
            <w:pPr>
              <w:suppressAutoHyphens/>
              <w:jc w:val="both"/>
              <w:rPr>
                <w:rFonts w:asciiTheme="minorHAnsi" w:cstheme="minorHAnsi"/>
              </w:rPr>
            </w:pPr>
          </w:p>
        </w:tc>
      </w:tr>
      <w:tr w:rsidR="00507AC2" w:rsidRPr="009B71D3" w14:paraId="10F04F9D" w14:textId="77777777" w:rsidTr="00EA18CC">
        <w:tc>
          <w:tcPr>
            <w:tcW w:w="669" w:type="dxa"/>
          </w:tcPr>
          <w:p w14:paraId="02CA83BA" w14:textId="77777777" w:rsidR="00507AC2" w:rsidRPr="00F215DB" w:rsidRDefault="00507AC2" w:rsidP="007403C4">
            <w:pPr>
              <w:suppressAutoHyphens/>
              <w:jc w:val="both"/>
              <w:rPr>
                <w:rFonts w:asciiTheme="minorHAnsi" w:cstheme="minorHAnsi"/>
                <w:i/>
              </w:rPr>
            </w:pPr>
            <w:r w:rsidRPr="00F215DB">
              <w:rPr>
                <w:rFonts w:asciiTheme="minorHAnsi" w:cstheme="minorHAnsi"/>
                <w:i/>
              </w:rPr>
              <w:t>1.3.</w:t>
            </w:r>
          </w:p>
        </w:tc>
        <w:tc>
          <w:tcPr>
            <w:tcW w:w="5563" w:type="dxa"/>
          </w:tcPr>
          <w:p w14:paraId="2E2C2D7F" w14:textId="77777777" w:rsidR="00507AC2" w:rsidRPr="009B71D3" w:rsidRDefault="00507AC2" w:rsidP="007403C4">
            <w:pPr>
              <w:suppressAutoHyphens/>
              <w:jc w:val="both"/>
              <w:rPr>
                <w:rFonts w:cstheme="minorHAnsi"/>
                <w:i/>
              </w:rPr>
            </w:pPr>
            <w:proofErr w:type="spellStart"/>
            <w:r w:rsidRPr="00FF4AEC">
              <w:rPr>
                <w:rFonts w:cstheme="minorHAnsi"/>
                <w:i/>
              </w:rPr>
              <w:t>Chlamydophila</w:t>
            </w:r>
            <w:proofErr w:type="spellEnd"/>
            <w:r w:rsidRPr="00FF4AEC">
              <w:rPr>
                <w:rFonts w:cstheme="minorHAnsi"/>
                <w:i/>
              </w:rPr>
              <w:t xml:space="preserve"> </w:t>
            </w:r>
            <w:proofErr w:type="spellStart"/>
            <w:r w:rsidRPr="00FF4AEC">
              <w:rPr>
                <w:rFonts w:cstheme="minorHAnsi"/>
                <w:i/>
              </w:rPr>
              <w:t>pneumoniae</w:t>
            </w:r>
            <w:proofErr w:type="spellEnd"/>
            <w:r w:rsidRPr="00FF4AEC">
              <w:rPr>
                <w:rFonts w:cstheme="minorHAnsi"/>
                <w:i/>
              </w:rPr>
              <w:t xml:space="preserve"> </w:t>
            </w:r>
            <w:proofErr w:type="spellStart"/>
            <w:r w:rsidRPr="00FF4AEC">
              <w:rPr>
                <w:rFonts w:cstheme="minorHAnsi"/>
                <w:i/>
              </w:rPr>
              <w:t>IgM</w:t>
            </w:r>
            <w:proofErr w:type="spellEnd"/>
            <w:r w:rsidRPr="00FF4AEC">
              <w:rPr>
                <w:rFonts w:cstheme="minorHAnsi"/>
                <w:i/>
              </w:rPr>
              <w:t xml:space="preserve"> kiekybinis</w:t>
            </w:r>
            <w:r>
              <w:rPr>
                <w:rFonts w:cstheme="minorHAnsi"/>
                <w:i/>
              </w:rPr>
              <w:t xml:space="preserve"> tyrimas</w:t>
            </w:r>
          </w:p>
        </w:tc>
        <w:tc>
          <w:tcPr>
            <w:tcW w:w="1842" w:type="dxa"/>
          </w:tcPr>
          <w:p w14:paraId="6FDA1A15" w14:textId="77777777" w:rsidR="00507AC2" w:rsidRPr="009B71D3" w:rsidRDefault="00507AC2" w:rsidP="007403C4">
            <w:pPr>
              <w:suppressAutoHyphens/>
              <w:jc w:val="both"/>
              <w:rPr>
                <w:rFonts w:cstheme="minorHAnsi"/>
              </w:rPr>
            </w:pPr>
            <w:r w:rsidRPr="009B71D3">
              <w:rPr>
                <w:rFonts w:asciiTheme="minorHAnsi" w:cstheme="minorHAnsi"/>
              </w:rPr>
              <w:t>L</w:t>
            </w:r>
            <w:r w:rsidRPr="009B71D3">
              <w:rPr>
                <w:rFonts w:asciiTheme="minorHAnsi" w:cstheme="minorHAnsi"/>
                <w:vertAlign w:val="subscript"/>
              </w:rPr>
              <w:t>1.</w:t>
            </w:r>
            <w:r>
              <w:rPr>
                <w:rFonts w:asciiTheme="minorHAnsi" w:cstheme="minorHAnsi"/>
                <w:vertAlign w:val="subscript"/>
              </w:rPr>
              <w:t>3</w:t>
            </w:r>
            <w:r w:rsidRPr="009B71D3">
              <w:rPr>
                <w:rFonts w:asciiTheme="minorHAnsi" w:cstheme="minorHAnsi"/>
              </w:rPr>
              <w:t>=</w:t>
            </w:r>
            <w:r>
              <w:rPr>
                <w:rFonts w:asciiTheme="minorHAnsi" w:cstheme="minorHAnsi"/>
              </w:rPr>
              <w:t>0,5</w:t>
            </w:r>
          </w:p>
        </w:tc>
        <w:tc>
          <w:tcPr>
            <w:tcW w:w="1843" w:type="dxa"/>
          </w:tcPr>
          <w:p w14:paraId="1D278A46" w14:textId="77777777" w:rsidR="00507AC2" w:rsidRPr="009B71D3" w:rsidRDefault="00507AC2" w:rsidP="007403C4">
            <w:pPr>
              <w:suppressAutoHyphens/>
              <w:jc w:val="both"/>
              <w:rPr>
                <w:rFonts w:cstheme="minorHAnsi"/>
              </w:rPr>
            </w:pPr>
          </w:p>
        </w:tc>
      </w:tr>
      <w:tr w:rsidR="00507AC2" w:rsidRPr="009B71D3" w14:paraId="4720DFAA" w14:textId="77777777" w:rsidTr="00EA18CC">
        <w:tc>
          <w:tcPr>
            <w:tcW w:w="669" w:type="dxa"/>
          </w:tcPr>
          <w:p w14:paraId="6E2AE5A4" w14:textId="77777777" w:rsidR="00507AC2" w:rsidRPr="00F215DB" w:rsidRDefault="00507AC2" w:rsidP="007403C4">
            <w:pPr>
              <w:suppressAutoHyphens/>
              <w:jc w:val="both"/>
              <w:rPr>
                <w:rFonts w:asciiTheme="minorHAnsi" w:cstheme="minorHAnsi"/>
                <w:i/>
              </w:rPr>
            </w:pPr>
            <w:r w:rsidRPr="00F215DB">
              <w:rPr>
                <w:rFonts w:asciiTheme="minorHAnsi" w:cstheme="minorHAnsi"/>
                <w:i/>
              </w:rPr>
              <w:t>1.4.</w:t>
            </w:r>
          </w:p>
        </w:tc>
        <w:tc>
          <w:tcPr>
            <w:tcW w:w="5563" w:type="dxa"/>
          </w:tcPr>
          <w:p w14:paraId="7EB8B9D6" w14:textId="77777777" w:rsidR="00507AC2" w:rsidRPr="009B71D3" w:rsidRDefault="00507AC2" w:rsidP="007403C4">
            <w:pPr>
              <w:suppressAutoHyphens/>
              <w:jc w:val="both"/>
              <w:rPr>
                <w:rFonts w:cstheme="minorHAnsi"/>
                <w:i/>
              </w:rPr>
            </w:pPr>
            <w:proofErr w:type="spellStart"/>
            <w:r w:rsidRPr="00FF4AEC">
              <w:rPr>
                <w:rFonts w:cstheme="minorHAnsi"/>
                <w:i/>
              </w:rPr>
              <w:t>Chlamydophila</w:t>
            </w:r>
            <w:proofErr w:type="spellEnd"/>
            <w:r w:rsidRPr="00FF4AEC">
              <w:rPr>
                <w:rFonts w:cstheme="minorHAnsi"/>
                <w:i/>
              </w:rPr>
              <w:t xml:space="preserve"> </w:t>
            </w:r>
            <w:proofErr w:type="spellStart"/>
            <w:r w:rsidRPr="00FF4AEC">
              <w:rPr>
                <w:rFonts w:cstheme="minorHAnsi"/>
                <w:i/>
              </w:rPr>
              <w:t>pneumoniae</w:t>
            </w:r>
            <w:proofErr w:type="spellEnd"/>
            <w:r w:rsidRPr="00FF4AEC">
              <w:rPr>
                <w:rFonts w:cstheme="minorHAnsi"/>
                <w:i/>
              </w:rPr>
              <w:t xml:space="preserve"> </w:t>
            </w:r>
            <w:proofErr w:type="spellStart"/>
            <w:r w:rsidRPr="00FF4AEC">
              <w:rPr>
                <w:rFonts w:cstheme="minorHAnsi"/>
                <w:i/>
              </w:rPr>
              <w:t>IgG</w:t>
            </w:r>
            <w:proofErr w:type="spellEnd"/>
            <w:r w:rsidRPr="00FF4AEC">
              <w:rPr>
                <w:rFonts w:cstheme="minorHAnsi"/>
                <w:i/>
              </w:rPr>
              <w:t xml:space="preserve"> </w:t>
            </w:r>
            <w:r w:rsidRPr="00FF4AEC">
              <w:rPr>
                <w:rFonts w:asciiTheme="minorHAnsi" w:cstheme="minorHAnsi"/>
                <w:i/>
              </w:rPr>
              <w:t>kiekybinis</w:t>
            </w:r>
            <w:r>
              <w:rPr>
                <w:rFonts w:asciiTheme="minorHAnsi" w:cstheme="minorHAnsi"/>
                <w:i/>
              </w:rPr>
              <w:t xml:space="preserve"> tyrimas</w:t>
            </w:r>
          </w:p>
        </w:tc>
        <w:tc>
          <w:tcPr>
            <w:tcW w:w="1842" w:type="dxa"/>
          </w:tcPr>
          <w:p w14:paraId="0FBE514A" w14:textId="77777777" w:rsidR="00507AC2" w:rsidRPr="009B71D3" w:rsidRDefault="00507AC2" w:rsidP="007403C4">
            <w:pPr>
              <w:suppressAutoHyphens/>
              <w:jc w:val="both"/>
              <w:rPr>
                <w:rFonts w:cstheme="minorHAnsi"/>
              </w:rPr>
            </w:pPr>
            <w:r w:rsidRPr="009B71D3">
              <w:rPr>
                <w:rFonts w:asciiTheme="minorHAnsi" w:cstheme="minorHAnsi"/>
              </w:rPr>
              <w:t>L</w:t>
            </w:r>
            <w:r w:rsidRPr="009B71D3">
              <w:rPr>
                <w:rFonts w:asciiTheme="minorHAnsi" w:cstheme="minorHAnsi"/>
                <w:vertAlign w:val="subscript"/>
              </w:rPr>
              <w:t>1.</w:t>
            </w:r>
            <w:r>
              <w:rPr>
                <w:rFonts w:asciiTheme="minorHAnsi" w:cstheme="minorHAnsi"/>
                <w:vertAlign w:val="subscript"/>
              </w:rPr>
              <w:t>4</w:t>
            </w:r>
            <w:r w:rsidRPr="009B71D3">
              <w:rPr>
                <w:rFonts w:asciiTheme="minorHAnsi" w:cstheme="minorHAnsi"/>
              </w:rPr>
              <w:t>=</w:t>
            </w:r>
            <w:r>
              <w:rPr>
                <w:rFonts w:asciiTheme="minorHAnsi" w:cstheme="minorHAnsi"/>
              </w:rPr>
              <w:t>0,25</w:t>
            </w:r>
          </w:p>
        </w:tc>
        <w:tc>
          <w:tcPr>
            <w:tcW w:w="1843" w:type="dxa"/>
          </w:tcPr>
          <w:p w14:paraId="134131D1" w14:textId="77777777" w:rsidR="00507AC2" w:rsidRPr="009B71D3" w:rsidRDefault="00507AC2" w:rsidP="007403C4">
            <w:pPr>
              <w:suppressAutoHyphens/>
              <w:jc w:val="both"/>
              <w:rPr>
                <w:rFonts w:cstheme="minorHAnsi"/>
              </w:rPr>
            </w:pPr>
          </w:p>
        </w:tc>
      </w:tr>
      <w:tr w:rsidR="00507AC2" w:rsidRPr="009B71D3" w14:paraId="08F8A4CE" w14:textId="77777777" w:rsidTr="00EA18CC">
        <w:tc>
          <w:tcPr>
            <w:tcW w:w="669" w:type="dxa"/>
          </w:tcPr>
          <w:p w14:paraId="53315433" w14:textId="77777777" w:rsidR="00507AC2" w:rsidRPr="00F215DB" w:rsidRDefault="00507AC2" w:rsidP="007403C4">
            <w:pPr>
              <w:suppressAutoHyphens/>
              <w:jc w:val="both"/>
              <w:rPr>
                <w:rFonts w:cstheme="minorHAnsi"/>
                <w:i/>
              </w:rPr>
            </w:pPr>
            <w:r w:rsidRPr="002363CB">
              <w:rPr>
                <w:rFonts w:asciiTheme="minorHAnsi" w:cstheme="minorHAnsi"/>
                <w:i/>
              </w:rPr>
              <w:t>1.</w:t>
            </w:r>
            <w:r>
              <w:rPr>
                <w:rFonts w:asciiTheme="minorHAnsi" w:cstheme="minorHAnsi"/>
                <w:i/>
              </w:rPr>
              <w:t>5</w:t>
            </w:r>
            <w:r w:rsidRPr="002363CB">
              <w:rPr>
                <w:rFonts w:asciiTheme="minorHAnsi" w:cstheme="minorHAnsi"/>
                <w:i/>
              </w:rPr>
              <w:t>.</w:t>
            </w:r>
          </w:p>
        </w:tc>
        <w:tc>
          <w:tcPr>
            <w:tcW w:w="5563" w:type="dxa"/>
          </w:tcPr>
          <w:p w14:paraId="26780165" w14:textId="77777777" w:rsidR="00507AC2" w:rsidRPr="009B71D3" w:rsidRDefault="00507AC2" w:rsidP="007403C4">
            <w:pPr>
              <w:suppressAutoHyphens/>
              <w:jc w:val="both"/>
              <w:rPr>
                <w:rFonts w:cstheme="minorHAnsi"/>
                <w:i/>
              </w:rPr>
            </w:pPr>
            <w:proofErr w:type="spellStart"/>
            <w:r w:rsidRPr="00FF4AEC">
              <w:rPr>
                <w:rFonts w:cstheme="minorHAnsi"/>
                <w:i/>
              </w:rPr>
              <w:t>Mycoplasma</w:t>
            </w:r>
            <w:proofErr w:type="spellEnd"/>
            <w:r w:rsidRPr="00FF4AEC">
              <w:rPr>
                <w:rFonts w:cstheme="minorHAnsi"/>
                <w:i/>
              </w:rPr>
              <w:t xml:space="preserve"> </w:t>
            </w:r>
            <w:proofErr w:type="spellStart"/>
            <w:r w:rsidRPr="00FF4AEC">
              <w:rPr>
                <w:rFonts w:cstheme="minorHAnsi"/>
                <w:i/>
              </w:rPr>
              <w:t>pneumoniae</w:t>
            </w:r>
            <w:proofErr w:type="spellEnd"/>
            <w:r w:rsidRPr="00FF4AEC">
              <w:rPr>
                <w:rFonts w:cstheme="minorHAnsi"/>
                <w:i/>
              </w:rPr>
              <w:t xml:space="preserve"> </w:t>
            </w:r>
            <w:proofErr w:type="spellStart"/>
            <w:r w:rsidRPr="00FF4AEC">
              <w:rPr>
                <w:rFonts w:cstheme="minorHAnsi"/>
                <w:i/>
              </w:rPr>
              <w:t>IgM</w:t>
            </w:r>
            <w:proofErr w:type="spellEnd"/>
            <w:r w:rsidRPr="00FF4AEC">
              <w:rPr>
                <w:rFonts w:cstheme="minorHAnsi"/>
                <w:i/>
              </w:rPr>
              <w:t xml:space="preserve"> </w:t>
            </w:r>
            <w:r w:rsidRPr="00FF4AEC">
              <w:rPr>
                <w:rFonts w:asciiTheme="minorHAnsi" w:cstheme="minorHAnsi"/>
                <w:i/>
              </w:rPr>
              <w:t>kiekybinis</w:t>
            </w:r>
            <w:r>
              <w:rPr>
                <w:rFonts w:asciiTheme="minorHAnsi" w:cstheme="minorHAnsi"/>
                <w:i/>
              </w:rPr>
              <w:t xml:space="preserve"> tyrimas</w:t>
            </w:r>
          </w:p>
        </w:tc>
        <w:tc>
          <w:tcPr>
            <w:tcW w:w="1842" w:type="dxa"/>
          </w:tcPr>
          <w:p w14:paraId="64DA4380" w14:textId="77777777" w:rsidR="00507AC2" w:rsidRPr="009B71D3" w:rsidRDefault="00507AC2" w:rsidP="007403C4">
            <w:pPr>
              <w:suppressAutoHyphens/>
              <w:jc w:val="both"/>
              <w:rPr>
                <w:rFonts w:cstheme="minorHAnsi"/>
              </w:rPr>
            </w:pPr>
            <w:r w:rsidRPr="009B71D3">
              <w:rPr>
                <w:rFonts w:asciiTheme="minorHAnsi" w:cstheme="minorHAnsi"/>
              </w:rPr>
              <w:t>L</w:t>
            </w:r>
            <w:r w:rsidRPr="009B71D3">
              <w:rPr>
                <w:rFonts w:asciiTheme="minorHAnsi" w:cstheme="minorHAnsi"/>
                <w:vertAlign w:val="subscript"/>
              </w:rPr>
              <w:t>1.</w:t>
            </w:r>
            <w:r>
              <w:rPr>
                <w:rFonts w:asciiTheme="minorHAnsi" w:cstheme="minorHAnsi"/>
                <w:vertAlign w:val="subscript"/>
              </w:rPr>
              <w:t>5</w:t>
            </w:r>
            <w:r w:rsidRPr="009B71D3">
              <w:rPr>
                <w:rFonts w:asciiTheme="minorHAnsi" w:cstheme="minorHAnsi"/>
              </w:rPr>
              <w:t>=</w:t>
            </w:r>
            <w:r>
              <w:rPr>
                <w:rFonts w:asciiTheme="minorHAnsi" w:cstheme="minorHAnsi"/>
              </w:rPr>
              <w:t>0,6</w:t>
            </w:r>
          </w:p>
        </w:tc>
        <w:tc>
          <w:tcPr>
            <w:tcW w:w="1843" w:type="dxa"/>
          </w:tcPr>
          <w:p w14:paraId="245C6E1A" w14:textId="77777777" w:rsidR="00507AC2" w:rsidRPr="009B71D3" w:rsidRDefault="00507AC2" w:rsidP="007403C4">
            <w:pPr>
              <w:suppressAutoHyphens/>
              <w:jc w:val="both"/>
              <w:rPr>
                <w:rFonts w:cstheme="minorHAnsi"/>
              </w:rPr>
            </w:pPr>
          </w:p>
        </w:tc>
      </w:tr>
      <w:tr w:rsidR="00507AC2" w:rsidRPr="009B71D3" w14:paraId="5979E62B" w14:textId="77777777" w:rsidTr="00EA18CC">
        <w:tc>
          <w:tcPr>
            <w:tcW w:w="669" w:type="dxa"/>
          </w:tcPr>
          <w:p w14:paraId="45D71FA5" w14:textId="77777777" w:rsidR="00507AC2" w:rsidRPr="00F215DB" w:rsidRDefault="00507AC2" w:rsidP="007403C4">
            <w:pPr>
              <w:suppressAutoHyphens/>
              <w:jc w:val="both"/>
              <w:rPr>
                <w:rFonts w:cstheme="minorHAnsi"/>
                <w:i/>
              </w:rPr>
            </w:pPr>
            <w:r w:rsidRPr="002363CB">
              <w:rPr>
                <w:rFonts w:asciiTheme="minorHAnsi" w:cstheme="minorHAnsi"/>
                <w:i/>
              </w:rPr>
              <w:t>1.</w:t>
            </w:r>
            <w:r>
              <w:rPr>
                <w:rFonts w:asciiTheme="minorHAnsi" w:cstheme="minorHAnsi"/>
                <w:i/>
              </w:rPr>
              <w:t>6</w:t>
            </w:r>
            <w:r w:rsidRPr="002363CB">
              <w:rPr>
                <w:rFonts w:asciiTheme="minorHAnsi" w:cstheme="minorHAnsi"/>
                <w:i/>
              </w:rPr>
              <w:t>.</w:t>
            </w:r>
          </w:p>
        </w:tc>
        <w:tc>
          <w:tcPr>
            <w:tcW w:w="5563" w:type="dxa"/>
          </w:tcPr>
          <w:p w14:paraId="68E5C83E" w14:textId="77777777" w:rsidR="00507AC2" w:rsidRPr="009B71D3" w:rsidRDefault="00507AC2" w:rsidP="007403C4">
            <w:pPr>
              <w:suppressAutoHyphens/>
              <w:jc w:val="both"/>
              <w:rPr>
                <w:rFonts w:cstheme="minorHAnsi"/>
                <w:i/>
              </w:rPr>
            </w:pPr>
            <w:proofErr w:type="spellStart"/>
            <w:r w:rsidRPr="00FF4AEC">
              <w:rPr>
                <w:rFonts w:cstheme="minorHAnsi"/>
                <w:i/>
              </w:rPr>
              <w:t>Mycoplasma</w:t>
            </w:r>
            <w:proofErr w:type="spellEnd"/>
            <w:r w:rsidRPr="00FF4AEC">
              <w:rPr>
                <w:rFonts w:cstheme="minorHAnsi"/>
                <w:i/>
              </w:rPr>
              <w:t xml:space="preserve"> </w:t>
            </w:r>
            <w:proofErr w:type="spellStart"/>
            <w:r w:rsidRPr="00FF4AEC">
              <w:rPr>
                <w:rFonts w:cstheme="minorHAnsi"/>
                <w:i/>
              </w:rPr>
              <w:t>pneumoniae</w:t>
            </w:r>
            <w:proofErr w:type="spellEnd"/>
            <w:r w:rsidRPr="00FF4AEC">
              <w:rPr>
                <w:rFonts w:cstheme="minorHAnsi"/>
                <w:i/>
              </w:rPr>
              <w:t xml:space="preserve"> </w:t>
            </w:r>
            <w:proofErr w:type="spellStart"/>
            <w:r w:rsidRPr="00FF4AEC">
              <w:rPr>
                <w:rFonts w:cstheme="minorHAnsi"/>
                <w:i/>
              </w:rPr>
              <w:t>IgG</w:t>
            </w:r>
            <w:proofErr w:type="spellEnd"/>
            <w:r w:rsidRPr="00FF4AEC">
              <w:rPr>
                <w:rFonts w:cstheme="minorHAnsi"/>
                <w:i/>
              </w:rPr>
              <w:t xml:space="preserve"> </w:t>
            </w:r>
            <w:r w:rsidRPr="00FF4AEC">
              <w:rPr>
                <w:rFonts w:asciiTheme="minorHAnsi" w:cstheme="minorHAnsi"/>
                <w:i/>
              </w:rPr>
              <w:t>kiekybinis</w:t>
            </w:r>
            <w:r>
              <w:rPr>
                <w:rFonts w:asciiTheme="minorHAnsi" w:cstheme="minorHAnsi"/>
                <w:i/>
              </w:rPr>
              <w:t xml:space="preserve"> tyrimas</w:t>
            </w:r>
          </w:p>
        </w:tc>
        <w:tc>
          <w:tcPr>
            <w:tcW w:w="1842" w:type="dxa"/>
          </w:tcPr>
          <w:p w14:paraId="523FE16B" w14:textId="77777777" w:rsidR="00507AC2" w:rsidRPr="009B71D3" w:rsidRDefault="00507AC2" w:rsidP="007403C4">
            <w:pPr>
              <w:suppressAutoHyphens/>
              <w:jc w:val="both"/>
              <w:rPr>
                <w:rFonts w:cstheme="minorHAnsi"/>
              </w:rPr>
            </w:pPr>
            <w:r w:rsidRPr="009B71D3">
              <w:rPr>
                <w:rFonts w:asciiTheme="minorHAnsi" w:cstheme="minorHAnsi"/>
              </w:rPr>
              <w:t>L</w:t>
            </w:r>
            <w:r w:rsidRPr="009B71D3">
              <w:rPr>
                <w:rFonts w:asciiTheme="minorHAnsi" w:cstheme="minorHAnsi"/>
                <w:vertAlign w:val="subscript"/>
              </w:rPr>
              <w:t>1.</w:t>
            </w:r>
            <w:r>
              <w:rPr>
                <w:rFonts w:asciiTheme="minorHAnsi" w:cstheme="minorHAnsi"/>
                <w:vertAlign w:val="subscript"/>
              </w:rPr>
              <w:t>6</w:t>
            </w:r>
            <w:r w:rsidRPr="009B71D3">
              <w:rPr>
                <w:rFonts w:asciiTheme="minorHAnsi" w:cstheme="minorHAnsi"/>
              </w:rPr>
              <w:t>=</w:t>
            </w:r>
            <w:r>
              <w:rPr>
                <w:rFonts w:asciiTheme="minorHAnsi" w:cstheme="minorHAnsi"/>
              </w:rPr>
              <w:t>0,2</w:t>
            </w:r>
          </w:p>
        </w:tc>
        <w:tc>
          <w:tcPr>
            <w:tcW w:w="1843" w:type="dxa"/>
          </w:tcPr>
          <w:p w14:paraId="77B7991D" w14:textId="77777777" w:rsidR="00507AC2" w:rsidRPr="009B71D3" w:rsidRDefault="00507AC2" w:rsidP="007403C4">
            <w:pPr>
              <w:suppressAutoHyphens/>
              <w:jc w:val="both"/>
              <w:rPr>
                <w:rFonts w:cstheme="minorHAnsi"/>
              </w:rPr>
            </w:pPr>
          </w:p>
        </w:tc>
      </w:tr>
      <w:tr w:rsidR="00507AC2" w:rsidRPr="009B71D3" w14:paraId="4E33222A" w14:textId="77777777" w:rsidTr="00EA18CC">
        <w:tc>
          <w:tcPr>
            <w:tcW w:w="669" w:type="dxa"/>
          </w:tcPr>
          <w:p w14:paraId="347FEA8B" w14:textId="77777777" w:rsidR="00507AC2" w:rsidRPr="00F215DB" w:rsidRDefault="00507AC2" w:rsidP="007403C4">
            <w:pPr>
              <w:suppressAutoHyphens/>
              <w:jc w:val="both"/>
              <w:rPr>
                <w:rFonts w:cstheme="minorHAnsi"/>
                <w:i/>
              </w:rPr>
            </w:pPr>
            <w:r w:rsidRPr="002363CB">
              <w:rPr>
                <w:rFonts w:asciiTheme="minorHAnsi" w:cstheme="minorHAnsi"/>
                <w:i/>
              </w:rPr>
              <w:t>1.</w:t>
            </w:r>
            <w:r>
              <w:rPr>
                <w:rFonts w:asciiTheme="minorHAnsi" w:cstheme="minorHAnsi"/>
                <w:i/>
              </w:rPr>
              <w:t>7</w:t>
            </w:r>
            <w:r w:rsidRPr="002363CB">
              <w:rPr>
                <w:rFonts w:asciiTheme="minorHAnsi" w:cstheme="minorHAnsi"/>
                <w:i/>
              </w:rPr>
              <w:t>.</w:t>
            </w:r>
          </w:p>
        </w:tc>
        <w:tc>
          <w:tcPr>
            <w:tcW w:w="5563" w:type="dxa"/>
          </w:tcPr>
          <w:p w14:paraId="2A55B80E" w14:textId="77777777" w:rsidR="00507AC2" w:rsidRPr="009B71D3" w:rsidRDefault="00507AC2" w:rsidP="007403C4">
            <w:pPr>
              <w:suppressAutoHyphens/>
              <w:jc w:val="both"/>
              <w:rPr>
                <w:rFonts w:cstheme="minorHAnsi"/>
                <w:i/>
              </w:rPr>
            </w:pPr>
            <w:proofErr w:type="spellStart"/>
            <w:r w:rsidRPr="00FF4AEC">
              <w:rPr>
                <w:rFonts w:cstheme="minorHAnsi"/>
                <w:i/>
              </w:rPr>
              <w:t>Bordetella</w:t>
            </w:r>
            <w:proofErr w:type="spellEnd"/>
            <w:r w:rsidRPr="00FF4AEC">
              <w:rPr>
                <w:rFonts w:cstheme="minorHAnsi"/>
                <w:i/>
              </w:rPr>
              <w:t xml:space="preserve"> </w:t>
            </w:r>
            <w:proofErr w:type="spellStart"/>
            <w:r w:rsidRPr="00FF4AEC">
              <w:rPr>
                <w:rFonts w:cstheme="minorHAnsi"/>
                <w:i/>
              </w:rPr>
              <w:t>pertussis</w:t>
            </w:r>
            <w:proofErr w:type="spellEnd"/>
            <w:r w:rsidRPr="00FF4AEC">
              <w:rPr>
                <w:rFonts w:cstheme="minorHAnsi"/>
                <w:i/>
              </w:rPr>
              <w:t xml:space="preserve"> kokliu</w:t>
            </w:r>
            <w:r w:rsidRPr="00FF4AEC">
              <w:rPr>
                <w:rFonts w:cstheme="minorHAnsi"/>
                <w:i/>
              </w:rPr>
              <w:t>š</w:t>
            </w:r>
            <w:r w:rsidRPr="00FF4AEC">
              <w:rPr>
                <w:rFonts w:cstheme="minorHAnsi"/>
                <w:i/>
              </w:rPr>
              <w:t xml:space="preserve">o toksino </w:t>
            </w:r>
            <w:proofErr w:type="spellStart"/>
            <w:r w:rsidRPr="00FF4AEC">
              <w:rPr>
                <w:rFonts w:cstheme="minorHAnsi"/>
                <w:i/>
              </w:rPr>
              <w:t>IgA</w:t>
            </w:r>
            <w:proofErr w:type="spellEnd"/>
            <w:r w:rsidRPr="00FF4AEC">
              <w:rPr>
                <w:rFonts w:cstheme="minorHAnsi"/>
                <w:i/>
              </w:rPr>
              <w:t xml:space="preserve"> </w:t>
            </w:r>
            <w:r w:rsidRPr="00FF4AEC">
              <w:rPr>
                <w:rFonts w:asciiTheme="minorHAnsi" w:cstheme="minorHAnsi"/>
                <w:i/>
              </w:rPr>
              <w:t>kiekybinis</w:t>
            </w:r>
            <w:r>
              <w:rPr>
                <w:rFonts w:asciiTheme="minorHAnsi" w:cstheme="minorHAnsi"/>
                <w:i/>
              </w:rPr>
              <w:t xml:space="preserve"> tyrimas</w:t>
            </w:r>
          </w:p>
        </w:tc>
        <w:tc>
          <w:tcPr>
            <w:tcW w:w="1842" w:type="dxa"/>
          </w:tcPr>
          <w:p w14:paraId="3582B798" w14:textId="77777777" w:rsidR="00507AC2" w:rsidRPr="009B71D3" w:rsidRDefault="00507AC2" w:rsidP="007403C4">
            <w:pPr>
              <w:suppressAutoHyphens/>
              <w:jc w:val="both"/>
              <w:rPr>
                <w:rFonts w:cstheme="minorHAnsi"/>
              </w:rPr>
            </w:pPr>
            <w:r w:rsidRPr="009B71D3">
              <w:rPr>
                <w:rFonts w:asciiTheme="minorHAnsi" w:cstheme="minorHAnsi"/>
              </w:rPr>
              <w:t>L</w:t>
            </w:r>
            <w:r w:rsidRPr="009B71D3">
              <w:rPr>
                <w:rFonts w:asciiTheme="minorHAnsi" w:cstheme="minorHAnsi"/>
                <w:vertAlign w:val="subscript"/>
              </w:rPr>
              <w:t>1.</w:t>
            </w:r>
            <w:r>
              <w:rPr>
                <w:rFonts w:asciiTheme="minorHAnsi" w:cstheme="minorHAnsi"/>
                <w:vertAlign w:val="subscript"/>
              </w:rPr>
              <w:t>7</w:t>
            </w:r>
            <w:r w:rsidRPr="009B71D3">
              <w:rPr>
                <w:rFonts w:asciiTheme="minorHAnsi" w:cstheme="minorHAnsi"/>
              </w:rPr>
              <w:t>=</w:t>
            </w:r>
            <w:r>
              <w:rPr>
                <w:rFonts w:asciiTheme="minorHAnsi" w:cstheme="minorHAnsi"/>
              </w:rPr>
              <w:t>0,2</w:t>
            </w:r>
          </w:p>
        </w:tc>
        <w:tc>
          <w:tcPr>
            <w:tcW w:w="1843" w:type="dxa"/>
          </w:tcPr>
          <w:p w14:paraId="72CA1922" w14:textId="77777777" w:rsidR="00507AC2" w:rsidRPr="009B71D3" w:rsidRDefault="00507AC2" w:rsidP="007403C4">
            <w:pPr>
              <w:suppressAutoHyphens/>
              <w:jc w:val="both"/>
              <w:rPr>
                <w:rFonts w:cstheme="minorHAnsi"/>
              </w:rPr>
            </w:pPr>
          </w:p>
        </w:tc>
      </w:tr>
      <w:tr w:rsidR="00507AC2" w:rsidRPr="009B71D3" w14:paraId="669E870E" w14:textId="77777777" w:rsidTr="00EA18CC">
        <w:tc>
          <w:tcPr>
            <w:tcW w:w="669" w:type="dxa"/>
          </w:tcPr>
          <w:p w14:paraId="1AB285FE" w14:textId="77777777" w:rsidR="00507AC2" w:rsidRPr="00F215DB" w:rsidRDefault="00507AC2" w:rsidP="007403C4">
            <w:pPr>
              <w:suppressAutoHyphens/>
              <w:jc w:val="both"/>
              <w:rPr>
                <w:rFonts w:cstheme="minorHAnsi"/>
                <w:i/>
              </w:rPr>
            </w:pPr>
            <w:r w:rsidRPr="002363CB">
              <w:rPr>
                <w:rFonts w:asciiTheme="minorHAnsi" w:cstheme="minorHAnsi"/>
                <w:i/>
              </w:rPr>
              <w:t>1.</w:t>
            </w:r>
            <w:r>
              <w:rPr>
                <w:rFonts w:asciiTheme="minorHAnsi" w:cstheme="minorHAnsi"/>
                <w:i/>
              </w:rPr>
              <w:t>8</w:t>
            </w:r>
            <w:r w:rsidRPr="002363CB">
              <w:rPr>
                <w:rFonts w:asciiTheme="minorHAnsi" w:cstheme="minorHAnsi"/>
                <w:i/>
              </w:rPr>
              <w:t>.</w:t>
            </w:r>
          </w:p>
        </w:tc>
        <w:tc>
          <w:tcPr>
            <w:tcW w:w="5563" w:type="dxa"/>
          </w:tcPr>
          <w:p w14:paraId="4DCB27DB" w14:textId="77777777" w:rsidR="00507AC2" w:rsidRPr="009B71D3" w:rsidRDefault="00507AC2" w:rsidP="007403C4">
            <w:pPr>
              <w:suppressAutoHyphens/>
              <w:jc w:val="both"/>
              <w:rPr>
                <w:rFonts w:cstheme="minorHAnsi"/>
                <w:i/>
              </w:rPr>
            </w:pPr>
            <w:r w:rsidRPr="00FF4AEC">
              <w:rPr>
                <w:rFonts w:cstheme="minorHAnsi"/>
                <w:i/>
              </w:rPr>
              <w:t xml:space="preserve">TBEV </w:t>
            </w:r>
            <w:proofErr w:type="spellStart"/>
            <w:r w:rsidRPr="00FF4AEC">
              <w:rPr>
                <w:rFonts w:cstheme="minorHAnsi"/>
                <w:i/>
              </w:rPr>
              <w:t>IgM</w:t>
            </w:r>
            <w:proofErr w:type="spellEnd"/>
            <w:r w:rsidRPr="00FF4AEC">
              <w:rPr>
                <w:rFonts w:cstheme="minorHAnsi"/>
                <w:i/>
              </w:rPr>
              <w:t xml:space="preserve"> </w:t>
            </w:r>
            <w:r w:rsidRPr="00FF4AEC">
              <w:rPr>
                <w:rFonts w:asciiTheme="minorHAnsi" w:cstheme="minorHAnsi"/>
                <w:i/>
              </w:rPr>
              <w:t>kiekybinis</w:t>
            </w:r>
            <w:r>
              <w:rPr>
                <w:rFonts w:asciiTheme="minorHAnsi" w:cstheme="minorHAnsi"/>
                <w:i/>
              </w:rPr>
              <w:t xml:space="preserve"> tyrimas</w:t>
            </w:r>
          </w:p>
        </w:tc>
        <w:tc>
          <w:tcPr>
            <w:tcW w:w="1842" w:type="dxa"/>
          </w:tcPr>
          <w:p w14:paraId="05C4DA73" w14:textId="77777777" w:rsidR="00507AC2" w:rsidRPr="009B71D3" w:rsidRDefault="00507AC2" w:rsidP="007403C4">
            <w:pPr>
              <w:suppressAutoHyphens/>
              <w:jc w:val="both"/>
              <w:rPr>
                <w:rFonts w:cstheme="minorHAnsi"/>
              </w:rPr>
            </w:pPr>
            <w:r w:rsidRPr="009B71D3">
              <w:rPr>
                <w:rFonts w:asciiTheme="minorHAnsi" w:cstheme="minorHAnsi"/>
              </w:rPr>
              <w:t>L</w:t>
            </w:r>
            <w:r w:rsidRPr="009B71D3">
              <w:rPr>
                <w:rFonts w:asciiTheme="minorHAnsi" w:cstheme="minorHAnsi"/>
                <w:vertAlign w:val="subscript"/>
              </w:rPr>
              <w:t>1.</w:t>
            </w:r>
            <w:r>
              <w:rPr>
                <w:rFonts w:asciiTheme="minorHAnsi" w:cstheme="minorHAnsi"/>
                <w:vertAlign w:val="subscript"/>
              </w:rPr>
              <w:t>8</w:t>
            </w:r>
            <w:r w:rsidRPr="009B71D3">
              <w:rPr>
                <w:rFonts w:asciiTheme="minorHAnsi" w:cstheme="minorHAnsi"/>
              </w:rPr>
              <w:t>=</w:t>
            </w:r>
            <w:r>
              <w:rPr>
                <w:rFonts w:asciiTheme="minorHAnsi" w:cstheme="minorHAnsi"/>
              </w:rPr>
              <w:t>0,2</w:t>
            </w:r>
          </w:p>
        </w:tc>
        <w:tc>
          <w:tcPr>
            <w:tcW w:w="1843" w:type="dxa"/>
          </w:tcPr>
          <w:p w14:paraId="6BFD11BE" w14:textId="77777777" w:rsidR="00507AC2" w:rsidRPr="009B71D3" w:rsidRDefault="00507AC2" w:rsidP="007403C4">
            <w:pPr>
              <w:suppressAutoHyphens/>
              <w:jc w:val="both"/>
              <w:rPr>
                <w:rFonts w:cstheme="minorHAnsi"/>
              </w:rPr>
            </w:pPr>
          </w:p>
        </w:tc>
      </w:tr>
      <w:tr w:rsidR="00507AC2" w:rsidRPr="009B71D3" w14:paraId="76316EDB" w14:textId="77777777" w:rsidTr="00EA18CC">
        <w:tc>
          <w:tcPr>
            <w:tcW w:w="669" w:type="dxa"/>
          </w:tcPr>
          <w:p w14:paraId="6AB0069D" w14:textId="77777777" w:rsidR="00507AC2" w:rsidRPr="00F215DB" w:rsidRDefault="00507AC2" w:rsidP="007403C4">
            <w:pPr>
              <w:suppressAutoHyphens/>
              <w:jc w:val="both"/>
              <w:rPr>
                <w:rFonts w:cstheme="minorHAnsi"/>
                <w:i/>
              </w:rPr>
            </w:pPr>
            <w:r w:rsidRPr="002363CB">
              <w:rPr>
                <w:rFonts w:asciiTheme="minorHAnsi" w:cstheme="minorHAnsi"/>
                <w:i/>
              </w:rPr>
              <w:t>1.</w:t>
            </w:r>
            <w:r>
              <w:rPr>
                <w:rFonts w:asciiTheme="minorHAnsi" w:cstheme="minorHAnsi"/>
                <w:i/>
              </w:rPr>
              <w:t>9</w:t>
            </w:r>
            <w:r w:rsidRPr="002363CB">
              <w:rPr>
                <w:rFonts w:asciiTheme="minorHAnsi" w:cstheme="minorHAnsi"/>
                <w:i/>
              </w:rPr>
              <w:t>.</w:t>
            </w:r>
          </w:p>
        </w:tc>
        <w:tc>
          <w:tcPr>
            <w:tcW w:w="5563" w:type="dxa"/>
          </w:tcPr>
          <w:p w14:paraId="7DFAAFC4" w14:textId="77777777" w:rsidR="00507AC2" w:rsidRPr="009B71D3" w:rsidRDefault="00507AC2" w:rsidP="007403C4">
            <w:pPr>
              <w:suppressAutoHyphens/>
              <w:jc w:val="both"/>
              <w:rPr>
                <w:rFonts w:cstheme="minorHAnsi"/>
                <w:i/>
              </w:rPr>
            </w:pPr>
            <w:r w:rsidRPr="00FF4AEC">
              <w:rPr>
                <w:rFonts w:cstheme="minorHAnsi"/>
                <w:i/>
              </w:rPr>
              <w:t xml:space="preserve">TBEV </w:t>
            </w:r>
            <w:proofErr w:type="spellStart"/>
            <w:r w:rsidRPr="00FF4AEC">
              <w:rPr>
                <w:rFonts w:cstheme="minorHAnsi"/>
                <w:i/>
              </w:rPr>
              <w:t>IgG</w:t>
            </w:r>
            <w:proofErr w:type="spellEnd"/>
            <w:r w:rsidRPr="00FF4AEC">
              <w:rPr>
                <w:rFonts w:cstheme="minorHAnsi"/>
                <w:i/>
              </w:rPr>
              <w:t xml:space="preserve"> </w:t>
            </w:r>
            <w:r w:rsidRPr="00FF4AEC">
              <w:rPr>
                <w:rFonts w:asciiTheme="minorHAnsi" w:cstheme="minorHAnsi"/>
                <w:i/>
              </w:rPr>
              <w:t>kiekybinis</w:t>
            </w:r>
            <w:r>
              <w:rPr>
                <w:rFonts w:asciiTheme="minorHAnsi" w:cstheme="minorHAnsi"/>
                <w:i/>
              </w:rPr>
              <w:t xml:space="preserve"> tyrimas</w:t>
            </w:r>
          </w:p>
        </w:tc>
        <w:tc>
          <w:tcPr>
            <w:tcW w:w="1842" w:type="dxa"/>
          </w:tcPr>
          <w:p w14:paraId="1535E047" w14:textId="77777777" w:rsidR="00507AC2" w:rsidRPr="009B71D3" w:rsidRDefault="00507AC2" w:rsidP="007403C4">
            <w:pPr>
              <w:suppressAutoHyphens/>
              <w:jc w:val="both"/>
              <w:rPr>
                <w:rFonts w:cstheme="minorHAnsi"/>
              </w:rPr>
            </w:pPr>
            <w:r w:rsidRPr="009B71D3">
              <w:rPr>
                <w:rFonts w:asciiTheme="minorHAnsi" w:cstheme="minorHAnsi"/>
              </w:rPr>
              <w:t>L</w:t>
            </w:r>
            <w:r w:rsidRPr="009B71D3">
              <w:rPr>
                <w:rFonts w:asciiTheme="minorHAnsi" w:cstheme="minorHAnsi"/>
                <w:vertAlign w:val="subscript"/>
              </w:rPr>
              <w:t>1.</w:t>
            </w:r>
            <w:r>
              <w:rPr>
                <w:rFonts w:asciiTheme="minorHAnsi" w:cstheme="minorHAnsi"/>
                <w:vertAlign w:val="subscript"/>
              </w:rPr>
              <w:t>9</w:t>
            </w:r>
            <w:r w:rsidRPr="009B71D3">
              <w:rPr>
                <w:rFonts w:asciiTheme="minorHAnsi" w:cstheme="minorHAnsi"/>
              </w:rPr>
              <w:t>=</w:t>
            </w:r>
            <w:r>
              <w:rPr>
                <w:rFonts w:asciiTheme="minorHAnsi" w:cstheme="minorHAnsi"/>
              </w:rPr>
              <w:t>0,2</w:t>
            </w:r>
          </w:p>
        </w:tc>
        <w:tc>
          <w:tcPr>
            <w:tcW w:w="1843" w:type="dxa"/>
          </w:tcPr>
          <w:p w14:paraId="4EE9B0D3" w14:textId="77777777" w:rsidR="00507AC2" w:rsidRPr="009B71D3" w:rsidRDefault="00507AC2" w:rsidP="007403C4">
            <w:pPr>
              <w:suppressAutoHyphens/>
              <w:jc w:val="both"/>
              <w:rPr>
                <w:rFonts w:cstheme="minorHAnsi"/>
              </w:rPr>
            </w:pPr>
          </w:p>
        </w:tc>
      </w:tr>
      <w:tr w:rsidR="00507AC2" w:rsidRPr="00154177" w14:paraId="22BAC0E8" w14:textId="77777777" w:rsidTr="00EA18CC">
        <w:tc>
          <w:tcPr>
            <w:tcW w:w="669" w:type="dxa"/>
          </w:tcPr>
          <w:p w14:paraId="6176D073" w14:textId="77777777" w:rsidR="00507AC2" w:rsidRPr="00154177" w:rsidRDefault="00507AC2" w:rsidP="007403C4">
            <w:pPr>
              <w:suppressAutoHyphens/>
              <w:jc w:val="both"/>
              <w:rPr>
                <w:rFonts w:asciiTheme="minorHAnsi" w:cstheme="minorHAnsi"/>
                <w:i/>
              </w:rPr>
            </w:pPr>
            <w:r w:rsidRPr="00154177">
              <w:rPr>
                <w:rFonts w:asciiTheme="minorHAnsi" w:cstheme="minorHAnsi"/>
                <w:i/>
              </w:rPr>
              <w:t>1.</w:t>
            </w:r>
            <w:r>
              <w:rPr>
                <w:rFonts w:asciiTheme="minorHAnsi" w:cstheme="minorHAnsi"/>
                <w:i/>
              </w:rPr>
              <w:t>10</w:t>
            </w:r>
            <w:r w:rsidRPr="00154177">
              <w:rPr>
                <w:rFonts w:asciiTheme="minorHAnsi" w:cstheme="minorHAnsi"/>
                <w:i/>
              </w:rPr>
              <w:t>.</w:t>
            </w:r>
          </w:p>
        </w:tc>
        <w:tc>
          <w:tcPr>
            <w:tcW w:w="5563" w:type="dxa"/>
          </w:tcPr>
          <w:p w14:paraId="2627C696" w14:textId="77777777" w:rsidR="00507AC2" w:rsidRPr="00154177" w:rsidRDefault="00507AC2" w:rsidP="007403C4">
            <w:pPr>
              <w:suppressAutoHyphens/>
              <w:jc w:val="both"/>
              <w:rPr>
                <w:rFonts w:asciiTheme="minorHAnsi" w:cstheme="minorHAnsi"/>
                <w:i/>
              </w:rPr>
            </w:pPr>
            <w:proofErr w:type="spellStart"/>
            <w:r w:rsidRPr="00FF4AEC">
              <w:rPr>
                <w:rFonts w:asciiTheme="minorHAnsi" w:cstheme="minorHAnsi"/>
                <w:i/>
              </w:rPr>
              <w:t>Bordetella</w:t>
            </w:r>
            <w:proofErr w:type="spellEnd"/>
            <w:r w:rsidRPr="00FF4AEC">
              <w:rPr>
                <w:rFonts w:asciiTheme="minorHAnsi" w:cstheme="minorHAnsi"/>
                <w:i/>
              </w:rPr>
              <w:t xml:space="preserve"> </w:t>
            </w:r>
            <w:proofErr w:type="spellStart"/>
            <w:r w:rsidRPr="00FF4AEC">
              <w:rPr>
                <w:rFonts w:asciiTheme="minorHAnsi" w:cstheme="minorHAnsi"/>
                <w:i/>
              </w:rPr>
              <w:t>pertussis</w:t>
            </w:r>
            <w:proofErr w:type="spellEnd"/>
            <w:r w:rsidRPr="00FF4AEC">
              <w:rPr>
                <w:rFonts w:asciiTheme="minorHAnsi" w:cstheme="minorHAnsi"/>
                <w:i/>
              </w:rPr>
              <w:t xml:space="preserve"> kokliušo toksino </w:t>
            </w:r>
            <w:proofErr w:type="spellStart"/>
            <w:r w:rsidRPr="00FF4AEC">
              <w:rPr>
                <w:rFonts w:asciiTheme="minorHAnsi" w:cstheme="minorHAnsi"/>
                <w:i/>
              </w:rPr>
              <w:t>IgG</w:t>
            </w:r>
            <w:proofErr w:type="spellEnd"/>
            <w:r w:rsidRPr="00FF4AEC">
              <w:rPr>
                <w:rFonts w:asciiTheme="minorHAnsi" w:cstheme="minorHAnsi"/>
                <w:i/>
              </w:rPr>
              <w:t xml:space="preserve"> kiekybinis</w:t>
            </w:r>
            <w:r>
              <w:rPr>
                <w:rFonts w:asciiTheme="minorHAnsi" w:cstheme="minorHAnsi"/>
                <w:i/>
              </w:rPr>
              <w:t xml:space="preserve"> tyrimas</w:t>
            </w:r>
          </w:p>
        </w:tc>
        <w:tc>
          <w:tcPr>
            <w:tcW w:w="1842" w:type="dxa"/>
          </w:tcPr>
          <w:p w14:paraId="5EFA372A" w14:textId="77777777" w:rsidR="00507AC2" w:rsidRPr="00154177" w:rsidRDefault="00507AC2" w:rsidP="007403C4">
            <w:pPr>
              <w:suppressAutoHyphens/>
              <w:jc w:val="both"/>
              <w:rPr>
                <w:rFonts w:asciiTheme="minorHAnsi" w:cstheme="minorHAnsi"/>
              </w:rPr>
            </w:pPr>
            <w:r w:rsidRPr="009B71D3">
              <w:rPr>
                <w:rFonts w:asciiTheme="minorHAnsi" w:cstheme="minorHAnsi"/>
              </w:rPr>
              <w:t>L</w:t>
            </w:r>
            <w:r w:rsidRPr="009B71D3">
              <w:rPr>
                <w:rFonts w:asciiTheme="minorHAnsi" w:cstheme="minorHAnsi"/>
                <w:vertAlign w:val="subscript"/>
              </w:rPr>
              <w:t>1.1</w:t>
            </w:r>
            <w:r>
              <w:rPr>
                <w:rFonts w:asciiTheme="minorHAnsi" w:cstheme="minorHAnsi"/>
                <w:vertAlign w:val="subscript"/>
              </w:rPr>
              <w:t>0</w:t>
            </w:r>
            <w:r w:rsidRPr="009B71D3">
              <w:rPr>
                <w:rFonts w:asciiTheme="minorHAnsi" w:cstheme="minorHAnsi"/>
              </w:rPr>
              <w:t>=</w:t>
            </w:r>
            <w:r>
              <w:rPr>
                <w:rFonts w:asciiTheme="minorHAnsi" w:cstheme="minorHAnsi"/>
              </w:rPr>
              <w:t>0,05</w:t>
            </w:r>
          </w:p>
        </w:tc>
        <w:tc>
          <w:tcPr>
            <w:tcW w:w="1843" w:type="dxa"/>
          </w:tcPr>
          <w:p w14:paraId="40233BD2" w14:textId="77777777" w:rsidR="00507AC2" w:rsidRPr="00154177" w:rsidRDefault="00507AC2" w:rsidP="007403C4">
            <w:pPr>
              <w:suppressAutoHyphens/>
              <w:jc w:val="both"/>
              <w:rPr>
                <w:rFonts w:asciiTheme="minorHAnsi" w:cstheme="minorHAnsi"/>
              </w:rPr>
            </w:pP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E1091D0" w14:textId="1E81E329" w:rsidR="00D33821" w:rsidRPr="00F40A93" w:rsidRDefault="00D33821" w:rsidP="00D33821">
      <w:pPr>
        <w:pStyle w:val="Pagrindinistekstas"/>
        <w:numPr>
          <w:ilvl w:val="0"/>
          <w:numId w:val="42"/>
        </w:numPr>
        <w:spacing w:after="0" w:line="240" w:lineRule="auto"/>
        <w:ind w:left="0" w:firstLine="567"/>
        <w:rPr>
          <w:rFonts w:cstheme="minorHAnsi"/>
          <w:b/>
          <w:bCs/>
          <w:szCs w:val="21"/>
        </w:rPr>
      </w:pPr>
      <w:r w:rsidRPr="00F40A93">
        <w:rPr>
          <w:rFonts w:cstheme="minorHAnsi"/>
          <w:b/>
          <w:bCs/>
          <w:szCs w:val="21"/>
        </w:rPr>
        <w:t>Ekonominis naudingumas (</w:t>
      </w:r>
      <w:r w:rsidR="00004AD3">
        <w:rPr>
          <w:rFonts w:cstheme="minorHAnsi"/>
          <w:b/>
          <w:bCs/>
          <w:szCs w:val="21"/>
        </w:rPr>
        <w:t>E</w:t>
      </w:r>
      <w:r w:rsidRPr="00F40A93">
        <w:rPr>
          <w:rFonts w:cstheme="minorHAnsi"/>
          <w:b/>
          <w:bCs/>
          <w:szCs w:val="21"/>
        </w:rPr>
        <w:t xml:space="preserve">) apskaičiuojamas sudedant tiekėjo pasiūlymo kainos </w:t>
      </w:r>
      <w:r w:rsidR="00004AD3">
        <w:rPr>
          <w:rFonts w:cstheme="minorHAnsi"/>
          <w:b/>
          <w:bCs/>
          <w:szCs w:val="21"/>
        </w:rPr>
        <w:t>K</w:t>
      </w:r>
      <w:r w:rsidRPr="00F40A93">
        <w:rPr>
          <w:rFonts w:cstheme="minorHAnsi"/>
          <w:b/>
          <w:bCs/>
          <w:szCs w:val="21"/>
        </w:rPr>
        <w:t xml:space="preserve"> ir kitų kriterijų (T) balus:</w:t>
      </w:r>
    </w:p>
    <w:p w14:paraId="170F604B" w14:textId="116FDA3B" w:rsidR="00D33821" w:rsidRPr="00F40A93" w:rsidRDefault="00004AD3" w:rsidP="00972BB5">
      <w:pPr>
        <w:suppressAutoHyphens/>
        <w:spacing w:after="0" w:line="240" w:lineRule="auto"/>
        <w:ind w:firstLine="567"/>
        <w:jc w:val="center"/>
        <w:rPr>
          <w:rFonts w:eastAsia="Times New Roman" w:cstheme="minorHAnsi"/>
          <w:lang w:eastAsia="en-US"/>
        </w:rPr>
      </w:pPr>
      <w:r>
        <w:rPr>
          <w:rFonts w:eastAsia="Times New Roman" w:cstheme="minorHAnsi"/>
          <w:i/>
          <w:iCs/>
          <w:lang w:eastAsia="en-US"/>
        </w:rPr>
        <w:t>E</w:t>
      </w:r>
      <w:r w:rsidR="00D33821" w:rsidRPr="00F40A93">
        <w:rPr>
          <w:rFonts w:eastAsia="Times New Roman" w:cstheme="minorHAnsi"/>
          <w:i/>
          <w:iCs/>
          <w:lang w:eastAsia="en-US"/>
        </w:rPr>
        <w:t xml:space="preserve"> = </w:t>
      </w:r>
      <w:r>
        <w:rPr>
          <w:rFonts w:eastAsia="Times New Roman" w:cstheme="minorHAnsi"/>
          <w:i/>
          <w:iCs/>
          <w:lang w:eastAsia="en-US"/>
        </w:rPr>
        <w:t>K</w:t>
      </w:r>
      <w:r w:rsidR="00D33821" w:rsidRPr="00F40A93">
        <w:rPr>
          <w:rFonts w:eastAsia="Times New Roman" w:cstheme="minorHAnsi"/>
          <w:i/>
          <w:iCs/>
          <w:lang w:eastAsia="en-US"/>
        </w:rPr>
        <w:t xml:space="preserve"> + T</w:t>
      </w:r>
      <w:r w:rsidR="00D33821" w:rsidRPr="00F40A93">
        <w:rPr>
          <w:rFonts w:eastAsia="Times New Roman" w:cstheme="minorHAnsi"/>
          <w:lang w:eastAsia="en-US"/>
        </w:rPr>
        <w:t>.</w:t>
      </w:r>
    </w:p>
    <w:p w14:paraId="17E29E8F" w14:textId="7DE14EA0" w:rsidR="00D33821" w:rsidRPr="00F40A93" w:rsidRDefault="00D33821" w:rsidP="00D33821">
      <w:pPr>
        <w:pStyle w:val="Pagrindinistekstas"/>
        <w:numPr>
          <w:ilvl w:val="1"/>
          <w:numId w:val="43"/>
        </w:numPr>
        <w:spacing w:after="0" w:line="240" w:lineRule="auto"/>
        <w:ind w:left="0" w:firstLine="567"/>
        <w:rPr>
          <w:rFonts w:cstheme="minorHAnsi"/>
          <w:b/>
          <w:bCs/>
          <w:szCs w:val="21"/>
        </w:rPr>
      </w:pPr>
      <w:r>
        <w:rPr>
          <w:rFonts w:cstheme="minorHAnsi"/>
          <w:b/>
          <w:bCs/>
          <w:szCs w:val="21"/>
        </w:rPr>
        <w:t xml:space="preserve"> </w:t>
      </w:r>
      <w:r w:rsidRPr="00F40A93">
        <w:rPr>
          <w:rFonts w:cstheme="minorHAnsi"/>
          <w:b/>
          <w:bCs/>
          <w:szCs w:val="21"/>
        </w:rPr>
        <w:t>Pasiūlymo kainos (</w:t>
      </w:r>
      <w:r w:rsidR="00004AD3">
        <w:rPr>
          <w:rFonts w:cstheme="minorHAnsi"/>
          <w:b/>
          <w:bCs/>
          <w:szCs w:val="21"/>
        </w:rPr>
        <w:t>K</w:t>
      </w:r>
      <w:r w:rsidRPr="00F40A93">
        <w:rPr>
          <w:rFonts w:cstheme="minorHAnsi"/>
          <w:b/>
          <w:bCs/>
          <w:szCs w:val="21"/>
        </w:rPr>
        <w:t>) balai apskaičiuojami mažiausios pasiūlytos kainos (</w:t>
      </w:r>
      <w:proofErr w:type="spellStart"/>
      <w:r w:rsidR="001D51B7">
        <w:rPr>
          <w:rFonts w:cstheme="minorHAnsi"/>
          <w:b/>
          <w:bCs/>
          <w:szCs w:val="21"/>
        </w:rPr>
        <w:t>K</w:t>
      </w:r>
      <w:r w:rsidRPr="00F40A93">
        <w:rPr>
          <w:rFonts w:cstheme="minorHAnsi"/>
          <w:b/>
          <w:bCs/>
          <w:szCs w:val="21"/>
          <w:vertAlign w:val="subscript"/>
        </w:rPr>
        <w:t>min</w:t>
      </w:r>
      <w:proofErr w:type="spellEnd"/>
      <w:r w:rsidRPr="00F40A93">
        <w:rPr>
          <w:rFonts w:cstheme="minorHAnsi"/>
          <w:b/>
          <w:bCs/>
          <w:szCs w:val="21"/>
        </w:rPr>
        <w:t>) ir vertinamo pasiūlymo kainos (</w:t>
      </w:r>
      <w:proofErr w:type="spellStart"/>
      <w:r w:rsidR="001D51B7">
        <w:rPr>
          <w:rFonts w:cstheme="minorHAnsi"/>
          <w:b/>
          <w:bCs/>
          <w:szCs w:val="21"/>
        </w:rPr>
        <w:t>K</w:t>
      </w:r>
      <w:r w:rsidRPr="00F40A93">
        <w:rPr>
          <w:rFonts w:cstheme="minorHAnsi"/>
          <w:b/>
          <w:bCs/>
          <w:szCs w:val="21"/>
          <w:vertAlign w:val="subscript"/>
        </w:rPr>
        <w:t>p</w:t>
      </w:r>
      <w:proofErr w:type="spellEnd"/>
      <w:r w:rsidRPr="00F40A93">
        <w:rPr>
          <w:rFonts w:cstheme="minorHAnsi"/>
          <w:b/>
          <w:bCs/>
          <w:szCs w:val="21"/>
        </w:rPr>
        <w:t>) santykį padauginant iš kainos lyginamojo svorio (X):</w:t>
      </w:r>
    </w:p>
    <w:p w14:paraId="6BE9992E"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7BA6739E" w14:textId="33B4D9E2" w:rsidR="00D33821" w:rsidRPr="008C672B" w:rsidRDefault="00972BB5" w:rsidP="00972BB5">
      <w:pPr>
        <w:suppressAutoHyphens/>
        <w:spacing w:after="0" w:line="240" w:lineRule="auto"/>
        <w:ind w:firstLine="567"/>
        <w:jc w:val="center"/>
        <w:rPr>
          <w:rFonts w:eastAsia="Times New Roman" w:cstheme="minorHAnsi"/>
          <w:lang w:eastAsia="en-US"/>
        </w:rPr>
      </w:pPr>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v</m:t>
                </m:r>
              </m:sub>
            </m:sSub>
          </m:den>
        </m:f>
        <m:r>
          <w:rPr>
            <w:rFonts w:ascii="Cambria Math" w:hAnsi="Cambria Math" w:cs="Times New Roman"/>
            <w:sz w:val="24"/>
            <w:szCs w:val="24"/>
          </w:rPr>
          <m:t xml:space="preserve"> ×X</m:t>
        </m:r>
      </m:oMath>
      <w:r w:rsidR="00D33821" w:rsidRPr="00F40A93">
        <w:rPr>
          <w:rFonts w:eastAsia="Times New Roman" w:cstheme="minorHAnsi"/>
          <w:lang w:eastAsia="en-US"/>
        </w:rPr>
        <w:t>.</w:t>
      </w:r>
    </w:p>
    <w:p w14:paraId="2AAB825E" w14:textId="07ABE98E" w:rsidR="00616ACB" w:rsidRPr="008D6113" w:rsidRDefault="00616ACB" w:rsidP="00616ACB">
      <w:pPr>
        <w:pStyle w:val="Pagrindinistekstas"/>
        <w:numPr>
          <w:ilvl w:val="1"/>
          <w:numId w:val="43"/>
        </w:numPr>
        <w:spacing w:after="0" w:line="240" w:lineRule="auto"/>
        <w:ind w:left="0" w:firstLine="567"/>
        <w:rPr>
          <w:b/>
          <w:bCs/>
        </w:rPr>
      </w:pPr>
      <w:r w:rsidRPr="00616ACB">
        <w:rPr>
          <w:b/>
          <w:bCs/>
          <w:szCs w:val="24"/>
        </w:rPr>
        <w:t>Siūlomo objekto T</w:t>
      </w:r>
      <w:r w:rsidRPr="00616ACB">
        <w:rPr>
          <w:b/>
          <w:bCs/>
          <w:szCs w:val="24"/>
          <w:vertAlign w:val="subscript"/>
        </w:rPr>
        <w:t xml:space="preserve">1 </w:t>
      </w:r>
      <w:r w:rsidRPr="00616ACB">
        <w:rPr>
          <w:b/>
          <w:bCs/>
          <w:szCs w:val="24"/>
        </w:rPr>
        <w:t>techniniai parametrai vertinami statiniu vertinimo būdu ir neturi skaitinių išraiškų (taip arba ne), todėl parametro įvertinimas apskaičiuojamas pagal formulę:</w:t>
      </w:r>
    </w:p>
    <w:p w14:paraId="715BDD5A" w14:textId="77777777" w:rsidR="008D6113" w:rsidRDefault="008D6113" w:rsidP="008D6113">
      <w:pPr>
        <w:pStyle w:val="Pagrindinistekstas"/>
        <w:spacing w:after="0" w:line="240" w:lineRule="auto"/>
        <w:ind w:left="567" w:firstLine="0"/>
        <w:rPr>
          <w:b/>
          <w:bCs/>
          <w:szCs w:val="24"/>
        </w:rPr>
      </w:pPr>
    </w:p>
    <w:p w14:paraId="6A9BF5A7" w14:textId="19DF79E6" w:rsidR="008D6113" w:rsidRPr="0079180A" w:rsidRDefault="008D6113" w:rsidP="004A3669">
      <w:pPr>
        <w:pStyle w:val="Pagrindinistekstas"/>
        <w:spacing w:after="0" w:line="240" w:lineRule="auto"/>
        <w:rPr>
          <w:iCs/>
        </w:rPr>
      </w:pPr>
      <w:r w:rsidRPr="0079180A">
        <w:rPr>
          <w:szCs w:val="24"/>
        </w:rPr>
        <w:t>Maksima</w:t>
      </w:r>
      <w:r w:rsidR="00ED3301" w:rsidRPr="0079180A">
        <w:rPr>
          <w:szCs w:val="24"/>
        </w:rPr>
        <w:t xml:space="preserve">li </w:t>
      </w:r>
      <w:r w:rsidR="00686E5A">
        <w:rPr>
          <w:szCs w:val="24"/>
        </w:rPr>
        <w:t xml:space="preserve">galima surinkti </w:t>
      </w:r>
      <w:r w:rsidR="00ED3301" w:rsidRPr="0079180A">
        <w:rPr>
          <w:szCs w:val="24"/>
        </w:rPr>
        <w:t>balo vertė už kriterijų T</w:t>
      </w:r>
      <w:r w:rsidR="00364075" w:rsidRPr="0079180A">
        <w:rPr>
          <w:szCs w:val="24"/>
          <w:vertAlign w:val="subscript"/>
        </w:rPr>
        <w:t xml:space="preserve">1 </w:t>
      </w:r>
      <w:r w:rsidR="00364075" w:rsidRPr="0079180A">
        <w:rPr>
          <w:szCs w:val="24"/>
        </w:rPr>
        <w:t xml:space="preserve">yra </w:t>
      </w:r>
      <w:r w:rsidR="00364075" w:rsidRPr="00364075">
        <w:rPr>
          <w:rFonts w:cstheme="minorHAnsi"/>
        </w:rPr>
        <w:t>L</w:t>
      </w:r>
      <w:r w:rsidR="00364075" w:rsidRPr="00364075">
        <w:rPr>
          <w:rFonts w:cstheme="minorHAnsi"/>
          <w:vertAlign w:val="subscript"/>
        </w:rPr>
        <w:t>1</w:t>
      </w:r>
      <w:r w:rsidR="00364075" w:rsidRPr="00364075">
        <w:rPr>
          <w:rFonts w:cstheme="minorHAnsi"/>
        </w:rPr>
        <w:t>=3</w:t>
      </w:r>
      <w:r w:rsidR="00691271">
        <w:rPr>
          <w:rFonts w:cstheme="minorHAnsi"/>
        </w:rPr>
        <w:t xml:space="preserve">. Kiekvienas </w:t>
      </w:r>
      <w:r w:rsidR="00691271" w:rsidRPr="00D447A4">
        <w:rPr>
          <w:rFonts w:cs="Times New Roman"/>
          <w:i/>
        </w:rPr>
        <w:t>T</w:t>
      </w:r>
      <w:r w:rsidR="00691271" w:rsidRPr="00D447A4">
        <w:rPr>
          <w:rFonts w:cs="Times New Roman"/>
          <w:i/>
          <w:vertAlign w:val="subscript"/>
        </w:rPr>
        <w:t>1</w:t>
      </w:r>
      <w:r w:rsidR="00691271">
        <w:rPr>
          <w:rFonts w:cs="Times New Roman"/>
          <w:i/>
          <w:vertAlign w:val="subscript"/>
        </w:rPr>
        <w:t>.1</w:t>
      </w:r>
      <w:r w:rsidR="001D1E80">
        <w:rPr>
          <w:rFonts w:cs="Times New Roman"/>
          <w:i/>
        </w:rPr>
        <w:t xml:space="preserve"> - </w:t>
      </w:r>
      <w:r w:rsidR="001D1E80" w:rsidRPr="00D447A4">
        <w:rPr>
          <w:rFonts w:cs="Times New Roman"/>
          <w:i/>
        </w:rPr>
        <w:t>T</w:t>
      </w:r>
      <w:r w:rsidR="001D1E80" w:rsidRPr="00D447A4">
        <w:rPr>
          <w:rFonts w:cs="Times New Roman"/>
          <w:i/>
          <w:vertAlign w:val="subscript"/>
        </w:rPr>
        <w:t>1</w:t>
      </w:r>
      <w:r w:rsidR="001D1E80">
        <w:rPr>
          <w:rFonts w:cs="Times New Roman"/>
          <w:i/>
          <w:vertAlign w:val="subscript"/>
        </w:rPr>
        <w:t xml:space="preserve">.10 </w:t>
      </w:r>
      <w:r w:rsidR="001D1E80">
        <w:rPr>
          <w:rFonts w:cs="Times New Roman"/>
          <w:i/>
        </w:rPr>
        <w:t xml:space="preserve"> </w:t>
      </w:r>
      <w:r w:rsidR="001D1E80" w:rsidRPr="0079180A">
        <w:rPr>
          <w:rFonts w:cs="Times New Roman"/>
          <w:iCs/>
        </w:rPr>
        <w:t>kriterijus yra vertinamas atskirai</w:t>
      </w:r>
      <w:r w:rsidR="00564AE8" w:rsidRPr="0079180A">
        <w:rPr>
          <w:rFonts w:cs="Times New Roman"/>
          <w:iCs/>
        </w:rPr>
        <w:t>:</w:t>
      </w:r>
    </w:p>
    <w:p w14:paraId="71E6F44D" w14:textId="110CB4E6" w:rsidR="005F7E2B" w:rsidRDefault="00616ACB" w:rsidP="00616ACB">
      <w:pPr>
        <w:ind w:firstLine="567"/>
        <w:jc w:val="both"/>
        <w:rPr>
          <w:rFonts w:cs="Times New Roman"/>
          <w:i/>
        </w:rPr>
      </w:pPr>
      <w:r w:rsidRPr="00D447A4">
        <w:rPr>
          <w:rFonts w:cs="Times New Roman"/>
        </w:rPr>
        <w:t xml:space="preserve">Jei siūlomas objektas turi nurodytą pranašumą: </w:t>
      </w:r>
      <w:r w:rsidRPr="00D447A4">
        <w:rPr>
          <w:rFonts w:cs="Times New Roman"/>
          <w:i/>
        </w:rPr>
        <w:t>T</w:t>
      </w:r>
      <w:r w:rsidRPr="00D447A4">
        <w:rPr>
          <w:rFonts w:cs="Times New Roman"/>
          <w:i/>
          <w:vertAlign w:val="subscript"/>
        </w:rPr>
        <w:t>1</w:t>
      </w:r>
      <w:r>
        <w:rPr>
          <w:rFonts w:cs="Times New Roman"/>
          <w:i/>
          <w:vertAlign w:val="subscript"/>
        </w:rPr>
        <w:t>.1</w:t>
      </w:r>
      <w:r w:rsidRPr="00D447A4">
        <w:rPr>
          <w:rFonts w:cs="Times New Roman"/>
          <w:i/>
        </w:rPr>
        <w:t xml:space="preserve"> = L</w:t>
      </w:r>
      <w:r w:rsidRPr="00D447A4">
        <w:rPr>
          <w:rFonts w:cs="Times New Roman"/>
          <w:i/>
          <w:vertAlign w:val="subscript"/>
        </w:rPr>
        <w:t>1</w:t>
      </w:r>
      <w:r>
        <w:rPr>
          <w:rFonts w:cs="Times New Roman"/>
          <w:i/>
          <w:vertAlign w:val="subscript"/>
        </w:rPr>
        <w:t>.1</w:t>
      </w:r>
      <w:r w:rsidRPr="00D447A4">
        <w:rPr>
          <w:rFonts w:cs="Times New Roman"/>
          <w:i/>
        </w:rPr>
        <w:t xml:space="preserve"> = </w:t>
      </w:r>
      <w:r>
        <w:rPr>
          <w:rFonts w:cs="Times New Roman"/>
          <w:i/>
        </w:rPr>
        <w:t>0,4</w:t>
      </w:r>
      <w:r w:rsidRPr="00D447A4">
        <w:rPr>
          <w:rFonts w:cs="Times New Roman"/>
          <w:i/>
        </w:rPr>
        <w:t>; T</w:t>
      </w:r>
      <w:r w:rsidRPr="00D7781B">
        <w:rPr>
          <w:rFonts w:cs="Times New Roman"/>
          <w:i/>
          <w:vertAlign w:val="subscript"/>
        </w:rPr>
        <w:t xml:space="preserve">1.2 </w:t>
      </w:r>
      <w:r w:rsidRPr="00D447A4">
        <w:rPr>
          <w:rFonts w:cs="Times New Roman"/>
          <w:i/>
        </w:rPr>
        <w:t>= L</w:t>
      </w:r>
      <w:r w:rsidRPr="00D7781B">
        <w:rPr>
          <w:rFonts w:cs="Times New Roman"/>
          <w:i/>
          <w:vertAlign w:val="subscript"/>
        </w:rPr>
        <w:t xml:space="preserve">1.2 </w:t>
      </w:r>
      <w:r w:rsidRPr="00D447A4">
        <w:rPr>
          <w:rFonts w:cs="Times New Roman"/>
          <w:i/>
        </w:rPr>
        <w:t xml:space="preserve">= </w:t>
      </w:r>
      <w:r>
        <w:rPr>
          <w:rFonts w:cs="Times New Roman"/>
          <w:i/>
        </w:rPr>
        <w:t xml:space="preserve">0,4; </w:t>
      </w:r>
      <w:r w:rsidRPr="00D447A4">
        <w:rPr>
          <w:rFonts w:cs="Times New Roman"/>
          <w:i/>
        </w:rPr>
        <w:t>T</w:t>
      </w:r>
      <w:r w:rsidRPr="00D447A4">
        <w:rPr>
          <w:rFonts w:cs="Times New Roman"/>
          <w:i/>
          <w:vertAlign w:val="subscript"/>
        </w:rPr>
        <w:t>1</w:t>
      </w:r>
      <w:r>
        <w:rPr>
          <w:rFonts w:cs="Times New Roman"/>
          <w:i/>
          <w:vertAlign w:val="subscript"/>
        </w:rPr>
        <w:t>.3</w:t>
      </w:r>
      <w:r w:rsidRPr="00D447A4">
        <w:rPr>
          <w:rFonts w:cs="Times New Roman"/>
          <w:i/>
        </w:rPr>
        <w:t xml:space="preserve"> = L</w:t>
      </w:r>
      <w:r w:rsidRPr="00D447A4">
        <w:rPr>
          <w:rFonts w:cs="Times New Roman"/>
          <w:i/>
          <w:vertAlign w:val="subscript"/>
        </w:rPr>
        <w:t>1</w:t>
      </w:r>
      <w:r>
        <w:rPr>
          <w:rFonts w:cs="Times New Roman"/>
          <w:i/>
          <w:vertAlign w:val="subscript"/>
        </w:rPr>
        <w:t>.3</w:t>
      </w:r>
      <w:r w:rsidRPr="00D447A4">
        <w:rPr>
          <w:rFonts w:cs="Times New Roman"/>
          <w:i/>
        </w:rPr>
        <w:t xml:space="preserve"> = </w:t>
      </w:r>
      <w:r>
        <w:rPr>
          <w:rFonts w:cs="Times New Roman"/>
          <w:i/>
        </w:rPr>
        <w:t xml:space="preserve">0,5; </w:t>
      </w:r>
      <w:r w:rsidRPr="00D447A4">
        <w:rPr>
          <w:rFonts w:cs="Times New Roman"/>
          <w:i/>
        </w:rPr>
        <w:t>T</w:t>
      </w:r>
      <w:r w:rsidRPr="00D447A4">
        <w:rPr>
          <w:rFonts w:cs="Times New Roman"/>
          <w:i/>
          <w:vertAlign w:val="subscript"/>
        </w:rPr>
        <w:t>1</w:t>
      </w:r>
      <w:r>
        <w:rPr>
          <w:rFonts w:cs="Times New Roman"/>
          <w:i/>
          <w:vertAlign w:val="subscript"/>
        </w:rPr>
        <w:t>.4</w:t>
      </w:r>
      <w:r w:rsidRPr="00D447A4">
        <w:rPr>
          <w:rFonts w:cs="Times New Roman"/>
          <w:i/>
        </w:rPr>
        <w:t xml:space="preserve"> = L</w:t>
      </w:r>
      <w:r w:rsidRPr="00D447A4">
        <w:rPr>
          <w:rFonts w:cs="Times New Roman"/>
          <w:i/>
          <w:vertAlign w:val="subscript"/>
        </w:rPr>
        <w:t>1</w:t>
      </w:r>
      <w:r>
        <w:rPr>
          <w:rFonts w:cs="Times New Roman"/>
          <w:i/>
          <w:vertAlign w:val="subscript"/>
        </w:rPr>
        <w:t>.4</w:t>
      </w:r>
      <w:r w:rsidRPr="00D447A4">
        <w:rPr>
          <w:rFonts w:cs="Times New Roman"/>
          <w:i/>
        </w:rPr>
        <w:t xml:space="preserve"> = </w:t>
      </w:r>
      <w:r>
        <w:rPr>
          <w:rFonts w:cs="Times New Roman"/>
          <w:i/>
        </w:rPr>
        <w:t xml:space="preserve">0,25; </w:t>
      </w:r>
      <w:r w:rsidRPr="00D447A4">
        <w:rPr>
          <w:rFonts w:cs="Times New Roman"/>
          <w:i/>
        </w:rPr>
        <w:t>T</w:t>
      </w:r>
      <w:r w:rsidRPr="00D447A4">
        <w:rPr>
          <w:rFonts w:cs="Times New Roman"/>
          <w:i/>
          <w:vertAlign w:val="subscript"/>
        </w:rPr>
        <w:t>1</w:t>
      </w:r>
      <w:r>
        <w:rPr>
          <w:rFonts w:cs="Times New Roman"/>
          <w:i/>
          <w:vertAlign w:val="subscript"/>
        </w:rPr>
        <w:t>.5</w:t>
      </w:r>
      <w:r w:rsidRPr="00D447A4">
        <w:rPr>
          <w:rFonts w:cs="Times New Roman"/>
          <w:i/>
        </w:rPr>
        <w:t xml:space="preserve"> = L</w:t>
      </w:r>
      <w:r w:rsidRPr="00D447A4">
        <w:rPr>
          <w:rFonts w:cs="Times New Roman"/>
          <w:i/>
          <w:vertAlign w:val="subscript"/>
        </w:rPr>
        <w:t>1</w:t>
      </w:r>
      <w:r>
        <w:rPr>
          <w:rFonts w:cs="Times New Roman"/>
          <w:i/>
          <w:vertAlign w:val="subscript"/>
        </w:rPr>
        <w:t>.5</w:t>
      </w:r>
      <w:r w:rsidRPr="00D447A4">
        <w:rPr>
          <w:rFonts w:cs="Times New Roman"/>
          <w:i/>
        </w:rPr>
        <w:t xml:space="preserve"> = </w:t>
      </w:r>
      <w:r>
        <w:rPr>
          <w:rFonts w:cs="Times New Roman"/>
          <w:i/>
        </w:rPr>
        <w:t xml:space="preserve">0,6; </w:t>
      </w:r>
      <w:r w:rsidRPr="00D447A4">
        <w:rPr>
          <w:rFonts w:cs="Times New Roman"/>
          <w:i/>
        </w:rPr>
        <w:t>T</w:t>
      </w:r>
      <w:r w:rsidRPr="00D447A4">
        <w:rPr>
          <w:rFonts w:cs="Times New Roman"/>
          <w:i/>
          <w:vertAlign w:val="subscript"/>
        </w:rPr>
        <w:t>1</w:t>
      </w:r>
      <w:r>
        <w:rPr>
          <w:rFonts w:cs="Times New Roman"/>
          <w:i/>
          <w:vertAlign w:val="subscript"/>
        </w:rPr>
        <w:t>.6</w:t>
      </w:r>
      <w:r w:rsidRPr="00D447A4">
        <w:rPr>
          <w:rFonts w:cs="Times New Roman"/>
          <w:i/>
        </w:rPr>
        <w:t xml:space="preserve"> = L</w:t>
      </w:r>
      <w:r w:rsidRPr="00D447A4">
        <w:rPr>
          <w:rFonts w:cs="Times New Roman"/>
          <w:i/>
          <w:vertAlign w:val="subscript"/>
        </w:rPr>
        <w:t>1</w:t>
      </w:r>
      <w:r>
        <w:rPr>
          <w:rFonts w:cs="Times New Roman"/>
          <w:i/>
          <w:vertAlign w:val="subscript"/>
        </w:rPr>
        <w:t>.6</w:t>
      </w:r>
      <w:r w:rsidRPr="00D447A4">
        <w:rPr>
          <w:rFonts w:cs="Times New Roman"/>
          <w:i/>
        </w:rPr>
        <w:t xml:space="preserve"> = </w:t>
      </w:r>
      <w:r>
        <w:rPr>
          <w:rFonts w:cs="Times New Roman"/>
          <w:i/>
        </w:rPr>
        <w:t xml:space="preserve">0,2; </w:t>
      </w:r>
      <w:r w:rsidRPr="00D447A4">
        <w:rPr>
          <w:rFonts w:cs="Times New Roman"/>
          <w:i/>
        </w:rPr>
        <w:t>T</w:t>
      </w:r>
      <w:r w:rsidRPr="00D447A4">
        <w:rPr>
          <w:rFonts w:cs="Times New Roman"/>
          <w:i/>
          <w:vertAlign w:val="subscript"/>
        </w:rPr>
        <w:t>1</w:t>
      </w:r>
      <w:r>
        <w:rPr>
          <w:rFonts w:cs="Times New Roman"/>
          <w:i/>
          <w:vertAlign w:val="subscript"/>
        </w:rPr>
        <w:t>.7</w:t>
      </w:r>
      <w:r w:rsidRPr="00D447A4">
        <w:rPr>
          <w:rFonts w:cs="Times New Roman"/>
          <w:i/>
        </w:rPr>
        <w:t xml:space="preserve"> = L</w:t>
      </w:r>
      <w:r w:rsidRPr="00D447A4">
        <w:rPr>
          <w:rFonts w:cs="Times New Roman"/>
          <w:i/>
          <w:vertAlign w:val="subscript"/>
        </w:rPr>
        <w:t>1</w:t>
      </w:r>
      <w:r>
        <w:rPr>
          <w:rFonts w:cs="Times New Roman"/>
          <w:i/>
          <w:vertAlign w:val="subscript"/>
        </w:rPr>
        <w:t>.7</w:t>
      </w:r>
      <w:r w:rsidRPr="00D447A4">
        <w:rPr>
          <w:rFonts w:cs="Times New Roman"/>
          <w:i/>
        </w:rPr>
        <w:t xml:space="preserve"> = </w:t>
      </w:r>
      <w:r>
        <w:rPr>
          <w:rFonts w:cs="Times New Roman"/>
          <w:i/>
        </w:rPr>
        <w:t xml:space="preserve">0,2; </w:t>
      </w:r>
      <w:r w:rsidRPr="00D447A4">
        <w:rPr>
          <w:rFonts w:cs="Times New Roman"/>
          <w:i/>
        </w:rPr>
        <w:t>T</w:t>
      </w:r>
      <w:r w:rsidRPr="00D447A4">
        <w:rPr>
          <w:rFonts w:cs="Times New Roman"/>
          <w:i/>
          <w:vertAlign w:val="subscript"/>
        </w:rPr>
        <w:t>1</w:t>
      </w:r>
      <w:r>
        <w:rPr>
          <w:rFonts w:cs="Times New Roman"/>
          <w:i/>
          <w:vertAlign w:val="subscript"/>
        </w:rPr>
        <w:t>.8</w:t>
      </w:r>
      <w:r w:rsidRPr="00D447A4">
        <w:rPr>
          <w:rFonts w:cs="Times New Roman"/>
          <w:i/>
        </w:rPr>
        <w:t xml:space="preserve"> = L</w:t>
      </w:r>
      <w:r w:rsidRPr="00D447A4">
        <w:rPr>
          <w:rFonts w:cs="Times New Roman"/>
          <w:i/>
          <w:vertAlign w:val="subscript"/>
        </w:rPr>
        <w:t>1</w:t>
      </w:r>
      <w:r>
        <w:rPr>
          <w:rFonts w:cs="Times New Roman"/>
          <w:i/>
          <w:vertAlign w:val="subscript"/>
        </w:rPr>
        <w:t>.8</w:t>
      </w:r>
      <w:r w:rsidRPr="00D447A4">
        <w:rPr>
          <w:rFonts w:cs="Times New Roman"/>
          <w:i/>
        </w:rPr>
        <w:t xml:space="preserve"> = </w:t>
      </w:r>
      <w:r>
        <w:rPr>
          <w:rFonts w:cs="Times New Roman"/>
          <w:i/>
        </w:rPr>
        <w:t xml:space="preserve">0,2; </w:t>
      </w:r>
      <w:r w:rsidRPr="00D447A4">
        <w:rPr>
          <w:rFonts w:cs="Times New Roman"/>
          <w:i/>
        </w:rPr>
        <w:t>T</w:t>
      </w:r>
      <w:r w:rsidRPr="00D447A4">
        <w:rPr>
          <w:rFonts w:cs="Times New Roman"/>
          <w:i/>
          <w:vertAlign w:val="subscript"/>
        </w:rPr>
        <w:t>1</w:t>
      </w:r>
      <w:r>
        <w:rPr>
          <w:rFonts w:cs="Times New Roman"/>
          <w:i/>
          <w:vertAlign w:val="subscript"/>
        </w:rPr>
        <w:t>.9</w:t>
      </w:r>
      <w:r w:rsidRPr="00D447A4">
        <w:rPr>
          <w:rFonts w:cs="Times New Roman"/>
          <w:i/>
        </w:rPr>
        <w:t xml:space="preserve"> = L</w:t>
      </w:r>
      <w:r w:rsidRPr="00D447A4">
        <w:rPr>
          <w:rFonts w:cs="Times New Roman"/>
          <w:i/>
          <w:vertAlign w:val="subscript"/>
        </w:rPr>
        <w:t>1</w:t>
      </w:r>
      <w:r>
        <w:rPr>
          <w:rFonts w:cs="Times New Roman"/>
          <w:i/>
          <w:vertAlign w:val="subscript"/>
        </w:rPr>
        <w:t>.9</w:t>
      </w:r>
      <w:r w:rsidRPr="00D447A4">
        <w:rPr>
          <w:rFonts w:cs="Times New Roman"/>
          <w:i/>
        </w:rPr>
        <w:t xml:space="preserve"> = </w:t>
      </w:r>
      <w:r>
        <w:rPr>
          <w:rFonts w:cs="Times New Roman"/>
          <w:i/>
        </w:rPr>
        <w:t xml:space="preserve">0,2; </w:t>
      </w:r>
      <w:r w:rsidRPr="00D447A4">
        <w:rPr>
          <w:rFonts w:cs="Times New Roman"/>
          <w:i/>
        </w:rPr>
        <w:t>T</w:t>
      </w:r>
      <w:r w:rsidRPr="00D447A4">
        <w:rPr>
          <w:rFonts w:cs="Times New Roman"/>
          <w:i/>
          <w:vertAlign w:val="subscript"/>
        </w:rPr>
        <w:t>1</w:t>
      </w:r>
      <w:r>
        <w:rPr>
          <w:rFonts w:cs="Times New Roman"/>
          <w:i/>
          <w:vertAlign w:val="subscript"/>
        </w:rPr>
        <w:t>.10</w:t>
      </w:r>
      <w:r w:rsidRPr="00D447A4">
        <w:rPr>
          <w:rFonts w:cs="Times New Roman"/>
          <w:i/>
        </w:rPr>
        <w:t xml:space="preserve"> = L</w:t>
      </w:r>
      <w:r w:rsidRPr="00D447A4">
        <w:rPr>
          <w:rFonts w:cs="Times New Roman"/>
          <w:i/>
          <w:vertAlign w:val="subscript"/>
        </w:rPr>
        <w:t>1</w:t>
      </w:r>
      <w:r>
        <w:rPr>
          <w:rFonts w:cs="Times New Roman"/>
          <w:i/>
          <w:vertAlign w:val="subscript"/>
        </w:rPr>
        <w:t>.10</w:t>
      </w:r>
      <w:r w:rsidRPr="00D447A4">
        <w:rPr>
          <w:rFonts w:cs="Times New Roman"/>
          <w:i/>
        </w:rPr>
        <w:t xml:space="preserve"> = </w:t>
      </w:r>
      <w:r>
        <w:rPr>
          <w:rFonts w:cs="Times New Roman"/>
          <w:i/>
        </w:rPr>
        <w:t>0,05</w:t>
      </w:r>
      <w:r w:rsidR="000A1B7D">
        <w:rPr>
          <w:rFonts w:cs="Times New Roman"/>
          <w:i/>
        </w:rPr>
        <w:t>.</w:t>
      </w:r>
    </w:p>
    <w:p w14:paraId="146EAF45" w14:textId="38C55850" w:rsidR="00616ACB" w:rsidRPr="00910E77" w:rsidRDefault="00B33166" w:rsidP="00616ACB">
      <w:pPr>
        <w:ind w:firstLine="567"/>
        <w:jc w:val="both"/>
        <w:rPr>
          <w:rFonts w:cs="Times New Roman"/>
        </w:rPr>
      </w:pPr>
      <w:r w:rsidRPr="00D447A4">
        <w:rPr>
          <w:rFonts w:cs="Times New Roman"/>
        </w:rPr>
        <w:t xml:space="preserve">Jei siūlomas objektas </w:t>
      </w:r>
      <w:r>
        <w:rPr>
          <w:rFonts w:cs="Times New Roman"/>
        </w:rPr>
        <w:t>ne</w:t>
      </w:r>
      <w:r w:rsidRPr="00D447A4">
        <w:rPr>
          <w:rFonts w:cs="Times New Roman"/>
        </w:rPr>
        <w:t>turi nurodyt</w:t>
      </w:r>
      <w:r>
        <w:rPr>
          <w:rFonts w:cs="Times New Roman"/>
        </w:rPr>
        <w:t>o</w:t>
      </w:r>
      <w:r w:rsidRPr="00D447A4">
        <w:rPr>
          <w:rFonts w:cs="Times New Roman"/>
        </w:rPr>
        <w:t xml:space="preserve"> pranašum</w:t>
      </w:r>
      <w:r>
        <w:rPr>
          <w:rFonts w:cs="Times New Roman"/>
        </w:rPr>
        <w:t>o:</w:t>
      </w:r>
      <w:r w:rsidRPr="00D447A4">
        <w:rPr>
          <w:rFonts w:cs="Times New Roman"/>
          <w:i/>
        </w:rPr>
        <w:t xml:space="preserve"> </w:t>
      </w:r>
      <w:r w:rsidR="00616ACB" w:rsidRPr="00D447A4">
        <w:rPr>
          <w:rFonts w:cs="Times New Roman"/>
          <w:i/>
        </w:rPr>
        <w:t>T</w:t>
      </w:r>
      <w:r w:rsidR="00616ACB" w:rsidRPr="00D447A4">
        <w:rPr>
          <w:rFonts w:cs="Times New Roman"/>
          <w:i/>
          <w:vertAlign w:val="subscript"/>
        </w:rPr>
        <w:t>1</w:t>
      </w:r>
      <w:r w:rsidR="00616ACB">
        <w:rPr>
          <w:rFonts w:cs="Times New Roman"/>
          <w:i/>
          <w:vertAlign w:val="subscript"/>
        </w:rPr>
        <w:t>.1</w:t>
      </w:r>
      <w:r w:rsidR="00616ACB" w:rsidRPr="00D447A4">
        <w:rPr>
          <w:rFonts w:cs="Times New Roman"/>
          <w:i/>
        </w:rPr>
        <w:t xml:space="preserve"> = L</w:t>
      </w:r>
      <w:r w:rsidR="00616ACB" w:rsidRPr="00D447A4">
        <w:rPr>
          <w:rFonts w:cs="Times New Roman"/>
          <w:i/>
          <w:vertAlign w:val="subscript"/>
        </w:rPr>
        <w:t>1</w:t>
      </w:r>
      <w:r w:rsidR="00616ACB">
        <w:rPr>
          <w:rFonts w:cs="Times New Roman"/>
          <w:i/>
          <w:vertAlign w:val="subscript"/>
        </w:rPr>
        <w:t>.1</w:t>
      </w:r>
      <w:r w:rsidR="00616ACB" w:rsidRPr="00D447A4">
        <w:rPr>
          <w:rFonts w:cs="Times New Roman"/>
          <w:i/>
        </w:rPr>
        <w:t xml:space="preserve"> = </w:t>
      </w:r>
      <w:r w:rsidR="00616ACB">
        <w:rPr>
          <w:rFonts w:cs="Times New Roman"/>
          <w:i/>
        </w:rPr>
        <w:t>0</w:t>
      </w:r>
      <w:r w:rsidR="00616ACB" w:rsidRPr="00D447A4">
        <w:rPr>
          <w:rFonts w:cs="Times New Roman"/>
          <w:i/>
        </w:rPr>
        <w:t>; T</w:t>
      </w:r>
      <w:r w:rsidR="00616ACB" w:rsidRPr="00D7781B">
        <w:rPr>
          <w:rFonts w:cs="Times New Roman"/>
          <w:i/>
          <w:vertAlign w:val="subscript"/>
        </w:rPr>
        <w:t xml:space="preserve">1.2 </w:t>
      </w:r>
      <w:r w:rsidR="00616ACB" w:rsidRPr="00D447A4">
        <w:rPr>
          <w:rFonts w:cs="Times New Roman"/>
          <w:i/>
        </w:rPr>
        <w:t>= L</w:t>
      </w:r>
      <w:r w:rsidR="00616ACB" w:rsidRPr="00D7781B">
        <w:rPr>
          <w:rFonts w:cs="Times New Roman"/>
          <w:i/>
          <w:vertAlign w:val="subscript"/>
        </w:rPr>
        <w:t xml:space="preserve">1.2 </w:t>
      </w:r>
      <w:r w:rsidR="00616ACB" w:rsidRPr="00D447A4">
        <w:rPr>
          <w:rFonts w:cs="Times New Roman"/>
          <w:i/>
        </w:rPr>
        <w:t xml:space="preserve">= </w:t>
      </w:r>
      <w:r w:rsidR="00616ACB">
        <w:rPr>
          <w:rFonts w:cs="Times New Roman"/>
          <w:i/>
        </w:rPr>
        <w:t xml:space="preserve">0; </w:t>
      </w:r>
      <w:r w:rsidR="00616ACB" w:rsidRPr="00D447A4">
        <w:rPr>
          <w:rFonts w:cs="Times New Roman"/>
          <w:i/>
        </w:rPr>
        <w:t>T</w:t>
      </w:r>
      <w:r w:rsidR="00616ACB" w:rsidRPr="00D447A4">
        <w:rPr>
          <w:rFonts w:cs="Times New Roman"/>
          <w:i/>
          <w:vertAlign w:val="subscript"/>
        </w:rPr>
        <w:t>1</w:t>
      </w:r>
      <w:r w:rsidR="00616ACB">
        <w:rPr>
          <w:rFonts w:cs="Times New Roman"/>
          <w:i/>
          <w:vertAlign w:val="subscript"/>
        </w:rPr>
        <w:t>.3</w:t>
      </w:r>
      <w:r w:rsidR="00616ACB" w:rsidRPr="00D447A4">
        <w:rPr>
          <w:rFonts w:cs="Times New Roman"/>
          <w:i/>
        </w:rPr>
        <w:t xml:space="preserve"> = L</w:t>
      </w:r>
      <w:r w:rsidR="00616ACB" w:rsidRPr="00D447A4">
        <w:rPr>
          <w:rFonts w:cs="Times New Roman"/>
          <w:i/>
          <w:vertAlign w:val="subscript"/>
        </w:rPr>
        <w:t>1</w:t>
      </w:r>
      <w:r w:rsidR="00616ACB">
        <w:rPr>
          <w:rFonts w:cs="Times New Roman"/>
          <w:i/>
          <w:vertAlign w:val="subscript"/>
        </w:rPr>
        <w:t>.3</w:t>
      </w:r>
      <w:r w:rsidR="00616ACB" w:rsidRPr="00D447A4">
        <w:rPr>
          <w:rFonts w:cs="Times New Roman"/>
          <w:i/>
        </w:rPr>
        <w:t xml:space="preserve"> = </w:t>
      </w:r>
      <w:r w:rsidR="00616ACB">
        <w:rPr>
          <w:rFonts w:cs="Times New Roman"/>
          <w:i/>
        </w:rPr>
        <w:t xml:space="preserve">0; </w:t>
      </w:r>
      <w:r w:rsidR="00616ACB" w:rsidRPr="00D447A4">
        <w:rPr>
          <w:rFonts w:cs="Times New Roman"/>
          <w:i/>
        </w:rPr>
        <w:t>T</w:t>
      </w:r>
      <w:r w:rsidR="00616ACB" w:rsidRPr="00D447A4">
        <w:rPr>
          <w:rFonts w:cs="Times New Roman"/>
          <w:i/>
          <w:vertAlign w:val="subscript"/>
        </w:rPr>
        <w:t>1</w:t>
      </w:r>
      <w:r w:rsidR="00616ACB">
        <w:rPr>
          <w:rFonts w:cs="Times New Roman"/>
          <w:i/>
          <w:vertAlign w:val="subscript"/>
        </w:rPr>
        <w:t>.4</w:t>
      </w:r>
      <w:r w:rsidR="00616ACB" w:rsidRPr="00D447A4">
        <w:rPr>
          <w:rFonts w:cs="Times New Roman"/>
          <w:i/>
        </w:rPr>
        <w:t xml:space="preserve"> = L</w:t>
      </w:r>
      <w:r w:rsidR="00616ACB" w:rsidRPr="00D447A4">
        <w:rPr>
          <w:rFonts w:cs="Times New Roman"/>
          <w:i/>
          <w:vertAlign w:val="subscript"/>
        </w:rPr>
        <w:t>1</w:t>
      </w:r>
      <w:r w:rsidR="00616ACB">
        <w:rPr>
          <w:rFonts w:cs="Times New Roman"/>
          <w:i/>
          <w:vertAlign w:val="subscript"/>
        </w:rPr>
        <w:t>.4</w:t>
      </w:r>
      <w:r w:rsidR="00616ACB" w:rsidRPr="00D447A4">
        <w:rPr>
          <w:rFonts w:cs="Times New Roman"/>
          <w:i/>
        </w:rPr>
        <w:t xml:space="preserve"> = </w:t>
      </w:r>
      <w:r w:rsidR="00616ACB">
        <w:rPr>
          <w:rFonts w:cs="Times New Roman"/>
          <w:i/>
        </w:rPr>
        <w:t xml:space="preserve">0; </w:t>
      </w:r>
      <w:r w:rsidR="00616ACB" w:rsidRPr="00D447A4">
        <w:rPr>
          <w:rFonts w:cs="Times New Roman"/>
          <w:i/>
        </w:rPr>
        <w:t>T</w:t>
      </w:r>
      <w:r w:rsidR="00616ACB" w:rsidRPr="00D447A4">
        <w:rPr>
          <w:rFonts w:cs="Times New Roman"/>
          <w:i/>
          <w:vertAlign w:val="subscript"/>
        </w:rPr>
        <w:t>1</w:t>
      </w:r>
      <w:r w:rsidR="00616ACB">
        <w:rPr>
          <w:rFonts w:cs="Times New Roman"/>
          <w:i/>
          <w:vertAlign w:val="subscript"/>
        </w:rPr>
        <w:t>.5</w:t>
      </w:r>
      <w:r w:rsidR="00616ACB" w:rsidRPr="00D447A4">
        <w:rPr>
          <w:rFonts w:cs="Times New Roman"/>
          <w:i/>
        </w:rPr>
        <w:t xml:space="preserve"> = L</w:t>
      </w:r>
      <w:r w:rsidR="00616ACB" w:rsidRPr="00D447A4">
        <w:rPr>
          <w:rFonts w:cs="Times New Roman"/>
          <w:i/>
          <w:vertAlign w:val="subscript"/>
        </w:rPr>
        <w:t>1</w:t>
      </w:r>
      <w:r w:rsidR="00616ACB">
        <w:rPr>
          <w:rFonts w:cs="Times New Roman"/>
          <w:i/>
          <w:vertAlign w:val="subscript"/>
        </w:rPr>
        <w:t>.5</w:t>
      </w:r>
      <w:r w:rsidR="00616ACB" w:rsidRPr="00D447A4">
        <w:rPr>
          <w:rFonts w:cs="Times New Roman"/>
          <w:i/>
        </w:rPr>
        <w:t xml:space="preserve"> = </w:t>
      </w:r>
      <w:r w:rsidR="00616ACB">
        <w:rPr>
          <w:rFonts w:cs="Times New Roman"/>
          <w:i/>
        </w:rPr>
        <w:t xml:space="preserve">0; </w:t>
      </w:r>
      <w:r w:rsidR="00616ACB" w:rsidRPr="00D447A4">
        <w:rPr>
          <w:rFonts w:cs="Times New Roman"/>
          <w:i/>
        </w:rPr>
        <w:t>T</w:t>
      </w:r>
      <w:r w:rsidR="00616ACB" w:rsidRPr="00D447A4">
        <w:rPr>
          <w:rFonts w:cs="Times New Roman"/>
          <w:i/>
          <w:vertAlign w:val="subscript"/>
        </w:rPr>
        <w:t>1</w:t>
      </w:r>
      <w:r w:rsidR="00616ACB">
        <w:rPr>
          <w:rFonts w:cs="Times New Roman"/>
          <w:i/>
          <w:vertAlign w:val="subscript"/>
        </w:rPr>
        <w:t>.6</w:t>
      </w:r>
      <w:r w:rsidR="00616ACB" w:rsidRPr="00D447A4">
        <w:rPr>
          <w:rFonts w:cs="Times New Roman"/>
          <w:i/>
        </w:rPr>
        <w:t xml:space="preserve"> = L</w:t>
      </w:r>
      <w:r w:rsidR="00616ACB" w:rsidRPr="00D447A4">
        <w:rPr>
          <w:rFonts w:cs="Times New Roman"/>
          <w:i/>
          <w:vertAlign w:val="subscript"/>
        </w:rPr>
        <w:t>1</w:t>
      </w:r>
      <w:r w:rsidR="00616ACB">
        <w:rPr>
          <w:rFonts w:cs="Times New Roman"/>
          <w:i/>
          <w:vertAlign w:val="subscript"/>
        </w:rPr>
        <w:t>.6</w:t>
      </w:r>
      <w:r w:rsidR="00616ACB" w:rsidRPr="00D447A4">
        <w:rPr>
          <w:rFonts w:cs="Times New Roman"/>
          <w:i/>
        </w:rPr>
        <w:t xml:space="preserve"> = </w:t>
      </w:r>
      <w:r w:rsidR="00616ACB">
        <w:rPr>
          <w:rFonts w:cs="Times New Roman"/>
          <w:i/>
        </w:rPr>
        <w:t xml:space="preserve">0; </w:t>
      </w:r>
      <w:r w:rsidR="00616ACB" w:rsidRPr="00D447A4">
        <w:rPr>
          <w:rFonts w:cs="Times New Roman"/>
          <w:i/>
        </w:rPr>
        <w:t>T</w:t>
      </w:r>
      <w:r w:rsidR="00616ACB" w:rsidRPr="00D447A4">
        <w:rPr>
          <w:rFonts w:cs="Times New Roman"/>
          <w:i/>
          <w:vertAlign w:val="subscript"/>
        </w:rPr>
        <w:t>1</w:t>
      </w:r>
      <w:r w:rsidR="00616ACB">
        <w:rPr>
          <w:rFonts w:cs="Times New Roman"/>
          <w:i/>
          <w:vertAlign w:val="subscript"/>
        </w:rPr>
        <w:t>.7</w:t>
      </w:r>
      <w:r w:rsidR="00616ACB" w:rsidRPr="00D447A4">
        <w:rPr>
          <w:rFonts w:cs="Times New Roman"/>
          <w:i/>
        </w:rPr>
        <w:t xml:space="preserve"> = L</w:t>
      </w:r>
      <w:r w:rsidR="00616ACB" w:rsidRPr="00D447A4">
        <w:rPr>
          <w:rFonts w:cs="Times New Roman"/>
          <w:i/>
          <w:vertAlign w:val="subscript"/>
        </w:rPr>
        <w:t>1</w:t>
      </w:r>
      <w:r w:rsidR="00616ACB">
        <w:rPr>
          <w:rFonts w:cs="Times New Roman"/>
          <w:i/>
          <w:vertAlign w:val="subscript"/>
        </w:rPr>
        <w:t>.7</w:t>
      </w:r>
      <w:r w:rsidR="00616ACB" w:rsidRPr="00D447A4">
        <w:rPr>
          <w:rFonts w:cs="Times New Roman"/>
          <w:i/>
        </w:rPr>
        <w:t xml:space="preserve"> = </w:t>
      </w:r>
      <w:r w:rsidR="00616ACB">
        <w:rPr>
          <w:rFonts w:cs="Times New Roman"/>
          <w:i/>
        </w:rPr>
        <w:t xml:space="preserve">0; </w:t>
      </w:r>
      <w:r w:rsidR="00616ACB" w:rsidRPr="00D447A4">
        <w:rPr>
          <w:rFonts w:cs="Times New Roman"/>
          <w:i/>
        </w:rPr>
        <w:t>T</w:t>
      </w:r>
      <w:r w:rsidR="00616ACB" w:rsidRPr="00D447A4">
        <w:rPr>
          <w:rFonts w:cs="Times New Roman"/>
          <w:i/>
          <w:vertAlign w:val="subscript"/>
        </w:rPr>
        <w:t>1</w:t>
      </w:r>
      <w:r w:rsidR="00616ACB">
        <w:rPr>
          <w:rFonts w:cs="Times New Roman"/>
          <w:i/>
          <w:vertAlign w:val="subscript"/>
        </w:rPr>
        <w:t>.8</w:t>
      </w:r>
      <w:r w:rsidR="00616ACB" w:rsidRPr="00D447A4">
        <w:rPr>
          <w:rFonts w:cs="Times New Roman"/>
          <w:i/>
        </w:rPr>
        <w:t xml:space="preserve"> = L</w:t>
      </w:r>
      <w:r w:rsidR="00616ACB" w:rsidRPr="00D447A4">
        <w:rPr>
          <w:rFonts w:cs="Times New Roman"/>
          <w:i/>
          <w:vertAlign w:val="subscript"/>
        </w:rPr>
        <w:t>1</w:t>
      </w:r>
      <w:r w:rsidR="00616ACB">
        <w:rPr>
          <w:rFonts w:cs="Times New Roman"/>
          <w:i/>
          <w:vertAlign w:val="subscript"/>
        </w:rPr>
        <w:t>.8</w:t>
      </w:r>
      <w:r w:rsidR="00616ACB" w:rsidRPr="00D447A4">
        <w:rPr>
          <w:rFonts w:cs="Times New Roman"/>
          <w:i/>
        </w:rPr>
        <w:t xml:space="preserve"> = </w:t>
      </w:r>
      <w:r w:rsidR="00616ACB">
        <w:rPr>
          <w:rFonts w:cs="Times New Roman"/>
          <w:i/>
        </w:rPr>
        <w:t xml:space="preserve">0; </w:t>
      </w:r>
      <w:r w:rsidR="00616ACB" w:rsidRPr="00D447A4">
        <w:rPr>
          <w:rFonts w:cs="Times New Roman"/>
          <w:i/>
        </w:rPr>
        <w:t>T</w:t>
      </w:r>
      <w:r w:rsidR="00616ACB" w:rsidRPr="00D447A4">
        <w:rPr>
          <w:rFonts w:cs="Times New Roman"/>
          <w:i/>
          <w:vertAlign w:val="subscript"/>
        </w:rPr>
        <w:t>1</w:t>
      </w:r>
      <w:r w:rsidR="00616ACB">
        <w:rPr>
          <w:rFonts w:cs="Times New Roman"/>
          <w:i/>
          <w:vertAlign w:val="subscript"/>
        </w:rPr>
        <w:t>.9</w:t>
      </w:r>
      <w:r w:rsidR="00616ACB" w:rsidRPr="00D447A4">
        <w:rPr>
          <w:rFonts w:cs="Times New Roman"/>
          <w:i/>
        </w:rPr>
        <w:t xml:space="preserve"> = L</w:t>
      </w:r>
      <w:r w:rsidR="00616ACB" w:rsidRPr="00D447A4">
        <w:rPr>
          <w:rFonts w:cs="Times New Roman"/>
          <w:i/>
          <w:vertAlign w:val="subscript"/>
        </w:rPr>
        <w:t>1</w:t>
      </w:r>
      <w:r w:rsidR="00616ACB">
        <w:rPr>
          <w:rFonts w:cs="Times New Roman"/>
          <w:i/>
          <w:vertAlign w:val="subscript"/>
        </w:rPr>
        <w:t>.9</w:t>
      </w:r>
      <w:r w:rsidR="00616ACB" w:rsidRPr="00D447A4">
        <w:rPr>
          <w:rFonts w:cs="Times New Roman"/>
          <w:i/>
        </w:rPr>
        <w:t xml:space="preserve"> = </w:t>
      </w:r>
      <w:r w:rsidR="00616ACB">
        <w:rPr>
          <w:rFonts w:cs="Times New Roman"/>
          <w:i/>
        </w:rPr>
        <w:t xml:space="preserve">0; </w:t>
      </w:r>
      <w:r w:rsidR="00616ACB" w:rsidRPr="00D447A4">
        <w:rPr>
          <w:rFonts w:cs="Times New Roman"/>
          <w:i/>
        </w:rPr>
        <w:t>T</w:t>
      </w:r>
      <w:r w:rsidR="00616ACB" w:rsidRPr="00D447A4">
        <w:rPr>
          <w:rFonts w:cs="Times New Roman"/>
          <w:i/>
          <w:vertAlign w:val="subscript"/>
        </w:rPr>
        <w:t>1</w:t>
      </w:r>
      <w:r w:rsidR="00616ACB">
        <w:rPr>
          <w:rFonts w:cs="Times New Roman"/>
          <w:i/>
          <w:vertAlign w:val="subscript"/>
        </w:rPr>
        <w:t>.10</w:t>
      </w:r>
      <w:r w:rsidR="00616ACB" w:rsidRPr="00D447A4">
        <w:rPr>
          <w:rFonts w:cs="Times New Roman"/>
          <w:i/>
        </w:rPr>
        <w:t xml:space="preserve"> = L</w:t>
      </w:r>
      <w:r w:rsidR="00616ACB" w:rsidRPr="00D447A4">
        <w:rPr>
          <w:rFonts w:cs="Times New Roman"/>
          <w:i/>
          <w:vertAlign w:val="subscript"/>
        </w:rPr>
        <w:t>1</w:t>
      </w:r>
      <w:r w:rsidR="00616ACB">
        <w:rPr>
          <w:rFonts w:cs="Times New Roman"/>
          <w:i/>
          <w:vertAlign w:val="subscript"/>
        </w:rPr>
        <w:t>.10</w:t>
      </w:r>
      <w:r w:rsidR="00616ACB" w:rsidRPr="00D447A4">
        <w:rPr>
          <w:rFonts w:cs="Times New Roman"/>
          <w:i/>
        </w:rPr>
        <w:t xml:space="preserve"> = </w:t>
      </w:r>
      <w:r w:rsidR="00616ACB">
        <w:rPr>
          <w:rFonts w:cs="Times New Roman"/>
          <w:i/>
        </w:rPr>
        <w:t>0.</w:t>
      </w:r>
    </w:p>
    <w:p w14:paraId="3BAE629E" w14:textId="53C7B1F7" w:rsidR="00D33821" w:rsidRPr="00C00E16" w:rsidRDefault="00C00E16" w:rsidP="00C00E16">
      <w:pPr>
        <w:pStyle w:val="Pagrindinistekstas"/>
        <w:numPr>
          <w:ilvl w:val="1"/>
          <w:numId w:val="43"/>
        </w:numPr>
        <w:spacing w:after="0" w:line="240" w:lineRule="auto"/>
        <w:ind w:left="0" w:firstLine="567"/>
        <w:rPr>
          <w:rFonts w:cstheme="minorHAnsi"/>
          <w:b/>
          <w:bCs/>
          <w:szCs w:val="21"/>
        </w:rPr>
      </w:pPr>
      <w:r>
        <w:rPr>
          <w:rFonts w:cstheme="minorHAnsi"/>
          <w:b/>
          <w:bCs/>
          <w:szCs w:val="21"/>
        </w:rPr>
        <w:t>Techninių pranašumų</w:t>
      </w:r>
      <w:r w:rsidR="00D33821" w:rsidRPr="00C00E16">
        <w:rPr>
          <w:rFonts w:cstheme="minorHAnsi"/>
          <w:b/>
          <w:bCs/>
          <w:szCs w:val="21"/>
        </w:rPr>
        <w:t xml:space="preserve"> (T) balai apskaičiuojami sudedant atskirų kriterijų (</w:t>
      </w:r>
      <w:proofErr w:type="spellStart"/>
      <w:r w:rsidR="00D33821" w:rsidRPr="00C00E16">
        <w:rPr>
          <w:rFonts w:cstheme="minorHAnsi"/>
          <w:b/>
          <w:bCs/>
          <w:szCs w:val="21"/>
        </w:rPr>
        <w:t>T</w:t>
      </w:r>
      <w:r w:rsidR="00D33821" w:rsidRPr="00C00E16">
        <w:rPr>
          <w:rFonts w:cstheme="minorHAnsi"/>
          <w:b/>
          <w:bCs/>
          <w:szCs w:val="21"/>
          <w:vertAlign w:val="subscript"/>
        </w:rPr>
        <w:t>i</w:t>
      </w:r>
      <w:proofErr w:type="spellEnd"/>
      <w:r w:rsidR="00D33821" w:rsidRPr="00C00E16">
        <w:rPr>
          <w:rFonts w:cstheme="minorHAnsi"/>
          <w:b/>
          <w:bCs/>
          <w:szCs w:val="21"/>
        </w:rPr>
        <w:t>) balus:</w:t>
      </w:r>
    </w:p>
    <w:p w14:paraId="2C0A28B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CC965E7" w14:textId="15F07F5E" w:rsidR="00D33821" w:rsidRPr="00F40A93" w:rsidRDefault="007F2A75" w:rsidP="007F2A75">
      <w:pPr>
        <w:suppressAutoHyphens/>
        <w:spacing w:after="0" w:line="240" w:lineRule="auto"/>
        <w:ind w:firstLine="567"/>
        <w:jc w:val="center"/>
        <w:rPr>
          <w:rFonts w:eastAsia="Times New Roman" w:cstheme="minorHAnsi"/>
          <w:lang w:eastAsia="en-US"/>
        </w:rPr>
      </w:pPr>
      <m:oMath>
        <m:r>
          <w:rPr>
            <w:rFonts w:ascii="Cambria Math" w:hAnsi="Cambria Math"/>
          </w:rPr>
          <m:t xml:space="preserve">T= </m:t>
        </m:r>
        <m:d>
          <m:dPr>
            <m:ctrlPr>
              <w:rPr>
                <w:rFonts w:ascii="Cambria Math" w:hAnsi="Cambria Math"/>
                <w:i/>
              </w:rPr>
            </m:ctrlPr>
          </m:dPr>
          <m:e>
            <m:nary>
              <m:naryPr>
                <m:chr m:val="∑"/>
                <m:grow m:val="1"/>
                <m:ctrlPr>
                  <w:rPr>
                    <w:rFonts w:ascii="Cambria Math" w:hAnsi="Cambria Math"/>
                  </w:rPr>
                </m:ctrlPr>
              </m:naryPr>
              <m:sub>
                <m:r>
                  <w:rPr>
                    <w:rFonts w:ascii="Cambria Math" w:hAnsi="Cambria Math"/>
                  </w:rPr>
                  <m:t>i=1</m:t>
                </m:r>
              </m:sub>
              <m:sup/>
              <m:e>
                <m:sSub>
                  <m:sSubPr>
                    <m:ctrlPr>
                      <w:rPr>
                        <w:rFonts w:ascii="Cambria Math" w:hAnsi="Cambria Math"/>
                        <w:i/>
                      </w:rPr>
                    </m:ctrlPr>
                  </m:sSubPr>
                  <m:e>
                    <m:r>
                      <w:rPr>
                        <w:rFonts w:ascii="Cambria Math" w:hAnsi="Cambria Math"/>
                      </w:rPr>
                      <m:t>T</m:t>
                    </m:r>
                  </m:e>
                  <m:sub>
                    <m:r>
                      <w:rPr>
                        <w:rFonts w:ascii="Cambria Math" w:hAnsi="Cambria Math"/>
                      </w:rPr>
                      <m:t>i</m:t>
                    </m:r>
                  </m:sub>
                </m:sSub>
              </m:e>
            </m:nary>
          </m:e>
        </m:d>
      </m:oMath>
      <w:r w:rsidR="00D33821" w:rsidRPr="00F40A93">
        <w:rPr>
          <w:rFonts w:eastAsia="Times New Roman" w:cstheme="minorHAnsi"/>
          <w:lang w:eastAsia="en-US"/>
        </w:rPr>
        <w:t>.</w:t>
      </w:r>
    </w:p>
    <w:p w14:paraId="75570BD5"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4308262F" w14:textId="77777777" w:rsidR="00D33821" w:rsidRPr="00F40A93" w:rsidRDefault="00D33821" w:rsidP="00D33821">
      <w:pPr>
        <w:pStyle w:val="Pagrindinistekstas"/>
        <w:numPr>
          <w:ilvl w:val="0"/>
          <w:numId w:val="43"/>
        </w:numPr>
        <w:spacing w:after="0" w:line="240" w:lineRule="auto"/>
        <w:ind w:left="0" w:firstLine="567"/>
        <w:rPr>
          <w:rFonts w:cstheme="minorHAnsi"/>
          <w:szCs w:val="21"/>
        </w:rPr>
      </w:pPr>
      <w:r>
        <w:rPr>
          <w:rFonts w:cstheme="minorHAnsi"/>
          <w:szCs w:val="21"/>
        </w:rPr>
        <w:lastRenderedPageBreak/>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D33821">
      <w:pPr>
        <w:pStyle w:val="Pagrindinistekstas"/>
        <w:numPr>
          <w:ilvl w:val="2"/>
          <w:numId w:val="43"/>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5B0B6893" w:rsidR="00D33821" w:rsidRPr="00F40A93" w:rsidRDefault="00D33821" w:rsidP="00D33821">
      <w:pPr>
        <w:pStyle w:val="Pagrindinistekstas"/>
        <w:numPr>
          <w:ilvl w:val="2"/>
          <w:numId w:val="43"/>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r w:rsidR="00516B3F">
        <w:rPr>
          <w:rFonts w:cstheme="minorHAnsi"/>
          <w:szCs w:val="21"/>
        </w:rPr>
        <w:t>.</w:t>
      </w:r>
    </w:p>
    <w:p w14:paraId="348440AB" w14:textId="77777777" w:rsidR="00D33821" w:rsidRPr="00F40A93" w:rsidRDefault="00D33821" w:rsidP="00D33821">
      <w:pPr>
        <w:pStyle w:val="Pagrindinistekstas"/>
        <w:numPr>
          <w:ilvl w:val="1"/>
          <w:numId w:val="43"/>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D33821">
      <w:pPr>
        <w:pStyle w:val="Sraopastraipa"/>
        <w:numPr>
          <w:ilvl w:val="0"/>
          <w:numId w:val="43"/>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6EC3F7E6" w:rsidR="00D33821" w:rsidRPr="00682B25" w:rsidRDefault="00D33821" w:rsidP="00D33821">
      <w:pPr>
        <w:jc w:val="center"/>
        <w:rPr>
          <w:rFonts w:cstheme="minorHAnsi"/>
          <w:b/>
          <w:bCs/>
          <w:smallCaps/>
          <w:sz w:val="22"/>
          <w:szCs w:val="22"/>
        </w:rPr>
      </w:pPr>
      <w:r w:rsidRPr="00682B25">
        <w:rPr>
          <w:rFonts w:cstheme="minorHAnsi"/>
          <w:sz w:val="22"/>
          <w:szCs w:val="22"/>
        </w:rPr>
        <w:t>________</w:t>
      </w:r>
      <w:bookmarkEnd w:id="67"/>
      <w:bookmarkEnd w:id="68"/>
      <w:bookmarkEnd w:id="69"/>
    </w:p>
    <w:sectPr w:rsidR="00D33821" w:rsidRPr="00682B25"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5B11B" w14:textId="77777777" w:rsidR="002C0C66" w:rsidRDefault="002C0C66" w:rsidP="00D05666">
      <w:r>
        <w:separator/>
      </w:r>
    </w:p>
  </w:endnote>
  <w:endnote w:type="continuationSeparator" w:id="0">
    <w:p w14:paraId="12B7D1D7" w14:textId="77777777" w:rsidR="002C0C66" w:rsidRDefault="002C0C66" w:rsidP="00D05666">
      <w:r>
        <w:continuationSeparator/>
      </w:r>
    </w:p>
  </w:endnote>
  <w:endnote w:type="continuationNotice" w:id="1">
    <w:p w14:paraId="7D412EED" w14:textId="77777777" w:rsidR="002C0C66" w:rsidRDefault="002C0C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82F2F" w14:textId="77777777" w:rsidR="002C0C66" w:rsidRDefault="002C0C66" w:rsidP="00D05666">
      <w:r>
        <w:separator/>
      </w:r>
    </w:p>
  </w:footnote>
  <w:footnote w:type="continuationSeparator" w:id="0">
    <w:p w14:paraId="3C15CD54" w14:textId="77777777" w:rsidR="002C0C66" w:rsidRDefault="002C0C66" w:rsidP="00D05666">
      <w:r>
        <w:continuationSeparator/>
      </w:r>
    </w:p>
  </w:footnote>
  <w:footnote w:type="continuationNotice" w:id="1">
    <w:p w14:paraId="725AFAA2" w14:textId="77777777" w:rsidR="002C0C66" w:rsidRDefault="002C0C66">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2"/>
  </w:num>
  <w:num w:numId="2" w16cid:durableId="797529454">
    <w:abstractNumId w:val="1"/>
  </w:num>
  <w:num w:numId="3" w16cid:durableId="1927765243">
    <w:abstractNumId w:val="13"/>
  </w:num>
  <w:num w:numId="4" w16cid:durableId="207184103">
    <w:abstractNumId w:val="6"/>
  </w:num>
  <w:num w:numId="5" w16cid:durableId="1528367431">
    <w:abstractNumId w:val="33"/>
  </w:num>
  <w:num w:numId="6" w16cid:durableId="1484615006">
    <w:abstractNumId w:val="36"/>
  </w:num>
  <w:num w:numId="7" w16cid:durableId="607934237">
    <w:abstractNumId w:val="29"/>
  </w:num>
  <w:num w:numId="8" w16cid:durableId="408162091">
    <w:abstractNumId w:val="43"/>
  </w:num>
  <w:num w:numId="9" w16cid:durableId="12269543">
    <w:abstractNumId w:val="41"/>
  </w:num>
  <w:num w:numId="10" w16cid:durableId="749809940">
    <w:abstractNumId w:val="3"/>
  </w:num>
  <w:num w:numId="11" w16cid:durableId="412043720">
    <w:abstractNumId w:val="42"/>
  </w:num>
  <w:num w:numId="12" w16cid:durableId="1996449446">
    <w:abstractNumId w:val="38"/>
  </w:num>
  <w:num w:numId="13" w16cid:durableId="1482305889">
    <w:abstractNumId w:val="35"/>
  </w:num>
  <w:num w:numId="14" w16cid:durableId="32313854">
    <w:abstractNumId w:val="21"/>
  </w:num>
  <w:num w:numId="15" w16cid:durableId="1318921492">
    <w:abstractNumId w:val="28"/>
  </w:num>
  <w:num w:numId="16" w16cid:durableId="1864435576">
    <w:abstractNumId w:val="37"/>
  </w:num>
  <w:num w:numId="17" w16cid:durableId="1941065713">
    <w:abstractNumId w:val="7"/>
  </w:num>
  <w:num w:numId="18" w16cid:durableId="19859238">
    <w:abstractNumId w:val="10"/>
  </w:num>
  <w:num w:numId="19" w16cid:durableId="1297491117">
    <w:abstractNumId w:val="26"/>
  </w:num>
  <w:num w:numId="20" w16cid:durableId="1355115080">
    <w:abstractNumId w:val="12"/>
  </w:num>
  <w:num w:numId="21" w16cid:durableId="1151098297">
    <w:abstractNumId w:val="32"/>
  </w:num>
  <w:num w:numId="22" w16cid:durableId="1683705037">
    <w:abstractNumId w:val="8"/>
  </w:num>
  <w:num w:numId="23" w16cid:durableId="256863186">
    <w:abstractNumId w:val="5"/>
  </w:num>
  <w:num w:numId="24" w16cid:durableId="1419787664">
    <w:abstractNumId w:val="44"/>
  </w:num>
  <w:num w:numId="25" w16cid:durableId="328021677">
    <w:abstractNumId w:val="31"/>
  </w:num>
  <w:num w:numId="26" w16cid:durableId="913508862">
    <w:abstractNumId w:val="40"/>
  </w:num>
  <w:num w:numId="27"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5"/>
  </w:num>
  <w:num w:numId="32" w16cid:durableId="471793991">
    <w:abstractNumId w:val="16"/>
  </w:num>
  <w:num w:numId="33" w16cid:durableId="1333874857">
    <w:abstractNumId w:val="14"/>
  </w:num>
  <w:num w:numId="34" w16cid:durableId="1804929382">
    <w:abstractNumId w:val="19"/>
  </w:num>
  <w:num w:numId="35" w16cid:durableId="2065908481">
    <w:abstractNumId w:val="18"/>
  </w:num>
  <w:num w:numId="36" w16cid:durableId="1111315082">
    <w:abstractNumId w:val="20"/>
  </w:num>
  <w:num w:numId="37" w16cid:durableId="1397507914">
    <w:abstractNumId w:val="2"/>
  </w:num>
  <w:num w:numId="38" w16cid:durableId="195389510">
    <w:abstractNumId w:val="30"/>
  </w:num>
  <w:num w:numId="39" w16cid:durableId="878519037">
    <w:abstractNumId w:val="4"/>
  </w:num>
  <w:num w:numId="40" w16cid:durableId="1032220187">
    <w:abstractNumId w:val="27"/>
  </w:num>
  <w:num w:numId="41" w16cid:durableId="752580688">
    <w:abstractNumId w:val="39"/>
  </w:num>
  <w:num w:numId="42" w16cid:durableId="1229463082">
    <w:abstractNumId w:val="9"/>
  </w:num>
  <w:num w:numId="43" w16cid:durableId="252469303">
    <w:abstractNumId w:val="11"/>
  </w:num>
  <w:num w:numId="44" w16cid:durableId="131945100">
    <w:abstractNumId w:val="34"/>
  </w:num>
  <w:num w:numId="45" w16cid:durableId="796070810">
    <w:abstractNumId w:val="24"/>
  </w:num>
  <w:num w:numId="46" w16cid:durableId="723064401">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AD3"/>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CD5"/>
    <w:rsid w:val="00012DA8"/>
    <w:rsid w:val="000133D6"/>
    <w:rsid w:val="00013D1E"/>
    <w:rsid w:val="00013DF0"/>
    <w:rsid w:val="00013E37"/>
    <w:rsid w:val="00013EF1"/>
    <w:rsid w:val="00013FF6"/>
    <w:rsid w:val="00014A61"/>
    <w:rsid w:val="00014D09"/>
    <w:rsid w:val="000152AE"/>
    <w:rsid w:val="00015549"/>
    <w:rsid w:val="000158B7"/>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AC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718"/>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4CD1"/>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7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8B7"/>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5E55"/>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21D7"/>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5E3"/>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0DB"/>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E80"/>
    <w:rsid w:val="001D1F00"/>
    <w:rsid w:val="001D2623"/>
    <w:rsid w:val="001D2CB6"/>
    <w:rsid w:val="001D34AC"/>
    <w:rsid w:val="001D37D8"/>
    <w:rsid w:val="001D38F4"/>
    <w:rsid w:val="001D3CC3"/>
    <w:rsid w:val="001D414C"/>
    <w:rsid w:val="001D41F4"/>
    <w:rsid w:val="001D4A9C"/>
    <w:rsid w:val="001D4C88"/>
    <w:rsid w:val="001D51B7"/>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DAD"/>
    <w:rsid w:val="001E6F04"/>
    <w:rsid w:val="001E76C7"/>
    <w:rsid w:val="001E7E24"/>
    <w:rsid w:val="001E7FEE"/>
    <w:rsid w:val="001F0216"/>
    <w:rsid w:val="001F04C1"/>
    <w:rsid w:val="001F04EF"/>
    <w:rsid w:val="001F09C7"/>
    <w:rsid w:val="001F15A0"/>
    <w:rsid w:val="001F1D6C"/>
    <w:rsid w:val="001F1DB6"/>
    <w:rsid w:val="001F1FB1"/>
    <w:rsid w:val="001F2168"/>
    <w:rsid w:val="001F2517"/>
    <w:rsid w:val="001F284E"/>
    <w:rsid w:val="001F2E11"/>
    <w:rsid w:val="001F2EB6"/>
    <w:rsid w:val="001F3174"/>
    <w:rsid w:val="001F5180"/>
    <w:rsid w:val="001F56F1"/>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6CC"/>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685"/>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BB5"/>
    <w:rsid w:val="002A62B6"/>
    <w:rsid w:val="002A637A"/>
    <w:rsid w:val="002A6497"/>
    <w:rsid w:val="002A6658"/>
    <w:rsid w:val="002A70E6"/>
    <w:rsid w:val="002A71C8"/>
    <w:rsid w:val="002A71D8"/>
    <w:rsid w:val="002A7A35"/>
    <w:rsid w:val="002B0002"/>
    <w:rsid w:val="002B062F"/>
    <w:rsid w:val="002B0A52"/>
    <w:rsid w:val="002B0A5D"/>
    <w:rsid w:val="002B0CC8"/>
    <w:rsid w:val="002B0E3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C66"/>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3D4"/>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07FF9"/>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0AD"/>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27E3C"/>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93"/>
    <w:rsid w:val="003451F8"/>
    <w:rsid w:val="003453C2"/>
    <w:rsid w:val="003454C2"/>
    <w:rsid w:val="0034560D"/>
    <w:rsid w:val="00345972"/>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9FC"/>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4075"/>
    <w:rsid w:val="00365384"/>
    <w:rsid w:val="003660B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1"/>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164D"/>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11"/>
    <w:rsid w:val="003D3768"/>
    <w:rsid w:val="003D3A81"/>
    <w:rsid w:val="003D4196"/>
    <w:rsid w:val="003D490C"/>
    <w:rsid w:val="003D4F69"/>
    <w:rsid w:val="003D517C"/>
    <w:rsid w:val="003D5A05"/>
    <w:rsid w:val="003D5EC9"/>
    <w:rsid w:val="003D6258"/>
    <w:rsid w:val="003D62E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999"/>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068"/>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688"/>
    <w:rsid w:val="004A09D8"/>
    <w:rsid w:val="004A0E10"/>
    <w:rsid w:val="004A13CE"/>
    <w:rsid w:val="004A1BB5"/>
    <w:rsid w:val="004A282B"/>
    <w:rsid w:val="004A299F"/>
    <w:rsid w:val="004A2AD9"/>
    <w:rsid w:val="004A2CEE"/>
    <w:rsid w:val="004A35ED"/>
    <w:rsid w:val="004A3669"/>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17F7"/>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5E33"/>
    <w:rsid w:val="004F610B"/>
    <w:rsid w:val="004F61AD"/>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AC2"/>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2CE"/>
    <w:rsid w:val="00543AE0"/>
    <w:rsid w:val="005448A6"/>
    <w:rsid w:val="00544D92"/>
    <w:rsid w:val="00545203"/>
    <w:rsid w:val="00545C38"/>
    <w:rsid w:val="00545D64"/>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AE8"/>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544"/>
    <w:rsid w:val="00573605"/>
    <w:rsid w:val="0057443D"/>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59D"/>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C05"/>
    <w:rsid w:val="005F0E6E"/>
    <w:rsid w:val="005F1245"/>
    <w:rsid w:val="005F13F0"/>
    <w:rsid w:val="005F1492"/>
    <w:rsid w:val="005F152B"/>
    <w:rsid w:val="005F17E7"/>
    <w:rsid w:val="005F1A27"/>
    <w:rsid w:val="005F1AE7"/>
    <w:rsid w:val="005F1B3F"/>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2B"/>
    <w:rsid w:val="005F7E31"/>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6DF"/>
    <w:rsid w:val="00614A7B"/>
    <w:rsid w:val="00614FF2"/>
    <w:rsid w:val="006158E4"/>
    <w:rsid w:val="006158FB"/>
    <w:rsid w:val="00615C08"/>
    <w:rsid w:val="00616ACB"/>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0EC"/>
    <w:rsid w:val="00627313"/>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2FC0"/>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8D0"/>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6E5A"/>
    <w:rsid w:val="006873F4"/>
    <w:rsid w:val="006876B2"/>
    <w:rsid w:val="006877A4"/>
    <w:rsid w:val="00687997"/>
    <w:rsid w:val="00687E47"/>
    <w:rsid w:val="0069025B"/>
    <w:rsid w:val="00690580"/>
    <w:rsid w:val="0069058D"/>
    <w:rsid w:val="006906C5"/>
    <w:rsid w:val="00690B5C"/>
    <w:rsid w:val="00691271"/>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58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69"/>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08B"/>
    <w:rsid w:val="006E6883"/>
    <w:rsid w:val="006E729F"/>
    <w:rsid w:val="006E74F7"/>
    <w:rsid w:val="006E75C7"/>
    <w:rsid w:val="006E7679"/>
    <w:rsid w:val="006F2478"/>
    <w:rsid w:val="006F2F2D"/>
    <w:rsid w:val="006F2F71"/>
    <w:rsid w:val="006F4380"/>
    <w:rsid w:val="006F4DA0"/>
    <w:rsid w:val="006F506C"/>
    <w:rsid w:val="006F514D"/>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67FF1"/>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80A"/>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810"/>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61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2A75"/>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97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463"/>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C7E65"/>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113"/>
    <w:rsid w:val="008D6DD2"/>
    <w:rsid w:val="008D6F67"/>
    <w:rsid w:val="008D6FCC"/>
    <w:rsid w:val="008D704D"/>
    <w:rsid w:val="008D7595"/>
    <w:rsid w:val="008E02DE"/>
    <w:rsid w:val="008E1835"/>
    <w:rsid w:val="008E1BD3"/>
    <w:rsid w:val="008E1F7C"/>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310"/>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2BB5"/>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29FF"/>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12F"/>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296"/>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8D6"/>
    <w:rsid w:val="00A06A43"/>
    <w:rsid w:val="00A06AC2"/>
    <w:rsid w:val="00A06CBB"/>
    <w:rsid w:val="00A07631"/>
    <w:rsid w:val="00A07E54"/>
    <w:rsid w:val="00A109FD"/>
    <w:rsid w:val="00A10D60"/>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34"/>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932"/>
    <w:rsid w:val="00A87EA9"/>
    <w:rsid w:val="00A900F8"/>
    <w:rsid w:val="00A90AF8"/>
    <w:rsid w:val="00A91435"/>
    <w:rsid w:val="00A91483"/>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5F1"/>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4D7A"/>
    <w:rsid w:val="00AE55E5"/>
    <w:rsid w:val="00AE60D1"/>
    <w:rsid w:val="00AE6BCB"/>
    <w:rsid w:val="00AE7624"/>
    <w:rsid w:val="00AE7C48"/>
    <w:rsid w:val="00AF0AB7"/>
    <w:rsid w:val="00AF0F4B"/>
    <w:rsid w:val="00AF120E"/>
    <w:rsid w:val="00AF1430"/>
    <w:rsid w:val="00AF1517"/>
    <w:rsid w:val="00AF176A"/>
    <w:rsid w:val="00AF17A1"/>
    <w:rsid w:val="00AF1844"/>
    <w:rsid w:val="00AF18EE"/>
    <w:rsid w:val="00AF19EE"/>
    <w:rsid w:val="00AF2399"/>
    <w:rsid w:val="00AF2452"/>
    <w:rsid w:val="00AF24D0"/>
    <w:rsid w:val="00AF2695"/>
    <w:rsid w:val="00AF2BB5"/>
    <w:rsid w:val="00AF42F9"/>
    <w:rsid w:val="00AF4A20"/>
    <w:rsid w:val="00AF4EF5"/>
    <w:rsid w:val="00AF5122"/>
    <w:rsid w:val="00AF551E"/>
    <w:rsid w:val="00AF58B1"/>
    <w:rsid w:val="00AF5CF4"/>
    <w:rsid w:val="00AF6074"/>
    <w:rsid w:val="00AF62E6"/>
    <w:rsid w:val="00AF6775"/>
    <w:rsid w:val="00AF6844"/>
    <w:rsid w:val="00AF7005"/>
    <w:rsid w:val="00AF7093"/>
    <w:rsid w:val="00AF76C1"/>
    <w:rsid w:val="00AF7808"/>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2CC9"/>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5D1"/>
    <w:rsid w:val="00B23888"/>
    <w:rsid w:val="00B23FC9"/>
    <w:rsid w:val="00B24214"/>
    <w:rsid w:val="00B2459A"/>
    <w:rsid w:val="00B24708"/>
    <w:rsid w:val="00B24D95"/>
    <w:rsid w:val="00B24DB2"/>
    <w:rsid w:val="00B252D4"/>
    <w:rsid w:val="00B2554D"/>
    <w:rsid w:val="00B25CFF"/>
    <w:rsid w:val="00B26525"/>
    <w:rsid w:val="00B268B3"/>
    <w:rsid w:val="00B27756"/>
    <w:rsid w:val="00B27CBE"/>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166"/>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AB6"/>
    <w:rsid w:val="00B46BD1"/>
    <w:rsid w:val="00B46C90"/>
    <w:rsid w:val="00B47415"/>
    <w:rsid w:val="00B47535"/>
    <w:rsid w:val="00B47790"/>
    <w:rsid w:val="00B477F1"/>
    <w:rsid w:val="00B4792F"/>
    <w:rsid w:val="00B47C05"/>
    <w:rsid w:val="00B50118"/>
    <w:rsid w:val="00B50760"/>
    <w:rsid w:val="00B513A7"/>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41"/>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0F4B"/>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16"/>
    <w:rsid w:val="00C00E83"/>
    <w:rsid w:val="00C00F86"/>
    <w:rsid w:val="00C01740"/>
    <w:rsid w:val="00C0177E"/>
    <w:rsid w:val="00C018FC"/>
    <w:rsid w:val="00C01B4A"/>
    <w:rsid w:val="00C01DE6"/>
    <w:rsid w:val="00C0207C"/>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4A6D"/>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5CB7"/>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64E"/>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BA2"/>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3AF7"/>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60B"/>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0D53"/>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17CD3"/>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BB3"/>
    <w:rsid w:val="00E44D9E"/>
    <w:rsid w:val="00E45AE2"/>
    <w:rsid w:val="00E45BEE"/>
    <w:rsid w:val="00E46356"/>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18CC"/>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0DD"/>
    <w:rsid w:val="00ED2177"/>
    <w:rsid w:val="00ED2787"/>
    <w:rsid w:val="00ED28F2"/>
    <w:rsid w:val="00ED2CE2"/>
    <w:rsid w:val="00ED2DE8"/>
    <w:rsid w:val="00ED30BB"/>
    <w:rsid w:val="00ED315B"/>
    <w:rsid w:val="00ED3301"/>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24F"/>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DDA"/>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3C3D"/>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12"/>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58"/>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3D5"/>
    <w:rsid w:val="00F74594"/>
    <w:rsid w:val="00F74752"/>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A7D"/>
    <w:rsid w:val="00FA0E33"/>
    <w:rsid w:val="00FA144D"/>
    <w:rsid w:val="00FA163D"/>
    <w:rsid w:val="00FA19B4"/>
    <w:rsid w:val="00FA1ED5"/>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0B66"/>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C12"/>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44A"/>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0FB971B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FD97BE5-C4F3-4C12-83E3-7BAC6C57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DE399E1E-40ED-40E6-BCDE-7EDA0116A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3757</Words>
  <Characters>26983</Characters>
  <Application>Microsoft Office Word</Application>
  <DocSecurity>0</DocSecurity>
  <Lines>613</Lines>
  <Paragraphs>279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3</cp:revision>
  <cp:lastPrinted>2025-03-01T15:45:00Z</cp:lastPrinted>
  <dcterms:created xsi:type="dcterms:W3CDTF">2025-12-30T06:59:00Z</dcterms:created>
  <dcterms:modified xsi:type="dcterms:W3CDTF">2025-12-30T11:49:00Z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