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8" w:history="1">
        <w:r w:rsidRPr="00D6669D">
          <w:rPr>
            <w:rStyle w:val="Hipersaitas"/>
            <w:rFonts w:ascii="Times New Roman" w:hAnsi="Times New Roman" w:cs="Times New Roman"/>
            <w:sz w:val="20"/>
            <w:szCs w:val="20"/>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2024-12-2</w:t>
      </w:r>
      <w:r>
        <w:rPr>
          <w:rFonts w:ascii="Times New Roman" w:hAnsi="Times New Roman" w:cs="Times New Roman"/>
          <w:sz w:val="20"/>
          <w:szCs w:val="20"/>
        </w:rPr>
        <w:t>3</w:t>
      </w:r>
      <w:r w:rsidRPr="00D049C1">
        <w:rPr>
          <w:rFonts w:ascii="Times New Roman" w:hAnsi="Times New Roman" w:cs="Times New Roman"/>
          <w:sz w:val="20"/>
          <w:szCs w:val="20"/>
        </w:rPr>
        <w:t xml:space="preserve"> protokolu Nr. 3</w:t>
      </w:r>
      <w:r>
        <w:rPr>
          <w:rFonts w:ascii="Times New Roman" w:hAnsi="Times New Roman" w:cs="Times New Roman"/>
          <w:sz w:val="20"/>
          <w:szCs w:val="20"/>
        </w:rPr>
        <w:t>91</w:t>
      </w:r>
      <w:r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AA256F"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AA256F">
        <w:rPr>
          <w:rFonts w:ascii="Times New Roman" w:hAnsi="Times New Roman" w:cs="Times New Roman"/>
          <w:b/>
          <w:sz w:val="28"/>
          <w:szCs w:val="28"/>
        </w:rPr>
        <w:t xml:space="preserve">VIEŠOJO PIRKIMO ATVIRO KONKURSO „MEDICININĖS PRIEMONĖS MENISKO ŠAKNIES OPERACIJOMS“ </w:t>
      </w:r>
      <w:r w:rsidRPr="00AA256F">
        <w:rPr>
          <w:rFonts w:ascii="Times New Roman" w:hAnsi="Times New Roman" w:cs="Times New Roman"/>
          <w:b/>
          <w:sz w:val="28"/>
          <w:szCs w:val="28"/>
          <w:lang w:eastAsia="lt-LT"/>
        </w:rPr>
        <w:t>BENDROSIOS SĄLYGOS</w:t>
      </w:r>
    </w:p>
    <w:p w:rsidR="00AA256F" w:rsidRPr="00AA256F"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AA256F">
        <w:rPr>
          <w:rFonts w:ascii="Times New Roman" w:hAnsi="Times New Roman" w:cs="Times New Roman"/>
          <w:b/>
          <w:bCs/>
          <w:sz w:val="28"/>
          <w:szCs w:val="28"/>
        </w:rPr>
        <w:t xml:space="preserve"> (PIRKIMO NUMERIS CVP IS – 606839)</w:t>
      </w:r>
    </w:p>
    <w:p w:rsidR="00AA256F" w:rsidRDefault="00AA256F"/>
    <w:p w:rsidR="006D261B" w:rsidRDefault="006D261B">
      <w:bookmarkStart w:id="0" w:name="_GoBack"/>
      <w:bookmarkEnd w:id="0"/>
    </w:p>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2B7055"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2B7055"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B7055"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55" w:rsidRDefault="002B7055" w:rsidP="006D261B">
      <w:pPr>
        <w:spacing w:after="0" w:line="240" w:lineRule="auto"/>
      </w:pPr>
      <w:r>
        <w:separator/>
      </w:r>
    </w:p>
  </w:endnote>
  <w:endnote w:type="continuationSeparator" w:id="0">
    <w:p w:rsidR="002B7055" w:rsidRDefault="002B7055"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55" w:rsidRDefault="002B7055" w:rsidP="006D261B">
      <w:pPr>
        <w:spacing w:after="0" w:line="240" w:lineRule="auto"/>
      </w:pPr>
      <w:r>
        <w:separator/>
      </w:r>
    </w:p>
  </w:footnote>
  <w:footnote w:type="continuationSeparator" w:id="0">
    <w:p w:rsidR="002B7055" w:rsidRDefault="002B7055"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2407FC"/>
    <w:rsid w:val="00274D78"/>
    <w:rsid w:val="002B7055"/>
    <w:rsid w:val="005B0D95"/>
    <w:rsid w:val="00653AF9"/>
    <w:rsid w:val="006D261B"/>
    <w:rsid w:val="007501D4"/>
    <w:rsid w:val="00AA256F"/>
    <w:rsid w:val="00CB0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41018</Words>
  <Characters>23381</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2024-12-25T10:52:00Z</dcterms:created>
  <dcterms:modified xsi:type="dcterms:W3CDTF">2024-12-25T10:52:00Z</dcterms:modified>
</cp:coreProperties>
</file>