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14:paraId="015BF2B1" w14:textId="33FD9990"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2024-12-2</w:t>
          </w:r>
          <w:r w:rsidR="00F46893">
            <w:rPr>
              <w:rFonts w:ascii="Times New Roman" w:hAnsi="Times New Roman" w:cs="Times New Roman"/>
              <w:sz w:val="20"/>
              <w:szCs w:val="20"/>
            </w:rPr>
            <w:t>3</w:t>
          </w:r>
          <w:r w:rsidRPr="00D049C1">
            <w:rPr>
              <w:rFonts w:ascii="Times New Roman" w:hAnsi="Times New Roman" w:cs="Times New Roman"/>
              <w:sz w:val="20"/>
              <w:szCs w:val="20"/>
            </w:rPr>
            <w:t xml:space="preserve"> protokolu Nr. 3</w:t>
          </w:r>
          <w:r w:rsidR="00F46893">
            <w:rPr>
              <w:rFonts w:ascii="Times New Roman" w:hAnsi="Times New Roman" w:cs="Times New Roman"/>
              <w:sz w:val="20"/>
              <w:szCs w:val="20"/>
            </w:rPr>
            <w:t>91</w:t>
          </w:r>
          <w:r w:rsidRPr="00D049C1">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208793C6" w:rsidR="008F5DF0" w:rsidRPr="00F46893"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F46893">
            <w:rPr>
              <w:rFonts w:ascii="Times New Roman" w:hAnsi="Times New Roman" w:cs="Times New Roman"/>
              <w:b/>
              <w:sz w:val="24"/>
              <w:szCs w:val="24"/>
            </w:rPr>
            <w:t>VIEŠOJO PIRKIMO ATVIRO KONKURSO „</w:t>
          </w:r>
          <w:r w:rsidR="00F46893" w:rsidRPr="00F46893">
            <w:rPr>
              <w:rFonts w:ascii="Times New Roman" w:hAnsi="Times New Roman" w:cs="Times New Roman"/>
              <w:b/>
              <w:sz w:val="24"/>
              <w:szCs w:val="24"/>
            </w:rPr>
            <w:t>MEDICININĖS PRIEMONĖS MENISKO ŠAKNIES OPERACIJOMS</w:t>
          </w:r>
          <w:r w:rsidRPr="00F46893">
            <w:rPr>
              <w:rFonts w:ascii="Times New Roman" w:hAnsi="Times New Roman" w:cs="Times New Roman"/>
              <w:b/>
              <w:sz w:val="24"/>
              <w:szCs w:val="24"/>
            </w:rPr>
            <w:t>“ SPECIALIOSIOS SĄLYGOS</w:t>
          </w:r>
        </w:p>
        <w:p w14:paraId="0E6946ED" w14:textId="27B1AA64" w:rsidR="008F5DF0" w:rsidRPr="00F46893"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F46893">
            <w:rPr>
              <w:rFonts w:ascii="Times New Roman" w:hAnsi="Times New Roman" w:cs="Times New Roman"/>
              <w:b/>
              <w:bCs/>
              <w:sz w:val="24"/>
              <w:szCs w:val="24"/>
            </w:rPr>
            <w:t xml:space="preserve"> (PIRKIMO NUMERIS CVP IS – 606839</w:t>
          </w:r>
          <w:r w:rsidR="008F5DF0" w:rsidRPr="00F46893">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035B5"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7035B5"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7035B5"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7035B5"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7035B5"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7035B5"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7035B5"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7035B5"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7035B5"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7035B5"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7035B5"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035B5"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035B5"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035B5"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035B5"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035B5"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035B5"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035B5"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10F9F036"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963B64" w:rsidRPr="00D5244C">
        <w:rPr>
          <w:rFonts w:ascii="Times New Roman" w:eastAsia="Calibri" w:hAnsi="Times New Roman" w:cs="Times New Roman"/>
          <w:b/>
          <w:bCs/>
        </w:rPr>
        <w:t>7</w:t>
      </w:r>
      <w:r w:rsidR="00F46893">
        <w:rPr>
          <w:rFonts w:ascii="Times New Roman" w:eastAsia="Calibri" w:hAnsi="Times New Roman" w:cs="Times New Roman"/>
          <w:b/>
          <w:bCs/>
        </w:rPr>
        <w:t>19812</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401CBDC"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F46893">
        <w:rPr>
          <w:rFonts w:ascii="Times New Roman" w:eastAsia="Calibri" w:hAnsi="Times New Roman" w:cs="Times New Roman"/>
        </w:rPr>
        <w:t xml:space="preserve">organizacija numato įsigyti </w:t>
      </w:r>
      <w:r w:rsidR="006C6C8E" w:rsidRPr="00F46893">
        <w:rPr>
          <w:rFonts w:ascii="Times New Roman" w:eastAsia="Calibri" w:hAnsi="Times New Roman" w:cs="Times New Roman"/>
        </w:rPr>
        <w:t>p</w:t>
      </w:r>
      <w:r w:rsidRPr="00F46893">
        <w:rPr>
          <w:rFonts w:ascii="Times New Roman" w:eastAsia="Calibri" w:hAnsi="Times New Roman" w:cs="Times New Roman"/>
        </w:rPr>
        <w:t>rek</w:t>
      </w:r>
      <w:r w:rsidR="006C6C8E" w:rsidRPr="00F46893">
        <w:rPr>
          <w:rFonts w:ascii="Times New Roman" w:eastAsia="Calibri" w:hAnsi="Times New Roman" w:cs="Times New Roman"/>
        </w:rPr>
        <w:t>es</w:t>
      </w:r>
      <w:r w:rsidR="003D2D8A" w:rsidRPr="00F46893">
        <w:rPr>
          <w:rFonts w:ascii="Times New Roman" w:eastAsia="Calibri" w:hAnsi="Times New Roman" w:cs="Times New Roman"/>
        </w:rPr>
        <w:t xml:space="preserve">: </w:t>
      </w:r>
      <w:r w:rsidR="00F46893" w:rsidRPr="00F46893">
        <w:rPr>
          <w:rFonts w:ascii="Times New Roman" w:hAnsi="Times New Roman" w:cs="Times New Roman"/>
          <w:b/>
        </w:rPr>
        <w:t>medicinines priemones menisko šaknies operacijoms</w:t>
      </w:r>
      <w:r w:rsidR="003D2D8A" w:rsidRPr="00F46893">
        <w:rPr>
          <w:rFonts w:ascii="Times New Roman" w:eastAsia="Calibri" w:hAnsi="Times New Roman" w:cs="Times New Roman"/>
        </w:rPr>
        <w:t>.</w:t>
      </w:r>
      <w:r w:rsidR="003D2D8A" w:rsidRPr="00F46893">
        <w:rPr>
          <w:rFonts w:ascii="Times New Roman" w:hAnsi="Times New Roman" w:cs="Times New Roman"/>
        </w:rPr>
        <w:t xml:space="preserve"> </w:t>
      </w:r>
      <w:r w:rsidRPr="00F46893">
        <w:rPr>
          <w:rFonts w:ascii="Times New Roman" w:hAnsi="Times New Roman" w:cs="Times New Roman"/>
        </w:rPr>
        <w:t>Reikalavimai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2B47ABE7"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w:t>
      </w:r>
      <w:r w:rsidR="00F46893">
        <w:rPr>
          <w:rFonts w:ascii="Times New Roman" w:hAnsi="Times New Roman" w:cs="Times New Roman"/>
        </w:rPr>
        <w:t>ne</w:t>
      </w:r>
      <w:r w:rsidRPr="00D5244C">
        <w:rPr>
          <w:rFonts w:ascii="Times New Roman" w:hAnsi="Times New Roman" w:cs="Times New Roman"/>
        </w:rPr>
        <w:t xml:space="preserve">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77777777" w:rsidR="00463A37" w:rsidRPr="00463A37" w:rsidRDefault="00463A37" w:rsidP="00463A37">
      <w:pPr>
        <w:pStyle w:val="Body2"/>
        <w:numPr>
          <w:ilvl w:val="1"/>
          <w:numId w:val="8"/>
        </w:numPr>
        <w:spacing w:after="0"/>
        <w:ind w:left="0" w:firstLine="567"/>
        <w:rPr>
          <w:rFonts w:cs="Times New Roman"/>
          <w:color w:val="auto"/>
          <w:lang w:val="lt-LT"/>
        </w:rPr>
      </w:pPr>
      <w:r w:rsidRPr="00463A37">
        <w:rPr>
          <w:color w:val="auto"/>
          <w:lang w:val="lt-LT"/>
        </w:rPr>
        <w:t xml:space="preserve">Perkančioji organizacija ekonomiškai </w:t>
      </w:r>
      <w:proofErr w:type="spellStart"/>
      <w:r w:rsidRPr="00463A37">
        <w:rPr>
          <w:color w:val="auto"/>
        </w:rPr>
        <w:t>naudingiausią</w:t>
      </w:r>
      <w:proofErr w:type="spellEnd"/>
      <w:r w:rsidRPr="00463A37">
        <w:rPr>
          <w:color w:val="auto"/>
        </w:rPr>
        <w:t xml:space="preserve"> </w:t>
      </w:r>
      <w:proofErr w:type="spellStart"/>
      <w:r w:rsidRPr="00463A37">
        <w:rPr>
          <w:color w:val="auto"/>
        </w:rPr>
        <w:t>pasiūlymą</w:t>
      </w:r>
      <w:proofErr w:type="spellEnd"/>
      <w:r w:rsidRPr="00463A37">
        <w:rPr>
          <w:color w:val="auto"/>
        </w:rPr>
        <w:t xml:space="preserve"> </w:t>
      </w:r>
      <w:proofErr w:type="spellStart"/>
      <w:r w:rsidRPr="00463A37">
        <w:rPr>
          <w:color w:val="auto"/>
        </w:rPr>
        <w:t>išrenka</w:t>
      </w:r>
      <w:proofErr w:type="spellEnd"/>
      <w:r w:rsidRPr="00463A37">
        <w:rPr>
          <w:color w:val="auto"/>
        </w:rPr>
        <w:t xml:space="preserve"> </w:t>
      </w:r>
      <w:proofErr w:type="spellStart"/>
      <w:r w:rsidRPr="00463A37">
        <w:rPr>
          <w:color w:val="auto"/>
        </w:rPr>
        <w:t>pagal</w:t>
      </w:r>
      <w:proofErr w:type="spellEnd"/>
      <w:r w:rsidRPr="00463A37">
        <w:rPr>
          <w:color w:val="auto"/>
        </w:rPr>
        <w:t xml:space="preserve"> </w:t>
      </w:r>
      <w:proofErr w:type="spellStart"/>
      <w:r w:rsidRPr="00463A37">
        <w:rPr>
          <w:color w:val="auto"/>
        </w:rPr>
        <w:t>kainos</w:t>
      </w:r>
      <w:proofErr w:type="spellEnd"/>
      <w:r w:rsidRPr="00463A37">
        <w:rPr>
          <w:color w:val="auto"/>
        </w:rPr>
        <w:t xml:space="preserve"> </w:t>
      </w:r>
      <w:proofErr w:type="spellStart"/>
      <w:r w:rsidRPr="00463A37">
        <w:rPr>
          <w:color w:val="auto"/>
        </w:rPr>
        <w:t>ir</w:t>
      </w:r>
      <w:proofErr w:type="spellEnd"/>
      <w:r w:rsidRPr="00463A37">
        <w:rPr>
          <w:color w:val="auto"/>
        </w:rPr>
        <w:t xml:space="preserve"> </w:t>
      </w:r>
      <w:proofErr w:type="spellStart"/>
      <w:r w:rsidRPr="00463A37">
        <w:rPr>
          <w:color w:val="auto"/>
        </w:rPr>
        <w:t>kokybės</w:t>
      </w:r>
      <w:proofErr w:type="spellEnd"/>
      <w:r w:rsidRPr="00463A37">
        <w:rPr>
          <w:color w:val="auto"/>
        </w:rPr>
        <w:t xml:space="preserve"> </w:t>
      </w:r>
      <w:proofErr w:type="spellStart"/>
      <w:r w:rsidRPr="00463A37">
        <w:rPr>
          <w:color w:val="auto"/>
        </w:rPr>
        <w:t>santykį</w:t>
      </w:r>
      <w:proofErr w:type="spellEnd"/>
      <w:r w:rsidRPr="00463A37">
        <w:rPr>
          <w:color w:val="auto"/>
        </w:rPr>
        <w:t xml:space="preserve"> (</w:t>
      </w:r>
      <w:proofErr w:type="spellStart"/>
      <w:r w:rsidRPr="00463A37">
        <w:rPr>
          <w:color w:val="auto"/>
        </w:rPr>
        <w:t>pasiūlymo</w:t>
      </w:r>
      <w:proofErr w:type="spellEnd"/>
      <w:r w:rsidRPr="00463A37">
        <w:rPr>
          <w:color w:val="auto"/>
        </w:rPr>
        <w:t xml:space="preserve"> </w:t>
      </w:r>
      <w:proofErr w:type="spellStart"/>
      <w:r w:rsidRPr="00463A37">
        <w:rPr>
          <w:color w:val="auto"/>
        </w:rPr>
        <w:t>techninės</w:t>
      </w:r>
      <w:proofErr w:type="spellEnd"/>
      <w:r w:rsidRPr="00463A37">
        <w:rPr>
          <w:color w:val="auto"/>
        </w:rPr>
        <w:t xml:space="preserve"> </w:t>
      </w:r>
      <w:proofErr w:type="spellStart"/>
      <w:r w:rsidRPr="00463A37">
        <w:rPr>
          <w:color w:val="auto"/>
        </w:rPr>
        <w:t>charakteristikos</w:t>
      </w:r>
      <w:proofErr w:type="spellEnd"/>
      <w:r w:rsidRPr="00463A37">
        <w:rPr>
          <w:color w:val="auto"/>
        </w:rPr>
        <w:t xml:space="preserve"> </w:t>
      </w:r>
      <w:proofErr w:type="spellStart"/>
      <w:r w:rsidRPr="00463A37">
        <w:rPr>
          <w:color w:val="auto"/>
        </w:rPr>
        <w:t>vertinamos</w:t>
      </w:r>
      <w:proofErr w:type="spellEnd"/>
      <w:r w:rsidRPr="00463A37">
        <w:rPr>
          <w:color w:val="auto"/>
        </w:rPr>
        <w:t xml:space="preserve"> </w:t>
      </w:r>
      <w:proofErr w:type="spellStart"/>
      <w:r w:rsidRPr="00463A37">
        <w:rPr>
          <w:color w:val="auto"/>
        </w:rPr>
        <w:t>kiekybiškai</w:t>
      </w:r>
      <w:proofErr w:type="spellEnd"/>
      <w:r w:rsidRPr="00463A37">
        <w:rPr>
          <w:color w:val="auto"/>
        </w:rPr>
        <w:t xml:space="preserve">), </w:t>
      </w:r>
      <w:proofErr w:type="spellStart"/>
      <w:r w:rsidRPr="00463A37">
        <w:rPr>
          <w:color w:val="auto"/>
        </w:rPr>
        <w:t>taikant</w:t>
      </w:r>
      <w:proofErr w:type="spellEnd"/>
      <w:r w:rsidRPr="00463A37">
        <w:rPr>
          <w:color w:val="auto"/>
        </w:rPr>
        <w:t xml:space="preserve"> </w:t>
      </w:r>
      <w:proofErr w:type="spellStart"/>
      <w:r w:rsidRPr="00463A37">
        <w:rPr>
          <w:color w:val="auto"/>
        </w:rPr>
        <w:t>pasiūlymo</w:t>
      </w:r>
      <w:proofErr w:type="spellEnd"/>
      <w:r w:rsidRPr="00463A37">
        <w:rPr>
          <w:color w:val="auto"/>
        </w:rPr>
        <w:t xml:space="preserve"> </w:t>
      </w:r>
      <w:proofErr w:type="spellStart"/>
      <w:r w:rsidRPr="00463A37">
        <w:rPr>
          <w:color w:val="auto"/>
        </w:rPr>
        <w:t>vertinimo</w:t>
      </w:r>
      <w:proofErr w:type="spellEnd"/>
      <w:r w:rsidRPr="00463A37">
        <w:rPr>
          <w:color w:val="auto"/>
        </w:rPr>
        <w:t xml:space="preserve"> </w:t>
      </w:r>
      <w:proofErr w:type="spellStart"/>
      <w:r w:rsidRPr="00463A37">
        <w:rPr>
          <w:color w:val="auto"/>
        </w:rPr>
        <w:t>kriterijus</w:t>
      </w:r>
      <w:proofErr w:type="spellEnd"/>
      <w:r w:rsidRPr="00463A37">
        <w:rPr>
          <w:color w:val="auto"/>
        </w:rPr>
        <w:t xml:space="preserve"> </w:t>
      </w:r>
      <w:proofErr w:type="spellStart"/>
      <w:r w:rsidRPr="00463A37">
        <w:rPr>
          <w:color w:val="auto"/>
        </w:rPr>
        <w:t>ir</w:t>
      </w:r>
      <w:proofErr w:type="spellEnd"/>
      <w:r w:rsidRPr="00463A37">
        <w:rPr>
          <w:color w:val="auto"/>
        </w:rPr>
        <w:t xml:space="preserve"> </w:t>
      </w:r>
      <w:proofErr w:type="spellStart"/>
      <w:r w:rsidRPr="00463A37">
        <w:rPr>
          <w:color w:val="auto"/>
        </w:rPr>
        <w:t>tvarką</w:t>
      </w:r>
      <w:proofErr w:type="spellEnd"/>
      <w:r w:rsidRPr="00463A37">
        <w:rPr>
          <w:color w:val="auto"/>
        </w:rPr>
        <w:t xml:space="preserve"> </w:t>
      </w:r>
      <w:proofErr w:type="spellStart"/>
      <w:r w:rsidRPr="00463A37">
        <w:rPr>
          <w:color w:val="auto"/>
        </w:rPr>
        <w:t>nurodytą</w:t>
      </w:r>
      <w:proofErr w:type="spellEnd"/>
      <w:r w:rsidRPr="00463A37">
        <w:rPr>
          <w:color w:val="auto"/>
        </w:rPr>
        <w:t xml:space="preserve"> </w:t>
      </w:r>
      <w:proofErr w:type="spellStart"/>
      <w:r w:rsidRPr="00463A37">
        <w:rPr>
          <w:color w:val="auto"/>
        </w:rPr>
        <w:t>pirkimo</w:t>
      </w:r>
      <w:proofErr w:type="spellEnd"/>
      <w:r w:rsidRPr="00463A37">
        <w:rPr>
          <w:color w:val="auto"/>
        </w:rPr>
        <w:t xml:space="preserve"> </w:t>
      </w:r>
      <w:proofErr w:type="spellStart"/>
      <w:r w:rsidRPr="00463A37">
        <w:rPr>
          <w:color w:val="auto"/>
        </w:rPr>
        <w:t>sąlygų</w:t>
      </w:r>
      <w:proofErr w:type="spellEnd"/>
      <w:r w:rsidRPr="00463A37">
        <w:rPr>
          <w:color w:val="auto"/>
        </w:rPr>
        <w:t xml:space="preserve"> SPS </w:t>
      </w:r>
      <w:proofErr w:type="spellStart"/>
      <w:r w:rsidRPr="00463A37">
        <w:rPr>
          <w:color w:val="auto"/>
        </w:rPr>
        <w:t>Priede</w:t>
      </w:r>
      <w:proofErr w:type="spellEnd"/>
      <w:r w:rsidRPr="00463A37">
        <w:rPr>
          <w:color w:val="auto"/>
        </w:rPr>
        <w:t xml:space="preserve"> </w:t>
      </w:r>
      <w:proofErr w:type="spellStart"/>
      <w:r w:rsidRPr="00463A37">
        <w:rPr>
          <w:color w:val="auto"/>
        </w:rPr>
        <w:t>Nr</w:t>
      </w:r>
      <w:proofErr w:type="spellEnd"/>
      <w:r w:rsidRPr="00463A37">
        <w:rPr>
          <w:color w:val="auto"/>
        </w:rPr>
        <w:t xml:space="preserve">. 6. </w:t>
      </w:r>
      <w:proofErr w:type="spellStart"/>
      <w:r w:rsidRPr="00463A37">
        <w:rPr>
          <w:color w:val="auto"/>
        </w:rPr>
        <w:t>Ekonomiškai</w:t>
      </w:r>
      <w:proofErr w:type="spellEnd"/>
      <w:r w:rsidRPr="00463A37">
        <w:rPr>
          <w:color w:val="auto"/>
        </w:rPr>
        <w:t xml:space="preserve"> </w:t>
      </w:r>
      <w:proofErr w:type="spellStart"/>
      <w:r w:rsidRPr="00463A37">
        <w:rPr>
          <w:color w:val="auto"/>
        </w:rPr>
        <w:t>naudingiausias</w:t>
      </w:r>
      <w:proofErr w:type="spellEnd"/>
      <w:r w:rsidRPr="00463A37">
        <w:rPr>
          <w:color w:val="auto"/>
        </w:rPr>
        <w:t xml:space="preserve"> </w:t>
      </w:r>
      <w:proofErr w:type="spellStart"/>
      <w:r w:rsidRPr="00463A37">
        <w:rPr>
          <w:color w:val="auto"/>
        </w:rPr>
        <w:t>pasiūlymas</w:t>
      </w:r>
      <w:proofErr w:type="spellEnd"/>
      <w:r w:rsidRPr="00463A37">
        <w:rPr>
          <w:color w:val="auto"/>
        </w:rPr>
        <w:t xml:space="preserve"> – </w:t>
      </w:r>
      <w:proofErr w:type="gramStart"/>
      <w:r w:rsidRPr="00463A37">
        <w:rPr>
          <w:color w:val="auto"/>
        </w:rPr>
        <w:t>tai</w:t>
      </w:r>
      <w:proofErr w:type="gramEnd"/>
      <w:r w:rsidRPr="00463A37">
        <w:rPr>
          <w:color w:val="auto"/>
        </w:rPr>
        <w:t xml:space="preserve"> </w:t>
      </w:r>
      <w:proofErr w:type="spellStart"/>
      <w:r w:rsidRPr="00463A37">
        <w:rPr>
          <w:color w:val="auto"/>
        </w:rPr>
        <w:t>pasiūlymas</w:t>
      </w:r>
      <w:proofErr w:type="spellEnd"/>
      <w:r w:rsidRPr="00463A37">
        <w:rPr>
          <w:color w:val="auto"/>
        </w:rPr>
        <w:t xml:space="preserve">, </w:t>
      </w:r>
      <w:proofErr w:type="spellStart"/>
      <w:r w:rsidRPr="00463A37">
        <w:rPr>
          <w:color w:val="auto"/>
        </w:rPr>
        <w:t>kurio</w:t>
      </w:r>
      <w:proofErr w:type="spellEnd"/>
      <w:r w:rsidRPr="00463A37">
        <w:rPr>
          <w:color w:val="auto"/>
        </w:rPr>
        <w:t xml:space="preserve"> </w:t>
      </w:r>
      <w:proofErr w:type="spellStart"/>
      <w:r w:rsidRPr="00463A37">
        <w:rPr>
          <w:color w:val="auto"/>
        </w:rPr>
        <w:t>balų</w:t>
      </w:r>
      <w:proofErr w:type="spellEnd"/>
      <w:r w:rsidRPr="00463A37">
        <w:rPr>
          <w:color w:val="auto"/>
        </w:rPr>
        <w:t xml:space="preserve"> </w:t>
      </w:r>
      <w:proofErr w:type="spellStart"/>
      <w:r w:rsidRPr="00463A37">
        <w:rPr>
          <w:color w:val="auto"/>
        </w:rPr>
        <w:t>suma</w:t>
      </w:r>
      <w:proofErr w:type="spellEnd"/>
      <w:r w:rsidRPr="00463A37">
        <w:rPr>
          <w:color w:val="auto"/>
        </w:rPr>
        <w:t xml:space="preserve">, </w:t>
      </w:r>
      <w:proofErr w:type="spellStart"/>
      <w:r w:rsidRPr="00463A37">
        <w:rPr>
          <w:color w:val="auto"/>
        </w:rPr>
        <w:t>apskaičiuota</w:t>
      </w:r>
      <w:proofErr w:type="spellEnd"/>
      <w:r w:rsidRPr="00463A37">
        <w:rPr>
          <w:color w:val="auto"/>
        </w:rPr>
        <w:t xml:space="preserve"> </w:t>
      </w:r>
      <w:proofErr w:type="spellStart"/>
      <w:r w:rsidRPr="00463A37">
        <w:rPr>
          <w:color w:val="auto"/>
        </w:rPr>
        <w:t>pagal</w:t>
      </w:r>
      <w:proofErr w:type="spellEnd"/>
      <w:r w:rsidRPr="00463A37">
        <w:rPr>
          <w:color w:val="auto"/>
        </w:rPr>
        <w:t xml:space="preserve"> (</w:t>
      </w:r>
      <w:proofErr w:type="spellStart"/>
      <w:r w:rsidRPr="00463A37">
        <w:rPr>
          <w:color w:val="auto"/>
        </w:rPr>
        <w:t>pirkimo</w:t>
      </w:r>
      <w:proofErr w:type="spellEnd"/>
      <w:r w:rsidRPr="00463A37">
        <w:rPr>
          <w:color w:val="auto"/>
        </w:rPr>
        <w:t xml:space="preserve"> </w:t>
      </w:r>
      <w:proofErr w:type="spellStart"/>
      <w:r w:rsidRPr="00463A37">
        <w:rPr>
          <w:color w:val="auto"/>
        </w:rPr>
        <w:t>dokumentų</w:t>
      </w:r>
      <w:proofErr w:type="spellEnd"/>
      <w:r w:rsidRPr="00463A37">
        <w:rPr>
          <w:color w:val="auto"/>
        </w:rPr>
        <w:t xml:space="preserve"> SPS </w:t>
      </w:r>
      <w:proofErr w:type="spellStart"/>
      <w:r w:rsidRPr="00463A37">
        <w:rPr>
          <w:color w:val="auto"/>
        </w:rPr>
        <w:t>Priede</w:t>
      </w:r>
      <w:proofErr w:type="spellEnd"/>
      <w:r w:rsidRPr="00463A37">
        <w:rPr>
          <w:color w:val="auto"/>
        </w:rPr>
        <w:t xml:space="preserve"> </w:t>
      </w:r>
      <w:proofErr w:type="spellStart"/>
      <w:r w:rsidRPr="00463A37">
        <w:rPr>
          <w:color w:val="auto"/>
        </w:rPr>
        <w:t>Nr</w:t>
      </w:r>
      <w:proofErr w:type="spellEnd"/>
      <w:r w:rsidRPr="00463A37">
        <w:rPr>
          <w:color w:val="auto"/>
        </w:rPr>
        <w:t xml:space="preserve">. 6.) </w:t>
      </w:r>
      <w:proofErr w:type="spellStart"/>
      <w:r w:rsidRPr="00463A37">
        <w:rPr>
          <w:color w:val="auto"/>
        </w:rPr>
        <w:t>nustatytus</w:t>
      </w:r>
      <w:proofErr w:type="spellEnd"/>
      <w:r w:rsidRPr="00463A37">
        <w:rPr>
          <w:color w:val="auto"/>
        </w:rPr>
        <w:t xml:space="preserve"> </w:t>
      </w:r>
      <w:proofErr w:type="spellStart"/>
      <w:r w:rsidRPr="00463A37">
        <w:rPr>
          <w:color w:val="auto"/>
        </w:rPr>
        <w:t>pasiūlymų</w:t>
      </w:r>
      <w:proofErr w:type="spellEnd"/>
      <w:r w:rsidRPr="00463A37">
        <w:rPr>
          <w:color w:val="auto"/>
        </w:rPr>
        <w:t xml:space="preserve"> </w:t>
      </w:r>
      <w:proofErr w:type="spellStart"/>
      <w:r w:rsidRPr="00463A37">
        <w:rPr>
          <w:color w:val="auto"/>
        </w:rPr>
        <w:t>vertinimo</w:t>
      </w:r>
      <w:proofErr w:type="spellEnd"/>
      <w:r w:rsidRPr="00463A37">
        <w:rPr>
          <w:color w:val="auto"/>
        </w:rPr>
        <w:t xml:space="preserve"> </w:t>
      </w:r>
      <w:proofErr w:type="spellStart"/>
      <w:r w:rsidRPr="00463A37">
        <w:rPr>
          <w:color w:val="auto"/>
        </w:rPr>
        <w:t>kriterijus</w:t>
      </w:r>
      <w:proofErr w:type="spellEnd"/>
      <w:r w:rsidRPr="00463A37">
        <w:rPr>
          <w:color w:val="auto"/>
        </w:rPr>
        <w:t xml:space="preserve"> </w:t>
      </w:r>
      <w:proofErr w:type="spellStart"/>
      <w:r w:rsidRPr="00463A37">
        <w:rPr>
          <w:color w:val="auto"/>
        </w:rPr>
        <w:t>ir</w:t>
      </w:r>
      <w:proofErr w:type="spellEnd"/>
      <w:r w:rsidRPr="00463A37">
        <w:rPr>
          <w:color w:val="auto"/>
        </w:rPr>
        <w:t xml:space="preserve"> </w:t>
      </w:r>
      <w:proofErr w:type="spellStart"/>
      <w:r w:rsidRPr="00463A37">
        <w:rPr>
          <w:color w:val="auto"/>
        </w:rPr>
        <w:t>sąlygas</w:t>
      </w:r>
      <w:proofErr w:type="spellEnd"/>
      <w:r w:rsidRPr="00463A37">
        <w:rPr>
          <w:color w:val="auto"/>
        </w:rPr>
        <w:t xml:space="preserve">, </w:t>
      </w:r>
      <w:proofErr w:type="spellStart"/>
      <w:r w:rsidRPr="00463A37">
        <w:rPr>
          <w:color w:val="auto"/>
        </w:rPr>
        <w:t>yra</w:t>
      </w:r>
      <w:proofErr w:type="spellEnd"/>
      <w:r w:rsidRPr="00463A37">
        <w:rPr>
          <w:color w:val="auto"/>
        </w:rPr>
        <w:t xml:space="preserve"> </w:t>
      </w:r>
      <w:proofErr w:type="spellStart"/>
      <w:r w:rsidRPr="00463A37">
        <w:rPr>
          <w:color w:val="auto"/>
        </w:rPr>
        <w:t>didžiausia</w:t>
      </w:r>
      <w:proofErr w:type="spellEnd"/>
      <w:r w:rsidRPr="00463A37">
        <w:rPr>
          <w:color w:val="auto"/>
        </w:rPr>
        <w:t xml:space="preserve">. </w:t>
      </w:r>
      <w:r w:rsidRPr="00463A37">
        <w:rPr>
          <w:rFonts w:cs="Times New Roman"/>
          <w:color w:val="auto"/>
          <w:lang w:val="lt-LT"/>
        </w:rPr>
        <w:t>Maksimali pasiūlymo (vertinamoji) kaina, kurią viršijus pasiūlymas bus atmestas yra:</w:t>
      </w:r>
    </w:p>
    <w:tbl>
      <w:tblPr>
        <w:tblW w:w="8496" w:type="dxa"/>
        <w:tblInd w:w="-108" w:type="dxa"/>
        <w:tblLayout w:type="fixed"/>
        <w:tblCellMar>
          <w:left w:w="10" w:type="dxa"/>
          <w:right w:w="10" w:type="dxa"/>
        </w:tblCellMar>
        <w:tblLook w:val="0000" w:firstRow="0" w:lastRow="0" w:firstColumn="0" w:lastColumn="0" w:noHBand="0" w:noVBand="0"/>
      </w:tblPr>
      <w:tblGrid>
        <w:gridCol w:w="1379"/>
        <w:gridCol w:w="4282"/>
        <w:gridCol w:w="2835"/>
      </w:tblGrid>
      <w:tr w:rsidR="00463A37" w:rsidRPr="00463A37" w14:paraId="2D221D2B" w14:textId="77777777" w:rsidTr="00463A37">
        <w:trPr>
          <w:cantSplit/>
          <w:trHeight w:val="367"/>
        </w:trPr>
        <w:tc>
          <w:tcPr>
            <w:tcW w:w="1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33524E" w14:textId="77777777" w:rsidR="00463A37" w:rsidRPr="00463A37" w:rsidRDefault="00463A37" w:rsidP="005F5F5D">
            <w:pPr>
              <w:pStyle w:val="Standard"/>
              <w:spacing w:after="0" w:line="240" w:lineRule="auto"/>
              <w:rPr>
                <w:b/>
                <w:bCs/>
                <w:color w:val="000000"/>
                <w:sz w:val="21"/>
                <w:szCs w:val="21"/>
              </w:rPr>
            </w:pPr>
            <w:r w:rsidRPr="00463A37">
              <w:rPr>
                <w:b/>
                <w:bCs/>
                <w:color w:val="000000"/>
                <w:sz w:val="21"/>
                <w:szCs w:val="21"/>
              </w:rPr>
              <w:t>Eil. Nr.</w:t>
            </w:r>
          </w:p>
        </w:tc>
        <w:tc>
          <w:tcPr>
            <w:tcW w:w="428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E9608A" w14:textId="77777777" w:rsidR="00463A37" w:rsidRPr="00463A37" w:rsidRDefault="00463A37" w:rsidP="005F5F5D">
            <w:pPr>
              <w:pStyle w:val="Standard"/>
              <w:spacing w:after="0" w:line="240" w:lineRule="auto"/>
              <w:jc w:val="center"/>
              <w:rPr>
                <w:b/>
                <w:bCs/>
                <w:color w:val="000000"/>
                <w:sz w:val="21"/>
                <w:szCs w:val="21"/>
              </w:rPr>
            </w:pPr>
            <w:r w:rsidRPr="00463A37">
              <w:rPr>
                <w:b/>
                <w:bCs/>
                <w:color w:val="000000"/>
                <w:sz w:val="21"/>
                <w:szCs w:val="21"/>
              </w:rPr>
              <w:t>Prekės pavadinimas</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295EAE" w14:textId="77777777" w:rsidR="00463A37" w:rsidRPr="00463A37" w:rsidRDefault="00463A37" w:rsidP="005F5F5D">
            <w:pPr>
              <w:pStyle w:val="Betarp1"/>
              <w:snapToGrid w:val="0"/>
              <w:ind w:left="141"/>
              <w:jc w:val="center"/>
              <w:rPr>
                <w:b/>
                <w:color w:val="000000"/>
                <w:sz w:val="21"/>
                <w:szCs w:val="21"/>
                <w:lang w:val="lt-LT"/>
              </w:rPr>
            </w:pPr>
            <w:r w:rsidRPr="00463A37">
              <w:rPr>
                <w:b/>
                <w:bCs/>
                <w:sz w:val="21"/>
                <w:szCs w:val="21"/>
                <w:lang w:val="pt-BR"/>
              </w:rPr>
              <w:t>Pasiūlymo kaina, € su PVM</w:t>
            </w:r>
          </w:p>
        </w:tc>
      </w:tr>
      <w:tr w:rsidR="00463A37" w:rsidRPr="00463A37" w14:paraId="545A4A88" w14:textId="77777777" w:rsidTr="00463A37">
        <w:trPr>
          <w:trHeight w:val="60"/>
        </w:trPr>
        <w:tc>
          <w:tcPr>
            <w:tcW w:w="137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0C5BA17" w14:textId="77777777" w:rsidR="00463A37" w:rsidRPr="00463A37" w:rsidRDefault="00463A37" w:rsidP="005F5F5D">
            <w:pPr>
              <w:pStyle w:val="Standard"/>
              <w:spacing w:after="0" w:line="240" w:lineRule="auto"/>
              <w:rPr>
                <w:color w:val="000000"/>
                <w:sz w:val="21"/>
                <w:szCs w:val="21"/>
                <w:lang w:val="en-US"/>
              </w:rPr>
            </w:pPr>
            <w:r w:rsidRPr="00463A37">
              <w:rPr>
                <w:color w:val="000000"/>
                <w:sz w:val="21"/>
                <w:szCs w:val="21"/>
                <w:lang w:val="en-US"/>
              </w:rPr>
              <w:t>1.</w:t>
            </w:r>
          </w:p>
        </w:tc>
        <w:tc>
          <w:tcPr>
            <w:tcW w:w="4282" w:type="dxa"/>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C80B211" w14:textId="77777777" w:rsidR="00463A37" w:rsidRPr="00463A37" w:rsidRDefault="00463A37" w:rsidP="005F5F5D">
            <w:pPr>
              <w:spacing w:after="0" w:line="240" w:lineRule="auto"/>
              <w:jc w:val="both"/>
              <w:rPr>
                <w:rFonts w:ascii="Times New Roman" w:hAnsi="Times New Roman" w:cs="Times New Roman"/>
                <w:color w:val="000000"/>
              </w:rPr>
            </w:pPr>
            <w:r w:rsidRPr="00463A37">
              <w:rPr>
                <w:rFonts w:ascii="Times New Roman" w:hAnsi="Times New Roman" w:cs="Times New Roman"/>
                <w:color w:val="000000"/>
              </w:rPr>
              <w:t>Menisko šaknų operacijų rinkinys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03BE202" w14:textId="77777777" w:rsidR="00463A37" w:rsidRPr="00463A37" w:rsidRDefault="00463A37" w:rsidP="005F5F5D">
            <w:pPr>
              <w:spacing w:after="0" w:line="240" w:lineRule="auto"/>
              <w:jc w:val="center"/>
              <w:rPr>
                <w:rFonts w:ascii="Times New Roman" w:hAnsi="Times New Roman" w:cs="Times New Roman"/>
                <w:color w:val="000000" w:themeColor="text1"/>
              </w:rPr>
            </w:pPr>
            <w:r w:rsidRPr="00463A37">
              <w:rPr>
                <w:rFonts w:ascii="Times New Roman" w:hAnsi="Times New Roman" w:cs="Times New Roman"/>
              </w:rPr>
              <w:t>2662,00</w:t>
            </w:r>
          </w:p>
        </w:tc>
      </w:tr>
      <w:tr w:rsidR="00463A37" w:rsidRPr="00463A37" w14:paraId="322D403B" w14:textId="77777777" w:rsidTr="00463A37">
        <w:trPr>
          <w:trHeight w:val="60"/>
        </w:trPr>
        <w:tc>
          <w:tcPr>
            <w:tcW w:w="1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6EA1B26" w14:textId="77777777" w:rsidR="00463A37" w:rsidRPr="00463A37" w:rsidRDefault="00463A37" w:rsidP="005F5F5D">
            <w:pPr>
              <w:pStyle w:val="Standard"/>
              <w:spacing w:after="0" w:line="240" w:lineRule="auto"/>
              <w:rPr>
                <w:color w:val="000000"/>
                <w:sz w:val="21"/>
                <w:szCs w:val="21"/>
                <w:lang w:val="en-US"/>
              </w:rPr>
            </w:pPr>
            <w:r w:rsidRPr="00463A37">
              <w:rPr>
                <w:color w:val="000000"/>
                <w:sz w:val="21"/>
                <w:szCs w:val="21"/>
                <w:lang w:val="en-US"/>
              </w:rPr>
              <w:t>2.</w:t>
            </w:r>
          </w:p>
        </w:tc>
        <w:tc>
          <w:tcPr>
            <w:tcW w:w="428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7E204F2D" w14:textId="77777777" w:rsidR="00463A37" w:rsidRPr="00463A37" w:rsidRDefault="00463A37" w:rsidP="005F5F5D">
            <w:pPr>
              <w:pStyle w:val="HTMLiankstoformatuotas"/>
              <w:jc w:val="both"/>
              <w:rPr>
                <w:rStyle w:val="y2iqfc"/>
                <w:rFonts w:ascii="Times New Roman" w:hAnsi="Times New Roman"/>
                <w:sz w:val="21"/>
                <w:szCs w:val="21"/>
              </w:rPr>
            </w:pPr>
            <w:proofErr w:type="spellStart"/>
            <w:r w:rsidRPr="00463A37">
              <w:rPr>
                <w:rStyle w:val="y2iqfc"/>
                <w:rFonts w:ascii="Times New Roman" w:hAnsi="Times New Roman"/>
                <w:sz w:val="21"/>
                <w:szCs w:val="21"/>
              </w:rPr>
              <w:t>Tvirtinimo</w:t>
            </w:r>
            <w:proofErr w:type="spellEnd"/>
            <w:r w:rsidRPr="00463A37">
              <w:rPr>
                <w:rStyle w:val="y2iqfc"/>
                <w:rFonts w:ascii="Times New Roman" w:hAnsi="Times New Roman"/>
                <w:sz w:val="21"/>
                <w:szCs w:val="21"/>
              </w:rPr>
              <w:t xml:space="preserve"> </w:t>
            </w:r>
            <w:proofErr w:type="spellStart"/>
            <w:r w:rsidRPr="00463A37">
              <w:rPr>
                <w:rStyle w:val="y2iqfc"/>
                <w:rFonts w:ascii="Times New Roman" w:hAnsi="Times New Roman"/>
                <w:sz w:val="21"/>
                <w:szCs w:val="21"/>
              </w:rPr>
              <w:t>sistema</w:t>
            </w:r>
            <w:proofErr w:type="spellEnd"/>
            <w:r w:rsidRPr="00463A37">
              <w:rPr>
                <w:rStyle w:val="y2iqfc"/>
                <w:rFonts w:ascii="Times New Roman" w:hAnsi="Times New Roman"/>
                <w:sz w:val="21"/>
                <w:szCs w:val="21"/>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8A7167" w14:textId="77777777" w:rsidR="00463A37" w:rsidRPr="00463A37" w:rsidRDefault="00463A37" w:rsidP="005F5F5D">
            <w:pPr>
              <w:spacing w:after="0" w:line="240" w:lineRule="auto"/>
              <w:jc w:val="center"/>
              <w:rPr>
                <w:rFonts w:ascii="Times New Roman" w:hAnsi="Times New Roman" w:cs="Times New Roman"/>
                <w:color w:val="000000" w:themeColor="text1"/>
              </w:rPr>
            </w:pPr>
            <w:r w:rsidRPr="00463A37">
              <w:rPr>
                <w:rFonts w:ascii="Times New Roman" w:hAnsi="Times New Roman" w:cs="Times New Roman"/>
              </w:rPr>
              <w:t>33600,00</w:t>
            </w:r>
          </w:p>
        </w:tc>
      </w:tr>
      <w:tr w:rsidR="00463A37" w:rsidRPr="00463A37" w14:paraId="5194F218" w14:textId="77777777" w:rsidTr="00463A37">
        <w:trPr>
          <w:trHeight w:val="60"/>
        </w:trPr>
        <w:tc>
          <w:tcPr>
            <w:tcW w:w="1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D05D9AC" w14:textId="77777777" w:rsidR="00463A37" w:rsidRPr="00463A37" w:rsidRDefault="00463A37" w:rsidP="005F5F5D">
            <w:pPr>
              <w:pStyle w:val="Standard"/>
              <w:spacing w:after="0" w:line="240" w:lineRule="auto"/>
              <w:rPr>
                <w:sz w:val="21"/>
                <w:szCs w:val="21"/>
                <w:lang w:val="en-US"/>
              </w:rPr>
            </w:pPr>
            <w:r w:rsidRPr="00463A37">
              <w:rPr>
                <w:sz w:val="21"/>
                <w:szCs w:val="21"/>
                <w:lang w:val="en-US"/>
              </w:rPr>
              <w:t>3.</w:t>
            </w:r>
          </w:p>
        </w:tc>
        <w:tc>
          <w:tcPr>
            <w:tcW w:w="428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347C64D7" w14:textId="77777777" w:rsidR="00463A37" w:rsidRPr="00463A37" w:rsidRDefault="00463A37" w:rsidP="005F5F5D">
            <w:pPr>
              <w:pStyle w:val="HTMLiankstoformatuotas"/>
              <w:jc w:val="both"/>
              <w:rPr>
                <w:rStyle w:val="y2iqfc"/>
                <w:rFonts w:ascii="Times New Roman" w:hAnsi="Times New Roman"/>
                <w:sz w:val="21"/>
                <w:szCs w:val="21"/>
              </w:rPr>
            </w:pPr>
            <w:proofErr w:type="spellStart"/>
            <w:r w:rsidRPr="00463A37">
              <w:rPr>
                <w:rFonts w:ascii="Times New Roman" w:hAnsi="Times New Roman"/>
                <w:sz w:val="21"/>
                <w:szCs w:val="21"/>
              </w:rPr>
              <w:t>Siūlai</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3355F47" w14:textId="77777777" w:rsidR="00463A37" w:rsidRPr="00463A37" w:rsidRDefault="00463A37" w:rsidP="005F5F5D">
            <w:pPr>
              <w:spacing w:after="0" w:line="240" w:lineRule="auto"/>
              <w:jc w:val="center"/>
              <w:rPr>
                <w:rFonts w:ascii="Times New Roman" w:hAnsi="Times New Roman" w:cs="Times New Roman"/>
              </w:rPr>
            </w:pPr>
            <w:r w:rsidRPr="00463A37">
              <w:rPr>
                <w:rFonts w:ascii="Times New Roman" w:hAnsi="Times New Roman" w:cs="Times New Roman"/>
              </w:rPr>
              <w:t>51200,00</w:t>
            </w:r>
          </w:p>
        </w:tc>
      </w:tr>
      <w:tr w:rsidR="00463A37" w:rsidRPr="00463A37" w14:paraId="7446076D" w14:textId="77777777" w:rsidTr="00463A37">
        <w:trPr>
          <w:trHeight w:val="60"/>
        </w:trPr>
        <w:tc>
          <w:tcPr>
            <w:tcW w:w="5661"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A18719D" w14:textId="77777777" w:rsidR="00463A37" w:rsidRPr="00463A37" w:rsidRDefault="00463A37" w:rsidP="005F5F5D">
            <w:pPr>
              <w:pStyle w:val="HTMLiankstoformatuotas"/>
              <w:jc w:val="right"/>
              <w:rPr>
                <w:rFonts w:ascii="Times New Roman" w:hAnsi="Times New Roman"/>
                <w:sz w:val="21"/>
                <w:szCs w:val="21"/>
              </w:rPr>
            </w:pPr>
            <w:proofErr w:type="spellStart"/>
            <w:r w:rsidRPr="00463A37">
              <w:rPr>
                <w:rFonts w:ascii="Times New Roman" w:hAnsi="Times New Roman"/>
                <w:sz w:val="21"/>
                <w:szCs w:val="21"/>
              </w:rPr>
              <w:t>Viso</w:t>
            </w:r>
            <w:proofErr w:type="spellEnd"/>
            <w:r w:rsidRPr="00463A37">
              <w:rPr>
                <w:rFonts w:ascii="Times New Roman" w:hAnsi="Times New Roman"/>
                <w:sz w:val="21"/>
                <w:szCs w:val="21"/>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6CB6747" w14:textId="77777777" w:rsidR="00463A37" w:rsidRPr="00463A37" w:rsidRDefault="00463A37" w:rsidP="005F5F5D">
            <w:pPr>
              <w:spacing w:after="0" w:line="240" w:lineRule="auto"/>
              <w:jc w:val="center"/>
              <w:rPr>
                <w:rFonts w:ascii="Times New Roman" w:hAnsi="Times New Roman" w:cs="Times New Roman"/>
              </w:rPr>
            </w:pPr>
            <w:r w:rsidRPr="00463A37">
              <w:rPr>
                <w:rFonts w:ascii="Times New Roman" w:hAnsi="Times New Roman" w:cs="Times New Roman"/>
              </w:rPr>
              <w:fldChar w:fldCharType="begin"/>
            </w:r>
            <w:r w:rsidRPr="00463A37">
              <w:rPr>
                <w:rFonts w:ascii="Times New Roman" w:hAnsi="Times New Roman" w:cs="Times New Roman"/>
              </w:rPr>
              <w:instrText xml:space="preserve"> =SUM(ABOVE) </w:instrText>
            </w:r>
            <w:r w:rsidRPr="00463A37">
              <w:rPr>
                <w:rFonts w:ascii="Times New Roman" w:hAnsi="Times New Roman" w:cs="Times New Roman"/>
              </w:rPr>
              <w:fldChar w:fldCharType="separate"/>
            </w:r>
            <w:r w:rsidRPr="00463A37">
              <w:rPr>
                <w:rFonts w:ascii="Times New Roman" w:hAnsi="Times New Roman" w:cs="Times New Roman"/>
                <w:noProof/>
              </w:rPr>
              <w:t>87462</w:t>
            </w:r>
            <w:r w:rsidRPr="00463A37">
              <w:rPr>
                <w:rFonts w:ascii="Times New Roman" w:hAnsi="Times New Roman" w:cs="Times New Roman"/>
              </w:rPr>
              <w:fldChar w:fldCharType="end"/>
            </w:r>
            <w:r w:rsidRPr="00463A37">
              <w:rPr>
                <w:rFonts w:ascii="Times New Roman" w:hAnsi="Times New Roman" w:cs="Times New Roman"/>
              </w:rPr>
              <w:t>,00</w:t>
            </w:r>
          </w:p>
        </w:tc>
      </w:tr>
    </w:tbl>
    <w:p w14:paraId="36280B02" w14:textId="4F2BA53F"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 xml:space="preserve">Pirkimas </w:t>
      </w:r>
      <w:r w:rsidR="00F46893">
        <w:rPr>
          <w:rFonts w:ascii="Times New Roman" w:eastAsiaTheme="minorHAnsi" w:hAnsi="Times New Roman" w:cs="Times New Roman"/>
          <w:b/>
          <w:bCs/>
        </w:rPr>
        <w:t>ne</w:t>
      </w:r>
      <w:r w:rsidRPr="00D5244C">
        <w:rPr>
          <w:rFonts w:ascii="Times New Roman" w:eastAsiaTheme="minorHAnsi" w:hAnsi="Times New Roman" w:cs="Times New Roman"/>
          <w:b/>
          <w:bCs/>
        </w:rPr>
        <w:t>skaidomas į dalis.</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09A682AE"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F46893">
              <w:rPr>
                <w:rFonts w:ascii="Times New Roman" w:hAnsi="Times New Roman" w:cs="Times New Roman"/>
              </w:rPr>
              <w:t>30</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7FB233AE" w:rsidR="0084319C" w:rsidRPr="00D5244C" w:rsidRDefault="00774AA5" w:rsidP="00F46893">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F46893">
              <w:rPr>
                <w:rFonts w:ascii="Times New Roman" w:hAnsi="Times New Roman" w:cs="Times New Roman"/>
              </w:rPr>
              <w:t>30</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67970910" w:rsidR="00774AA5" w:rsidRPr="00D5244C" w:rsidRDefault="005004BE" w:rsidP="005004BE">
            <w:pPr>
              <w:spacing w:after="0" w:line="240" w:lineRule="auto"/>
              <w:jc w:val="both"/>
              <w:rPr>
                <w:rFonts w:ascii="Times New Roman" w:hAnsi="Times New Roman" w:cs="Times New Roman"/>
                <w:iCs/>
              </w:rPr>
            </w:pPr>
            <w:r>
              <w:rPr>
                <w:rFonts w:ascii="Times New Roman" w:hAnsi="Times New Roman" w:cs="Times New Roman"/>
                <w:b/>
                <w:iCs/>
              </w:rPr>
              <w:t>60 dienų</w:t>
            </w:r>
            <w:bookmarkStart w:id="41" w:name="_GoBack"/>
            <w:bookmarkEnd w:id="41"/>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640F2F">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640F2F">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640F2F">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640F2F">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640F2F">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640F2F">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640F2F">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7035B5"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640F2F">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640F2F">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7035B5"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7035B5"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640F2F">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7035B5"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640F2F">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640F2F">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7035B5"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640F2F">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proofErr w:type="gramStart"/>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roofErr w:type="gramEnd"/>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77777777" w:rsidR="00A61AE9" w:rsidRDefault="00A61AE9" w:rsidP="00A61AE9">
      <w:pPr>
        <w:pStyle w:val="Body2"/>
        <w:spacing w:after="0"/>
        <w:ind w:firstLine="567"/>
        <w:rPr>
          <w:rFonts w:cs="Times New Roman"/>
          <w:b/>
          <w:color w:val="auto"/>
          <w:lang w:val="lt-LT"/>
        </w:rPr>
      </w:pPr>
      <w:r w:rsidRPr="00342FA0">
        <w:rPr>
          <w:color w:val="auto"/>
          <w:lang w:val="lt-LT"/>
        </w:rPr>
        <w:t xml:space="preserve">Perkančioji organizacija ekonomiškai </w:t>
      </w:r>
      <w:proofErr w:type="spellStart"/>
      <w:r w:rsidRPr="00335D1A">
        <w:rPr>
          <w:color w:val="auto"/>
        </w:rPr>
        <w:t>naudingiausią</w:t>
      </w:r>
      <w:proofErr w:type="spellEnd"/>
      <w:r w:rsidRPr="00335D1A">
        <w:rPr>
          <w:color w:val="auto"/>
        </w:rPr>
        <w:t xml:space="preserve"> </w:t>
      </w:r>
      <w:proofErr w:type="spellStart"/>
      <w:r w:rsidRPr="00335D1A">
        <w:rPr>
          <w:color w:val="auto"/>
        </w:rPr>
        <w:t>pasiūlymą</w:t>
      </w:r>
      <w:proofErr w:type="spellEnd"/>
      <w:r w:rsidRPr="00335D1A">
        <w:rPr>
          <w:color w:val="auto"/>
        </w:rPr>
        <w:t xml:space="preserve"> </w:t>
      </w:r>
      <w:proofErr w:type="spellStart"/>
      <w:r w:rsidRPr="00335D1A">
        <w:rPr>
          <w:color w:val="auto"/>
        </w:rPr>
        <w:t>išrenka</w:t>
      </w:r>
      <w:proofErr w:type="spellEnd"/>
      <w:r w:rsidRPr="00335D1A">
        <w:rPr>
          <w:color w:val="auto"/>
        </w:rPr>
        <w:t xml:space="preserve"> </w:t>
      </w:r>
      <w:proofErr w:type="spellStart"/>
      <w:r>
        <w:rPr>
          <w:color w:val="auto"/>
        </w:rPr>
        <w:t>pagal</w:t>
      </w:r>
      <w:proofErr w:type="spellEnd"/>
      <w:r>
        <w:rPr>
          <w:color w:val="auto"/>
        </w:rPr>
        <w:t xml:space="preserve"> </w:t>
      </w:r>
      <w:proofErr w:type="spellStart"/>
      <w:r>
        <w:rPr>
          <w:color w:val="auto"/>
        </w:rPr>
        <w:t>kainos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kokybės</w:t>
      </w:r>
      <w:proofErr w:type="spellEnd"/>
      <w:r>
        <w:rPr>
          <w:color w:val="auto"/>
        </w:rPr>
        <w:t xml:space="preserve"> </w:t>
      </w:r>
      <w:proofErr w:type="spellStart"/>
      <w:r>
        <w:rPr>
          <w:color w:val="auto"/>
        </w:rPr>
        <w:t>santykį</w:t>
      </w:r>
      <w:proofErr w:type="spellEnd"/>
      <w:r>
        <w:rPr>
          <w:color w:val="auto"/>
        </w:rPr>
        <w:t>.</w:t>
      </w:r>
      <w:r w:rsidRPr="00335D1A">
        <w:rPr>
          <w:color w:val="auto"/>
        </w:rPr>
        <w:t xml:space="preserve">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naudingiausias</w:t>
      </w:r>
      <w:proofErr w:type="spellEnd"/>
      <w:r w:rsidRPr="00335D1A">
        <w:rPr>
          <w:color w:val="auto"/>
        </w:rPr>
        <w:t xml:space="preserve"> </w:t>
      </w:r>
      <w:proofErr w:type="spellStart"/>
      <w:r w:rsidRPr="00335D1A">
        <w:rPr>
          <w:color w:val="auto"/>
        </w:rPr>
        <w:t>pasiūlymas</w:t>
      </w:r>
      <w:proofErr w:type="spellEnd"/>
      <w:r w:rsidRPr="00335D1A">
        <w:rPr>
          <w:color w:val="auto"/>
        </w:rPr>
        <w:t xml:space="preserve"> – </w:t>
      </w:r>
      <w:proofErr w:type="gramStart"/>
      <w:r w:rsidRPr="00335D1A">
        <w:rPr>
          <w:color w:val="auto"/>
        </w:rPr>
        <w:t>tai</w:t>
      </w:r>
      <w:proofErr w:type="gramEnd"/>
      <w:r w:rsidRPr="00335D1A">
        <w:rPr>
          <w:color w:val="auto"/>
        </w:rPr>
        <w:t xml:space="preserve"> </w:t>
      </w:r>
      <w:proofErr w:type="spellStart"/>
      <w:r w:rsidRPr="00335D1A">
        <w:rPr>
          <w:color w:val="auto"/>
        </w:rPr>
        <w:t>pasiūlymas</w:t>
      </w:r>
      <w:proofErr w:type="spellEnd"/>
      <w:r w:rsidRPr="00335D1A">
        <w:rPr>
          <w:color w:val="auto"/>
        </w:rPr>
        <w:t xml:space="preserve">, </w:t>
      </w:r>
      <w:proofErr w:type="spellStart"/>
      <w:r w:rsidRPr="00335D1A">
        <w:rPr>
          <w:color w:val="auto"/>
        </w:rPr>
        <w:t>kurio</w:t>
      </w:r>
      <w:proofErr w:type="spellEnd"/>
      <w:r w:rsidRPr="00335D1A">
        <w:rPr>
          <w:color w:val="auto"/>
        </w:rPr>
        <w:t xml:space="preserve"> </w:t>
      </w:r>
      <w:proofErr w:type="spellStart"/>
      <w:r w:rsidRPr="00335D1A">
        <w:rPr>
          <w:color w:val="auto"/>
        </w:rPr>
        <w:t>balų</w:t>
      </w:r>
      <w:proofErr w:type="spellEnd"/>
      <w:r w:rsidRPr="00335D1A">
        <w:rPr>
          <w:color w:val="auto"/>
        </w:rPr>
        <w:t xml:space="preserve"> </w:t>
      </w:r>
      <w:proofErr w:type="spellStart"/>
      <w:r w:rsidRPr="00335D1A">
        <w:rPr>
          <w:color w:val="auto"/>
        </w:rPr>
        <w:t>suma</w:t>
      </w:r>
      <w:proofErr w:type="spellEnd"/>
      <w:r w:rsidRPr="00335D1A">
        <w:rPr>
          <w:color w:val="auto"/>
        </w:rPr>
        <w:t xml:space="preserve"> </w:t>
      </w:r>
      <w:proofErr w:type="spellStart"/>
      <w:r w:rsidRPr="00335D1A">
        <w:rPr>
          <w:color w:val="auto"/>
        </w:rPr>
        <w:t>yra</w:t>
      </w:r>
      <w:proofErr w:type="spellEnd"/>
      <w:r w:rsidRPr="00335D1A">
        <w:rPr>
          <w:color w:val="auto"/>
        </w:rPr>
        <w:t xml:space="preserve"> </w:t>
      </w:r>
      <w:proofErr w:type="spellStart"/>
      <w:r w:rsidRPr="00335D1A">
        <w:rPr>
          <w:color w:val="auto"/>
        </w:rPr>
        <w:t>didžiausia</w:t>
      </w:r>
      <w:proofErr w:type="spellEnd"/>
      <w:r w:rsidRPr="00335D1A">
        <w:rPr>
          <w:color w:val="auto"/>
        </w:rPr>
        <w:t xml:space="preserve">. </w:t>
      </w:r>
      <w:r w:rsidRPr="00335D1A">
        <w:rPr>
          <w:rFonts w:cs="Times New Roman"/>
          <w:color w:val="auto"/>
          <w:lang w:val="lt-LT"/>
        </w:rPr>
        <w:t xml:space="preserve">Maksimali pasiūlymo (vertinamoji) </w:t>
      </w:r>
      <w:r w:rsidRPr="00C70555">
        <w:rPr>
          <w:rFonts w:cs="Times New Roman"/>
          <w:color w:val="auto"/>
          <w:lang w:val="lt-LT"/>
        </w:rPr>
        <w:t xml:space="preserve">kaina, kurią viršijus pasiūlymas bus atmestas </w:t>
      </w:r>
      <w:r w:rsidRPr="00335D1A">
        <w:rPr>
          <w:rFonts w:cs="Times New Roman"/>
          <w:color w:val="auto"/>
          <w:lang w:val="lt-LT"/>
        </w:rPr>
        <w:t>yra</w:t>
      </w:r>
      <w:r>
        <w:rPr>
          <w:rFonts w:cs="Times New Roman"/>
          <w:b/>
          <w:color w:val="auto"/>
          <w:lang w:val="lt-LT"/>
        </w:rPr>
        <w:t>:</w:t>
      </w:r>
    </w:p>
    <w:tbl>
      <w:tblPr>
        <w:tblW w:w="7195" w:type="dxa"/>
        <w:tblInd w:w="-108" w:type="dxa"/>
        <w:tblLayout w:type="fixed"/>
        <w:tblCellMar>
          <w:left w:w="10" w:type="dxa"/>
          <w:right w:w="10" w:type="dxa"/>
        </w:tblCellMar>
        <w:tblLook w:val="0000" w:firstRow="0" w:lastRow="0" w:firstColumn="0" w:lastColumn="0" w:noHBand="0" w:noVBand="0"/>
      </w:tblPr>
      <w:tblGrid>
        <w:gridCol w:w="783"/>
        <w:gridCol w:w="4282"/>
        <w:gridCol w:w="2130"/>
      </w:tblGrid>
      <w:tr w:rsidR="00A61AE9" w:rsidRPr="00AD308C" w14:paraId="22A0FC4A" w14:textId="77777777" w:rsidTr="005F5F5D">
        <w:trPr>
          <w:cantSplit/>
          <w:trHeight w:val="1134"/>
        </w:trPr>
        <w:tc>
          <w:tcPr>
            <w:tcW w:w="7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2C98D9" w14:textId="77777777" w:rsidR="00A61AE9" w:rsidRPr="00AD308C" w:rsidRDefault="00A61AE9" w:rsidP="005F5F5D">
            <w:pPr>
              <w:pStyle w:val="Standard"/>
              <w:spacing w:after="0" w:line="240" w:lineRule="auto"/>
              <w:rPr>
                <w:b/>
                <w:bCs/>
                <w:color w:val="000000"/>
                <w:sz w:val="20"/>
                <w:szCs w:val="20"/>
              </w:rPr>
            </w:pPr>
            <w:r w:rsidRPr="00AD308C">
              <w:rPr>
                <w:b/>
                <w:bCs/>
                <w:color w:val="000000"/>
                <w:sz w:val="20"/>
                <w:szCs w:val="20"/>
              </w:rPr>
              <w:t>Eil. Nr.</w:t>
            </w:r>
          </w:p>
        </w:tc>
        <w:tc>
          <w:tcPr>
            <w:tcW w:w="428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F0A164" w14:textId="77777777" w:rsidR="00A61AE9" w:rsidRPr="00AD308C" w:rsidRDefault="00A61AE9" w:rsidP="005F5F5D">
            <w:pPr>
              <w:pStyle w:val="Standard"/>
              <w:spacing w:after="0" w:line="240" w:lineRule="auto"/>
              <w:jc w:val="center"/>
              <w:rPr>
                <w:b/>
                <w:bCs/>
                <w:color w:val="000000"/>
                <w:sz w:val="20"/>
                <w:szCs w:val="20"/>
              </w:rPr>
            </w:pPr>
            <w:r w:rsidRPr="00AD308C">
              <w:rPr>
                <w:b/>
                <w:bCs/>
                <w:color w:val="000000"/>
                <w:sz w:val="20"/>
                <w:szCs w:val="20"/>
              </w:rPr>
              <w:t>Prekės pavadinimas</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14:paraId="6F6C23A9" w14:textId="77777777" w:rsidR="00A61AE9" w:rsidRPr="00AD308C" w:rsidRDefault="00A61AE9" w:rsidP="005F5F5D">
            <w:pPr>
              <w:pStyle w:val="Betarp1"/>
              <w:snapToGrid w:val="0"/>
              <w:ind w:left="141"/>
              <w:jc w:val="center"/>
              <w:rPr>
                <w:b/>
                <w:color w:val="000000"/>
                <w:sz w:val="20"/>
                <w:szCs w:val="20"/>
                <w:lang w:val="lt-LT"/>
              </w:rPr>
            </w:pPr>
            <w:r w:rsidRPr="00AD308C">
              <w:rPr>
                <w:b/>
                <w:bCs/>
                <w:sz w:val="20"/>
                <w:szCs w:val="20"/>
                <w:lang w:val="pt-BR"/>
              </w:rPr>
              <w:t>Pasiūlymo kaina, € su PVM</w:t>
            </w:r>
          </w:p>
        </w:tc>
      </w:tr>
      <w:tr w:rsidR="00A61AE9" w:rsidRPr="00AD308C" w14:paraId="36B0D521" w14:textId="77777777" w:rsidTr="005F5F5D">
        <w:trPr>
          <w:trHeight w:val="60"/>
        </w:trPr>
        <w:tc>
          <w:tcPr>
            <w:tcW w:w="78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4FB59F5" w14:textId="77777777" w:rsidR="00A61AE9" w:rsidRPr="00AD308C" w:rsidRDefault="00A61AE9" w:rsidP="005F5F5D">
            <w:pPr>
              <w:pStyle w:val="Standard"/>
              <w:spacing w:after="0" w:line="240" w:lineRule="auto"/>
              <w:rPr>
                <w:b/>
                <w:color w:val="000000"/>
                <w:sz w:val="20"/>
                <w:szCs w:val="20"/>
                <w:lang w:val="en-US"/>
              </w:rPr>
            </w:pPr>
            <w:r w:rsidRPr="00AD308C">
              <w:rPr>
                <w:b/>
                <w:color w:val="000000"/>
                <w:sz w:val="20"/>
                <w:szCs w:val="20"/>
                <w:lang w:val="en-US"/>
              </w:rPr>
              <w:t>1.</w:t>
            </w:r>
          </w:p>
        </w:tc>
        <w:tc>
          <w:tcPr>
            <w:tcW w:w="4282" w:type="dxa"/>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9B6D2E4" w14:textId="77777777" w:rsidR="00A61AE9" w:rsidRPr="00AD308C" w:rsidRDefault="00A61AE9" w:rsidP="005F5F5D">
            <w:pPr>
              <w:spacing w:after="0" w:line="240" w:lineRule="auto"/>
              <w:jc w:val="both"/>
              <w:rPr>
                <w:rFonts w:ascii="Times New Roman" w:hAnsi="Times New Roman" w:cs="Times New Roman"/>
                <w:b/>
                <w:color w:val="000000"/>
                <w:sz w:val="20"/>
                <w:szCs w:val="20"/>
              </w:rPr>
            </w:pPr>
            <w:r w:rsidRPr="00AD308C">
              <w:rPr>
                <w:rFonts w:ascii="Times New Roman" w:hAnsi="Times New Roman" w:cs="Times New Roman"/>
                <w:b/>
                <w:color w:val="000000"/>
                <w:sz w:val="20"/>
                <w:szCs w:val="20"/>
              </w:rPr>
              <w:t>Menisko šaknų operacijų rinkinys</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14:paraId="45C521DC" w14:textId="77777777" w:rsidR="00A61AE9" w:rsidRPr="00AD308C" w:rsidRDefault="00A61AE9" w:rsidP="005F5F5D">
            <w:pPr>
              <w:spacing w:after="0" w:line="240" w:lineRule="auto"/>
              <w:jc w:val="center"/>
              <w:rPr>
                <w:rFonts w:ascii="Times New Roman" w:hAnsi="Times New Roman" w:cs="Times New Roman"/>
                <w:color w:val="000000" w:themeColor="text1"/>
                <w:sz w:val="20"/>
                <w:szCs w:val="20"/>
              </w:rPr>
            </w:pPr>
            <w:r w:rsidRPr="00AD308C">
              <w:rPr>
                <w:rFonts w:ascii="Times New Roman" w:hAnsi="Times New Roman" w:cs="Times New Roman"/>
                <w:sz w:val="20"/>
                <w:szCs w:val="20"/>
              </w:rPr>
              <w:t>2662,00</w:t>
            </w:r>
          </w:p>
        </w:tc>
      </w:tr>
      <w:tr w:rsidR="00A61AE9" w:rsidRPr="00AD308C" w14:paraId="1F251357" w14:textId="77777777" w:rsidTr="005F5F5D">
        <w:trPr>
          <w:trHeight w:val="60"/>
        </w:trPr>
        <w:tc>
          <w:tcPr>
            <w:tcW w:w="7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8ED3585" w14:textId="77777777" w:rsidR="00A61AE9" w:rsidRPr="00AD308C" w:rsidRDefault="00A61AE9" w:rsidP="005F5F5D">
            <w:pPr>
              <w:pStyle w:val="Standard"/>
              <w:spacing w:after="0" w:line="240" w:lineRule="auto"/>
              <w:rPr>
                <w:b/>
                <w:color w:val="000000"/>
                <w:sz w:val="20"/>
                <w:szCs w:val="20"/>
                <w:lang w:val="en-US"/>
              </w:rPr>
            </w:pPr>
            <w:r w:rsidRPr="00AD308C">
              <w:rPr>
                <w:b/>
                <w:color w:val="000000"/>
                <w:sz w:val="20"/>
                <w:szCs w:val="20"/>
                <w:lang w:val="en-US"/>
              </w:rPr>
              <w:t>2.</w:t>
            </w:r>
          </w:p>
        </w:tc>
        <w:tc>
          <w:tcPr>
            <w:tcW w:w="428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7F2B03AF" w14:textId="77777777" w:rsidR="00A61AE9" w:rsidRPr="00AD308C" w:rsidRDefault="00A61AE9" w:rsidP="005F5F5D">
            <w:pPr>
              <w:pStyle w:val="HTMLiankstoformatuotas"/>
              <w:jc w:val="both"/>
              <w:rPr>
                <w:rStyle w:val="y2iqfc"/>
                <w:rFonts w:ascii="Times New Roman" w:hAnsi="Times New Roman"/>
                <w:b/>
              </w:rPr>
            </w:pPr>
            <w:proofErr w:type="spellStart"/>
            <w:r w:rsidRPr="00AD308C">
              <w:rPr>
                <w:rStyle w:val="y2iqfc"/>
                <w:rFonts w:ascii="Times New Roman" w:hAnsi="Times New Roman"/>
                <w:b/>
              </w:rPr>
              <w:t>Tvirtinimo</w:t>
            </w:r>
            <w:proofErr w:type="spellEnd"/>
            <w:r w:rsidRPr="00AD308C">
              <w:rPr>
                <w:rStyle w:val="y2iqfc"/>
                <w:rFonts w:ascii="Times New Roman" w:hAnsi="Times New Roman"/>
                <w:b/>
              </w:rPr>
              <w:t xml:space="preserve"> </w:t>
            </w:r>
            <w:proofErr w:type="spellStart"/>
            <w:r w:rsidRPr="00AD308C">
              <w:rPr>
                <w:rStyle w:val="y2iqfc"/>
                <w:rFonts w:ascii="Times New Roman" w:hAnsi="Times New Roman"/>
                <w:b/>
              </w:rPr>
              <w:t>sistema</w:t>
            </w:r>
            <w:proofErr w:type="spellEnd"/>
            <w:r w:rsidRPr="00AD308C">
              <w:rPr>
                <w:rStyle w:val="y2iqfc"/>
                <w:rFonts w:ascii="Times New Roman" w:hAnsi="Times New Roman"/>
                <w:b/>
              </w:rPr>
              <w:t xml:space="preserve"> </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14:paraId="30393EA5" w14:textId="77777777" w:rsidR="00A61AE9" w:rsidRPr="00AD308C" w:rsidRDefault="00A61AE9" w:rsidP="005F5F5D">
            <w:pPr>
              <w:spacing w:after="0" w:line="240" w:lineRule="auto"/>
              <w:jc w:val="center"/>
              <w:rPr>
                <w:rFonts w:ascii="Times New Roman" w:hAnsi="Times New Roman" w:cs="Times New Roman"/>
                <w:color w:val="000000" w:themeColor="text1"/>
                <w:sz w:val="20"/>
                <w:szCs w:val="20"/>
              </w:rPr>
            </w:pPr>
            <w:r w:rsidRPr="00AD308C">
              <w:rPr>
                <w:rFonts w:ascii="Times New Roman" w:hAnsi="Times New Roman" w:cs="Times New Roman"/>
                <w:sz w:val="20"/>
                <w:szCs w:val="20"/>
              </w:rPr>
              <w:t>33600,00</w:t>
            </w:r>
          </w:p>
        </w:tc>
      </w:tr>
      <w:tr w:rsidR="00A61AE9" w:rsidRPr="00AD308C" w14:paraId="1DF8591E" w14:textId="77777777" w:rsidTr="005F5F5D">
        <w:trPr>
          <w:trHeight w:val="60"/>
        </w:trPr>
        <w:tc>
          <w:tcPr>
            <w:tcW w:w="7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C63AA73" w14:textId="77777777" w:rsidR="00A61AE9" w:rsidRPr="00AD308C" w:rsidRDefault="00A61AE9" w:rsidP="005F5F5D">
            <w:pPr>
              <w:pStyle w:val="Standard"/>
              <w:spacing w:after="0" w:line="240" w:lineRule="auto"/>
              <w:rPr>
                <w:b/>
                <w:sz w:val="20"/>
                <w:szCs w:val="20"/>
                <w:lang w:val="en-US"/>
              </w:rPr>
            </w:pPr>
            <w:r w:rsidRPr="00AD308C">
              <w:rPr>
                <w:b/>
                <w:sz w:val="20"/>
                <w:szCs w:val="20"/>
                <w:lang w:val="en-US"/>
              </w:rPr>
              <w:t>3.</w:t>
            </w:r>
          </w:p>
        </w:tc>
        <w:tc>
          <w:tcPr>
            <w:tcW w:w="428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468EE04F" w14:textId="77777777" w:rsidR="00A61AE9" w:rsidRPr="00AD308C" w:rsidRDefault="00A61AE9" w:rsidP="005F5F5D">
            <w:pPr>
              <w:pStyle w:val="HTMLiankstoformatuotas"/>
              <w:jc w:val="both"/>
              <w:rPr>
                <w:rStyle w:val="y2iqfc"/>
                <w:rFonts w:ascii="Times New Roman" w:hAnsi="Times New Roman"/>
                <w:b/>
              </w:rPr>
            </w:pPr>
            <w:proofErr w:type="spellStart"/>
            <w:r w:rsidRPr="00AD308C">
              <w:rPr>
                <w:rFonts w:ascii="Times New Roman" w:hAnsi="Times New Roman"/>
                <w:b/>
              </w:rPr>
              <w:t>Siūlai</w:t>
            </w:r>
            <w:proofErr w:type="spellEnd"/>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14:paraId="72400B24" w14:textId="77777777" w:rsidR="00A61AE9" w:rsidRPr="00AD308C" w:rsidRDefault="00A61AE9" w:rsidP="005F5F5D">
            <w:pPr>
              <w:spacing w:after="0" w:line="240" w:lineRule="auto"/>
              <w:jc w:val="center"/>
              <w:rPr>
                <w:rFonts w:ascii="Times New Roman" w:hAnsi="Times New Roman" w:cs="Times New Roman"/>
                <w:sz w:val="20"/>
                <w:szCs w:val="20"/>
              </w:rPr>
            </w:pPr>
            <w:r w:rsidRPr="00AD308C">
              <w:rPr>
                <w:rFonts w:ascii="Times New Roman" w:hAnsi="Times New Roman" w:cs="Times New Roman"/>
                <w:sz w:val="20"/>
                <w:szCs w:val="20"/>
              </w:rPr>
              <w:t>51200,00</w:t>
            </w:r>
          </w:p>
        </w:tc>
      </w:tr>
      <w:tr w:rsidR="00A61AE9" w:rsidRPr="00AD308C" w14:paraId="72D99693" w14:textId="77777777" w:rsidTr="005F5F5D">
        <w:trPr>
          <w:trHeight w:val="60"/>
        </w:trPr>
        <w:tc>
          <w:tcPr>
            <w:tcW w:w="5065"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B7FA33F" w14:textId="77777777" w:rsidR="00A61AE9" w:rsidRPr="00AD308C" w:rsidRDefault="00A61AE9" w:rsidP="005F5F5D">
            <w:pPr>
              <w:pStyle w:val="HTMLiankstoformatuotas"/>
              <w:jc w:val="right"/>
              <w:rPr>
                <w:rFonts w:ascii="Times New Roman" w:hAnsi="Times New Roman"/>
                <w:b/>
              </w:rPr>
            </w:pPr>
            <w:proofErr w:type="spellStart"/>
            <w:r w:rsidRPr="00AD308C">
              <w:rPr>
                <w:rFonts w:ascii="Times New Roman" w:hAnsi="Times New Roman"/>
                <w:b/>
              </w:rPr>
              <w:t>Viso</w:t>
            </w:r>
            <w:proofErr w:type="spellEnd"/>
            <w:r w:rsidRPr="00AD308C">
              <w:rPr>
                <w:rFonts w:ascii="Times New Roman" w:hAnsi="Times New Roman"/>
                <w:b/>
              </w:rPr>
              <w:t>:</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14:paraId="4AA68F70" w14:textId="77777777" w:rsidR="00A61AE9" w:rsidRPr="00AD308C" w:rsidRDefault="00A61AE9" w:rsidP="005F5F5D">
            <w:pPr>
              <w:spacing w:after="0" w:line="240" w:lineRule="auto"/>
              <w:jc w:val="center"/>
              <w:rPr>
                <w:rFonts w:ascii="Times New Roman" w:hAnsi="Times New Roman" w:cs="Times New Roman"/>
                <w:sz w:val="20"/>
                <w:szCs w:val="20"/>
              </w:rPr>
            </w:pPr>
            <w:r w:rsidRPr="00AD308C">
              <w:rPr>
                <w:rFonts w:ascii="Times New Roman" w:hAnsi="Times New Roman" w:cs="Times New Roman"/>
                <w:sz w:val="20"/>
                <w:szCs w:val="20"/>
              </w:rPr>
              <w:fldChar w:fldCharType="begin"/>
            </w:r>
            <w:r w:rsidRPr="00AD308C">
              <w:rPr>
                <w:rFonts w:ascii="Times New Roman" w:hAnsi="Times New Roman" w:cs="Times New Roman"/>
                <w:sz w:val="20"/>
                <w:szCs w:val="20"/>
              </w:rPr>
              <w:instrText xml:space="preserve"> =SUM(ABOVE) </w:instrText>
            </w:r>
            <w:r w:rsidRPr="00AD308C">
              <w:rPr>
                <w:rFonts w:ascii="Times New Roman" w:hAnsi="Times New Roman" w:cs="Times New Roman"/>
                <w:sz w:val="20"/>
                <w:szCs w:val="20"/>
              </w:rPr>
              <w:fldChar w:fldCharType="separate"/>
            </w:r>
            <w:r w:rsidRPr="00AD308C">
              <w:rPr>
                <w:rFonts w:ascii="Times New Roman" w:hAnsi="Times New Roman" w:cs="Times New Roman"/>
                <w:noProof/>
                <w:sz w:val="20"/>
                <w:szCs w:val="20"/>
              </w:rPr>
              <w:t>87462</w:t>
            </w:r>
            <w:r w:rsidRPr="00AD308C">
              <w:rPr>
                <w:rFonts w:ascii="Times New Roman" w:hAnsi="Times New Roman" w:cs="Times New Roman"/>
                <w:sz w:val="20"/>
                <w:szCs w:val="20"/>
              </w:rPr>
              <w:fldChar w:fldCharType="end"/>
            </w:r>
            <w:r w:rsidRPr="00AD308C">
              <w:rPr>
                <w:rFonts w:ascii="Times New Roman" w:hAnsi="Times New Roman" w:cs="Times New Roman"/>
                <w:sz w:val="20"/>
                <w:szCs w:val="20"/>
              </w:rPr>
              <w:t>,00</w:t>
            </w:r>
          </w:p>
        </w:tc>
      </w:tr>
    </w:tbl>
    <w:p w14:paraId="20726BE8" w14:textId="77777777" w:rsidR="00A61AE9" w:rsidRDefault="00A61AE9" w:rsidP="00A61AE9">
      <w:pPr>
        <w:pStyle w:val="Body2"/>
        <w:spacing w:after="0"/>
        <w:ind w:firstLine="567"/>
        <w:rPr>
          <w:rFonts w:cs="Times New Roman"/>
          <w:b/>
          <w:color w:val="auto"/>
          <w:lang w:val="lt-LT"/>
        </w:rPr>
      </w:pPr>
    </w:p>
    <w:p w14:paraId="60A26956" w14:textId="77777777" w:rsidR="00A61AE9" w:rsidRPr="00C70555" w:rsidRDefault="00A61AE9" w:rsidP="00A61AE9">
      <w:pPr>
        <w:pStyle w:val="Body2"/>
        <w:spacing w:after="0"/>
        <w:ind w:firstLine="567"/>
        <w:rPr>
          <w:rFonts w:cs="Times New Roman"/>
          <w:b/>
          <w:color w:val="auto"/>
          <w:lang w:val="lt-LT"/>
        </w:rPr>
      </w:pPr>
    </w:p>
    <w:p w14:paraId="51B00213" w14:textId="77777777" w:rsidR="00A61AE9" w:rsidRPr="0090336C" w:rsidRDefault="00A61AE9" w:rsidP="00A61AE9">
      <w:pPr>
        <w:spacing w:after="0" w:line="240" w:lineRule="auto"/>
        <w:jc w:val="center"/>
        <w:rPr>
          <w:rFonts w:ascii="Times New Roman" w:hAnsi="Times New Roman" w:cs="Times New Roman"/>
          <w:b/>
        </w:rPr>
      </w:pPr>
      <w:r w:rsidRPr="0090336C">
        <w:rPr>
          <w:rFonts w:ascii="Times New Roman" w:hAnsi="Times New Roman" w:cs="Times New Roman"/>
          <w:b/>
        </w:rPr>
        <w:t>TIEKĖJO SIŪLOMOS PAGRINDINĖS TECHNINĖS CHARAKTERISTIKOS:</w:t>
      </w:r>
    </w:p>
    <w:tbl>
      <w:tblPr>
        <w:tblStyle w:val="Lentelstinklelis"/>
        <w:tblW w:w="0" w:type="auto"/>
        <w:tblInd w:w="0" w:type="dxa"/>
        <w:tblLook w:val="04A0" w:firstRow="1" w:lastRow="0" w:firstColumn="1" w:lastColumn="0" w:noHBand="0" w:noVBand="1"/>
      </w:tblPr>
      <w:tblGrid>
        <w:gridCol w:w="558"/>
        <w:gridCol w:w="2839"/>
        <w:gridCol w:w="2694"/>
        <w:gridCol w:w="1643"/>
        <w:gridCol w:w="1697"/>
      </w:tblGrid>
      <w:tr w:rsidR="00A61AE9" w:rsidRPr="0090336C" w14:paraId="0A36AE41" w14:textId="77777777" w:rsidTr="005F5F5D">
        <w:tc>
          <w:tcPr>
            <w:tcW w:w="558" w:type="dxa"/>
            <w:vMerge w:val="restart"/>
            <w:vAlign w:val="center"/>
          </w:tcPr>
          <w:p w14:paraId="684C7A14" w14:textId="77777777" w:rsidR="00A61AE9" w:rsidRPr="0090336C" w:rsidRDefault="00A61AE9" w:rsidP="005F5F5D">
            <w:pPr>
              <w:jc w:val="center"/>
              <w:rPr>
                <w:rFonts w:hAnsi="Times New Roman" w:cs="Times New Roman"/>
                <w:b/>
              </w:rPr>
            </w:pPr>
            <w:r w:rsidRPr="0090336C">
              <w:rPr>
                <w:rFonts w:hAnsi="Times New Roman" w:cs="Times New Roman"/>
                <w:b/>
              </w:rPr>
              <w:t>Nr.</w:t>
            </w:r>
          </w:p>
        </w:tc>
        <w:tc>
          <w:tcPr>
            <w:tcW w:w="2839" w:type="dxa"/>
            <w:vMerge w:val="restart"/>
            <w:vAlign w:val="center"/>
          </w:tcPr>
          <w:p w14:paraId="58F42FAD" w14:textId="77777777" w:rsidR="00A61AE9" w:rsidRPr="0090336C" w:rsidRDefault="00A61AE9" w:rsidP="005F5F5D">
            <w:pPr>
              <w:jc w:val="center"/>
              <w:rPr>
                <w:rFonts w:hAnsi="Times New Roman" w:cs="Times New Roman"/>
                <w:b/>
              </w:rPr>
            </w:pPr>
            <w:r w:rsidRPr="0090336C">
              <w:rPr>
                <w:rFonts w:hAnsi="Times New Roman" w:cs="Times New Roman"/>
                <w:b/>
                <w:sz w:val="22"/>
                <w:szCs w:val="22"/>
              </w:rPr>
              <w:t>Vertinimo kriterijai</w:t>
            </w:r>
          </w:p>
        </w:tc>
        <w:tc>
          <w:tcPr>
            <w:tcW w:w="2694" w:type="dxa"/>
            <w:shd w:val="clear" w:color="auto" w:fill="FFFF00"/>
            <w:vAlign w:val="center"/>
          </w:tcPr>
          <w:p w14:paraId="2AD5D498" w14:textId="77777777" w:rsidR="00A61AE9" w:rsidRPr="0090336C" w:rsidRDefault="00A61AE9" w:rsidP="005F5F5D">
            <w:pPr>
              <w:jc w:val="center"/>
              <w:rPr>
                <w:rFonts w:hAnsi="Times New Roman" w:cs="Times New Roman"/>
                <w:b/>
                <w:bCs/>
              </w:rPr>
            </w:pPr>
            <w:r w:rsidRPr="0090336C">
              <w:rPr>
                <w:rFonts w:hAnsi="Times New Roman" w:cs="Times New Roman"/>
                <w:b/>
                <w:bCs/>
                <w:color w:val="0070C0"/>
              </w:rPr>
              <w:t>TIEKĖJAS TEIKDAMAS PASIŪLYMĄ UŽPILDO ŽEMIAU ESANČIĄ LENTELĘ</w:t>
            </w:r>
          </w:p>
        </w:tc>
        <w:tc>
          <w:tcPr>
            <w:tcW w:w="1643" w:type="dxa"/>
            <w:vMerge w:val="restart"/>
            <w:vAlign w:val="center"/>
          </w:tcPr>
          <w:p w14:paraId="68498F67" w14:textId="77777777" w:rsidR="00A61AE9" w:rsidRPr="0090336C" w:rsidRDefault="00A61AE9" w:rsidP="005F5F5D">
            <w:pPr>
              <w:jc w:val="center"/>
              <w:rPr>
                <w:rFonts w:hAnsi="Times New Roman" w:cs="Times New Roman"/>
                <w:b/>
              </w:rPr>
            </w:pPr>
            <w:r w:rsidRPr="0090336C">
              <w:rPr>
                <w:rFonts w:hAnsi="Times New Roman" w:cs="Times New Roman"/>
                <w:b/>
                <w:sz w:val="22"/>
                <w:szCs w:val="22"/>
              </w:rPr>
              <w:t>Kriterijaus parametro lyginamasis svoris</w:t>
            </w:r>
          </w:p>
        </w:tc>
        <w:tc>
          <w:tcPr>
            <w:tcW w:w="1697" w:type="dxa"/>
            <w:vMerge w:val="restart"/>
            <w:vAlign w:val="center"/>
          </w:tcPr>
          <w:p w14:paraId="690F477E" w14:textId="77777777" w:rsidR="00A61AE9" w:rsidRPr="0090336C" w:rsidRDefault="00A61AE9" w:rsidP="005F5F5D">
            <w:pPr>
              <w:jc w:val="center"/>
              <w:rPr>
                <w:rFonts w:hAnsi="Times New Roman" w:cs="Times New Roman"/>
                <w:b/>
                <w:sz w:val="22"/>
                <w:szCs w:val="22"/>
              </w:rPr>
            </w:pPr>
            <w:r w:rsidRPr="0090336C">
              <w:rPr>
                <w:rFonts w:hAnsi="Times New Roman" w:cs="Times New Roman"/>
                <w:b/>
                <w:sz w:val="22"/>
                <w:szCs w:val="22"/>
              </w:rPr>
              <w:t>Kriterijaus parametro tipas</w:t>
            </w:r>
          </w:p>
        </w:tc>
      </w:tr>
      <w:tr w:rsidR="00A61AE9" w:rsidRPr="0090336C" w14:paraId="4ED6D9BB" w14:textId="77777777" w:rsidTr="005F5F5D">
        <w:tc>
          <w:tcPr>
            <w:tcW w:w="558" w:type="dxa"/>
            <w:vMerge/>
            <w:vAlign w:val="center"/>
          </w:tcPr>
          <w:p w14:paraId="6EC7A24B" w14:textId="77777777" w:rsidR="00A61AE9" w:rsidRPr="0090336C" w:rsidRDefault="00A61AE9" w:rsidP="005F5F5D">
            <w:pPr>
              <w:jc w:val="center"/>
              <w:rPr>
                <w:rFonts w:hAnsi="Times New Roman" w:cs="Times New Roman"/>
                <w:b/>
                <w:color w:val="00B0F0"/>
              </w:rPr>
            </w:pPr>
          </w:p>
        </w:tc>
        <w:tc>
          <w:tcPr>
            <w:tcW w:w="2839" w:type="dxa"/>
            <w:vMerge/>
            <w:vAlign w:val="center"/>
          </w:tcPr>
          <w:p w14:paraId="7BA9F74D" w14:textId="77777777" w:rsidR="00A61AE9" w:rsidRPr="0090336C" w:rsidRDefault="00A61AE9" w:rsidP="005F5F5D">
            <w:pPr>
              <w:jc w:val="center"/>
              <w:rPr>
                <w:rFonts w:hAnsi="Times New Roman" w:cs="Times New Roman"/>
                <w:b/>
                <w:color w:val="00B0F0"/>
              </w:rPr>
            </w:pPr>
          </w:p>
        </w:tc>
        <w:tc>
          <w:tcPr>
            <w:tcW w:w="2694" w:type="dxa"/>
            <w:vAlign w:val="center"/>
          </w:tcPr>
          <w:p w14:paraId="42814014" w14:textId="77777777" w:rsidR="00A61AE9" w:rsidRPr="0090336C" w:rsidRDefault="00A61AE9" w:rsidP="005F5F5D">
            <w:pPr>
              <w:jc w:val="center"/>
              <w:rPr>
                <w:rFonts w:hAnsi="Times New Roman" w:cs="Times New Roman"/>
                <w:b/>
                <w:bCs/>
                <w:color w:val="00B0F0"/>
              </w:rPr>
            </w:pPr>
            <w:r w:rsidRPr="0090336C">
              <w:rPr>
                <w:rFonts w:hAnsi="Times New Roman" w:cs="Times New Roman"/>
                <w:b/>
                <w:bCs/>
              </w:rPr>
              <w:t>Siūloma parametro reikšmė</w:t>
            </w:r>
          </w:p>
        </w:tc>
        <w:tc>
          <w:tcPr>
            <w:tcW w:w="1643" w:type="dxa"/>
            <w:vMerge/>
            <w:vAlign w:val="center"/>
          </w:tcPr>
          <w:p w14:paraId="738429E3" w14:textId="77777777" w:rsidR="00A61AE9" w:rsidRPr="0090336C" w:rsidRDefault="00A61AE9" w:rsidP="005F5F5D">
            <w:pPr>
              <w:jc w:val="center"/>
              <w:rPr>
                <w:rFonts w:hAnsi="Times New Roman" w:cs="Times New Roman"/>
                <w:b/>
                <w:color w:val="00B0F0"/>
              </w:rPr>
            </w:pPr>
          </w:p>
        </w:tc>
        <w:tc>
          <w:tcPr>
            <w:tcW w:w="1697" w:type="dxa"/>
            <w:vMerge/>
          </w:tcPr>
          <w:p w14:paraId="3047D583" w14:textId="77777777" w:rsidR="00A61AE9" w:rsidRPr="0090336C" w:rsidRDefault="00A61AE9" w:rsidP="005F5F5D">
            <w:pPr>
              <w:jc w:val="center"/>
              <w:rPr>
                <w:rFonts w:hAnsi="Times New Roman" w:cs="Times New Roman"/>
                <w:sz w:val="22"/>
                <w:szCs w:val="22"/>
              </w:rPr>
            </w:pPr>
          </w:p>
        </w:tc>
      </w:tr>
      <w:tr w:rsidR="00A61AE9" w:rsidRPr="0090336C" w14:paraId="5022E96D" w14:textId="77777777" w:rsidTr="005F5F5D">
        <w:tc>
          <w:tcPr>
            <w:tcW w:w="558" w:type="dxa"/>
            <w:shd w:val="clear" w:color="auto" w:fill="auto"/>
            <w:vAlign w:val="center"/>
          </w:tcPr>
          <w:p w14:paraId="236BBE4A" w14:textId="77777777" w:rsidR="00A61AE9" w:rsidRPr="0090336C" w:rsidRDefault="00A61AE9" w:rsidP="005F5F5D">
            <w:pPr>
              <w:jc w:val="center"/>
              <w:rPr>
                <w:rFonts w:hAnsi="Times New Roman" w:cs="Times New Roman"/>
              </w:rPr>
            </w:pPr>
            <w:r w:rsidRPr="0090336C">
              <w:rPr>
                <w:rFonts w:hAnsi="Times New Roman" w:cs="Times New Roman"/>
              </w:rPr>
              <w:t>T</w:t>
            </w:r>
          </w:p>
        </w:tc>
        <w:tc>
          <w:tcPr>
            <w:tcW w:w="2839" w:type="dxa"/>
            <w:shd w:val="clear" w:color="auto" w:fill="auto"/>
            <w:vAlign w:val="center"/>
          </w:tcPr>
          <w:p w14:paraId="776FF12D" w14:textId="77777777" w:rsidR="00A61AE9" w:rsidRPr="0090336C" w:rsidRDefault="00A61AE9" w:rsidP="005F5F5D">
            <w:pPr>
              <w:rPr>
                <w:rFonts w:hAnsi="Times New Roman" w:cs="Times New Roman"/>
                <w:bCs/>
              </w:rPr>
            </w:pPr>
            <w:r w:rsidRPr="0090336C">
              <w:rPr>
                <w:rFonts w:hAnsi="Times New Roman" w:cs="Times New Roman"/>
                <w:bCs/>
              </w:rPr>
              <w:t xml:space="preserve">Garantinių įsipareigojimų užtikrinimo pratęsimas </w:t>
            </w:r>
          </w:p>
        </w:tc>
        <w:tc>
          <w:tcPr>
            <w:tcW w:w="2694" w:type="dxa"/>
            <w:shd w:val="clear" w:color="auto" w:fill="FFFF00"/>
          </w:tcPr>
          <w:p w14:paraId="1C843274" w14:textId="77777777" w:rsidR="00A61AE9" w:rsidRPr="0090336C" w:rsidRDefault="00A61AE9" w:rsidP="005F5F5D">
            <w:pPr>
              <w:jc w:val="center"/>
              <w:rPr>
                <w:rFonts w:hAnsi="Times New Roman" w:cs="Times New Roman"/>
                <w:b/>
                <w:bCs/>
              </w:rPr>
            </w:pPr>
          </w:p>
        </w:tc>
        <w:tc>
          <w:tcPr>
            <w:tcW w:w="1643" w:type="dxa"/>
            <w:shd w:val="clear" w:color="auto" w:fill="auto"/>
            <w:vAlign w:val="center"/>
          </w:tcPr>
          <w:p w14:paraId="16903D39" w14:textId="77777777" w:rsidR="00A61AE9" w:rsidRPr="0090336C" w:rsidRDefault="00A61AE9" w:rsidP="005F5F5D">
            <w:pPr>
              <w:jc w:val="center"/>
              <w:rPr>
                <w:rFonts w:hAnsi="Times New Roman" w:cs="Times New Roman"/>
              </w:rPr>
            </w:pPr>
            <w:r>
              <w:rPr>
                <w:rFonts w:hAnsi="Times New Roman" w:cs="Times New Roman"/>
              </w:rPr>
              <w:t>0-5</w:t>
            </w:r>
            <w:r w:rsidRPr="0090336C">
              <w:rPr>
                <w:rFonts w:hAnsi="Times New Roman" w:cs="Times New Roman"/>
              </w:rPr>
              <w:t xml:space="preserve"> bal</w:t>
            </w:r>
            <w:r>
              <w:rPr>
                <w:rFonts w:hAnsi="Times New Roman" w:cs="Times New Roman"/>
              </w:rPr>
              <w:t>ai</w:t>
            </w:r>
          </w:p>
        </w:tc>
        <w:tc>
          <w:tcPr>
            <w:tcW w:w="1697" w:type="dxa"/>
            <w:shd w:val="clear" w:color="auto" w:fill="auto"/>
            <w:vAlign w:val="center"/>
          </w:tcPr>
          <w:p w14:paraId="36896636" w14:textId="77777777" w:rsidR="00A61AE9" w:rsidRPr="0090336C" w:rsidRDefault="00A61AE9" w:rsidP="005F5F5D">
            <w:pPr>
              <w:jc w:val="center"/>
              <w:rPr>
                <w:rFonts w:hAnsi="Times New Roman" w:cs="Times New Roman"/>
              </w:rPr>
            </w:pPr>
            <w:proofErr w:type="spellStart"/>
            <w:r w:rsidRPr="0090336C">
              <w:rPr>
                <w:rFonts w:hAnsi="Times New Roman" w:cs="Times New Roman"/>
              </w:rPr>
              <w:t>Interpoliacinis</w:t>
            </w:r>
            <w:proofErr w:type="spellEnd"/>
          </w:p>
        </w:tc>
      </w:tr>
    </w:tbl>
    <w:p w14:paraId="6661E332" w14:textId="77777777" w:rsidR="00A61AE9" w:rsidRPr="0090336C" w:rsidRDefault="00A61AE9" w:rsidP="00A61AE9">
      <w:pPr>
        <w:spacing w:after="0" w:line="240" w:lineRule="auto"/>
        <w:rPr>
          <w:rFonts w:ascii="Times New Roman" w:hAnsi="Times New Roman" w:cs="Times New Roman"/>
          <w:b/>
          <w:caps/>
          <w:color w:val="404040" w:themeColor="text1" w:themeTint="BF"/>
          <w:spacing w:val="20"/>
        </w:rPr>
      </w:pPr>
    </w:p>
    <w:p w14:paraId="5455E4E2" w14:textId="77777777" w:rsidR="00A61AE9" w:rsidRPr="0090336C" w:rsidRDefault="00A61AE9" w:rsidP="00A61AE9">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7E3A8545" w14:textId="77777777" w:rsidR="00A61AE9" w:rsidRPr="0090336C" w:rsidRDefault="00A61AE9" w:rsidP="00A61AE9">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261799BC" w14:textId="77777777" w:rsidR="00A61AE9" w:rsidRPr="0090336C" w:rsidRDefault="00A61AE9" w:rsidP="00A61AE9">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727189E6" w14:textId="77777777" w:rsidR="00A61AE9" w:rsidRPr="0090336C" w:rsidRDefault="00A61AE9" w:rsidP="00A61AE9">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08C43D23" w14:textId="77777777" w:rsidR="00A61AE9" w:rsidRPr="0090336C" w:rsidRDefault="00A61AE9" w:rsidP="00A61AE9">
      <w:pPr>
        <w:pStyle w:val="Body2"/>
        <w:spacing w:after="0"/>
        <w:ind w:left="1215"/>
        <w:rPr>
          <w:rFonts w:cs="Times New Roman"/>
          <w:color w:val="auto"/>
          <w:lang w:val="lt-LT"/>
        </w:rPr>
      </w:pPr>
    </w:p>
    <w:p w14:paraId="6B6A0F80" w14:textId="77777777" w:rsidR="00A61AE9" w:rsidRPr="0090336C" w:rsidRDefault="00A61AE9" w:rsidP="00A61AE9">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5EE18CA5" w14:textId="77777777" w:rsidR="00A61AE9" w:rsidRPr="0090336C" w:rsidRDefault="00A61AE9" w:rsidP="00A61AE9">
      <w:pPr>
        <w:pStyle w:val="Body2"/>
        <w:numPr>
          <w:ilvl w:val="1"/>
          <w:numId w:val="10"/>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35"/>
        <w:gridCol w:w="4280"/>
        <w:gridCol w:w="1560"/>
        <w:gridCol w:w="1487"/>
        <w:gridCol w:w="2056"/>
      </w:tblGrid>
      <w:tr w:rsidR="00A61AE9" w:rsidRPr="0090336C" w14:paraId="2CC7AD3C" w14:textId="77777777" w:rsidTr="005F5F5D">
        <w:tc>
          <w:tcPr>
            <w:tcW w:w="535" w:type="dxa"/>
            <w:shd w:val="clear" w:color="auto" w:fill="F2F2F2" w:themeFill="background1" w:themeFillShade="F2"/>
            <w:vAlign w:val="center"/>
          </w:tcPr>
          <w:p w14:paraId="0DDD8C8E" w14:textId="77777777" w:rsidR="00A61AE9" w:rsidRPr="0090336C" w:rsidRDefault="00A61AE9" w:rsidP="005F5F5D">
            <w:pPr>
              <w:jc w:val="center"/>
              <w:rPr>
                <w:rFonts w:hAnsi="Times New Roman" w:cs="Times New Roman"/>
                <w:sz w:val="22"/>
                <w:szCs w:val="22"/>
              </w:rPr>
            </w:pPr>
            <w:r w:rsidRPr="0090336C">
              <w:rPr>
                <w:rFonts w:hAnsi="Times New Roman" w:cs="Times New Roman"/>
                <w:b/>
                <w:kern w:val="24"/>
              </w:rPr>
              <w:t>Nr.</w:t>
            </w:r>
          </w:p>
        </w:tc>
        <w:tc>
          <w:tcPr>
            <w:tcW w:w="4280" w:type="dxa"/>
            <w:shd w:val="clear" w:color="auto" w:fill="F2F2F2" w:themeFill="background1" w:themeFillShade="F2"/>
            <w:vAlign w:val="center"/>
          </w:tcPr>
          <w:p w14:paraId="0765EBAC"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Vertinimo kriterijai</w:t>
            </w:r>
          </w:p>
        </w:tc>
        <w:tc>
          <w:tcPr>
            <w:tcW w:w="1560" w:type="dxa"/>
            <w:shd w:val="clear" w:color="auto" w:fill="F2F2F2" w:themeFill="background1" w:themeFillShade="F2"/>
            <w:vAlign w:val="center"/>
          </w:tcPr>
          <w:p w14:paraId="6C0ECEEB"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Kriterijaus parametro lyginamasis svoris</w:t>
            </w:r>
          </w:p>
        </w:tc>
        <w:tc>
          <w:tcPr>
            <w:tcW w:w="1487" w:type="dxa"/>
            <w:shd w:val="clear" w:color="auto" w:fill="F2F2F2" w:themeFill="background1" w:themeFillShade="F2"/>
          </w:tcPr>
          <w:p w14:paraId="0F24F85F"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Kriterijaus parametro tipas</w:t>
            </w:r>
          </w:p>
        </w:tc>
        <w:tc>
          <w:tcPr>
            <w:tcW w:w="2056" w:type="dxa"/>
            <w:shd w:val="clear" w:color="auto" w:fill="F2F2F2" w:themeFill="background1" w:themeFillShade="F2"/>
            <w:vAlign w:val="center"/>
          </w:tcPr>
          <w:p w14:paraId="185916AD"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Kriterijaus lyginamasis svoris ekonominio naudingumo įvertinime</w:t>
            </w:r>
          </w:p>
        </w:tc>
      </w:tr>
      <w:tr w:rsidR="00A61AE9" w:rsidRPr="0090336C" w14:paraId="0CA64986" w14:textId="77777777" w:rsidTr="005F5F5D">
        <w:tc>
          <w:tcPr>
            <w:tcW w:w="535" w:type="dxa"/>
            <w:vAlign w:val="center"/>
          </w:tcPr>
          <w:p w14:paraId="034DAE18"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1.</w:t>
            </w:r>
          </w:p>
        </w:tc>
        <w:tc>
          <w:tcPr>
            <w:tcW w:w="4280" w:type="dxa"/>
          </w:tcPr>
          <w:p w14:paraId="561C7348" w14:textId="77777777" w:rsidR="00A61AE9" w:rsidRPr="0090336C" w:rsidRDefault="00A61AE9" w:rsidP="005F5F5D">
            <w:pPr>
              <w:rPr>
                <w:rFonts w:hAnsi="Times New Roman" w:cs="Times New Roman"/>
                <w:sz w:val="22"/>
                <w:szCs w:val="22"/>
              </w:rPr>
            </w:pPr>
            <w:r w:rsidRPr="0090336C">
              <w:rPr>
                <w:rFonts w:hAnsi="Times New Roman" w:cs="Times New Roman"/>
                <w:b/>
                <w:i/>
                <w:sz w:val="22"/>
                <w:szCs w:val="22"/>
              </w:rPr>
              <w:t>Pirmas kriterijus (C) -kaina</w:t>
            </w:r>
          </w:p>
        </w:tc>
        <w:tc>
          <w:tcPr>
            <w:tcW w:w="1560" w:type="dxa"/>
            <w:vAlign w:val="center"/>
          </w:tcPr>
          <w:p w14:paraId="1C7F8394" w14:textId="77777777" w:rsidR="00A61AE9" w:rsidRPr="0090336C" w:rsidRDefault="00A61AE9" w:rsidP="005F5F5D">
            <w:pPr>
              <w:jc w:val="center"/>
              <w:rPr>
                <w:rFonts w:hAnsi="Times New Roman" w:cs="Times New Roman"/>
                <w:sz w:val="22"/>
                <w:szCs w:val="22"/>
              </w:rPr>
            </w:pPr>
          </w:p>
        </w:tc>
        <w:tc>
          <w:tcPr>
            <w:tcW w:w="1487" w:type="dxa"/>
          </w:tcPr>
          <w:p w14:paraId="62E776E4" w14:textId="77777777" w:rsidR="00A61AE9" w:rsidRPr="0090336C" w:rsidRDefault="00A61AE9" w:rsidP="005F5F5D">
            <w:pPr>
              <w:jc w:val="center"/>
              <w:rPr>
                <w:rFonts w:hAnsi="Times New Roman" w:cs="Times New Roman"/>
                <w:sz w:val="22"/>
                <w:szCs w:val="22"/>
              </w:rPr>
            </w:pPr>
            <w:proofErr w:type="spellStart"/>
            <w:r w:rsidRPr="0090336C">
              <w:rPr>
                <w:rFonts w:hAnsi="Times New Roman" w:cs="Times New Roman"/>
                <w:sz w:val="22"/>
                <w:szCs w:val="22"/>
              </w:rPr>
              <w:t>Interpoliacinis</w:t>
            </w:r>
            <w:proofErr w:type="spellEnd"/>
          </w:p>
        </w:tc>
        <w:tc>
          <w:tcPr>
            <w:tcW w:w="2056" w:type="dxa"/>
            <w:vAlign w:val="center"/>
          </w:tcPr>
          <w:p w14:paraId="64C8F685"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X= 9</w:t>
            </w:r>
            <w:r>
              <w:rPr>
                <w:rFonts w:hAnsi="Times New Roman" w:cs="Times New Roman"/>
                <w:sz w:val="22"/>
                <w:szCs w:val="22"/>
              </w:rPr>
              <w:t>5</w:t>
            </w:r>
          </w:p>
        </w:tc>
      </w:tr>
      <w:tr w:rsidR="00A61AE9" w:rsidRPr="0090336C" w14:paraId="0A3F723B" w14:textId="77777777" w:rsidTr="005F5F5D">
        <w:tc>
          <w:tcPr>
            <w:tcW w:w="535" w:type="dxa"/>
            <w:vAlign w:val="center"/>
          </w:tcPr>
          <w:p w14:paraId="625F6129"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2.</w:t>
            </w:r>
          </w:p>
        </w:tc>
        <w:tc>
          <w:tcPr>
            <w:tcW w:w="4280" w:type="dxa"/>
          </w:tcPr>
          <w:p w14:paraId="001F46AD" w14:textId="77777777" w:rsidR="00A61AE9" w:rsidRPr="0090336C" w:rsidRDefault="00A61AE9" w:rsidP="005F5F5D">
            <w:pPr>
              <w:jc w:val="both"/>
              <w:rPr>
                <w:rFonts w:hAnsi="Times New Roman" w:cs="Times New Roman"/>
                <w:sz w:val="22"/>
                <w:szCs w:val="22"/>
              </w:rPr>
            </w:pPr>
            <w:r w:rsidRPr="0090336C">
              <w:rPr>
                <w:rFonts w:hAnsi="Times New Roman" w:cs="Times New Roman"/>
                <w:b/>
                <w:i/>
                <w:sz w:val="22"/>
                <w:szCs w:val="22"/>
              </w:rPr>
              <w:t xml:space="preserve">Antras kriterijus (T) – Techniniai </w:t>
            </w:r>
            <w:proofErr w:type="spellStart"/>
            <w:r w:rsidRPr="0090336C">
              <w:rPr>
                <w:rFonts w:hAnsi="Times New Roman" w:cs="Times New Roman"/>
                <w:b/>
                <w:i/>
                <w:sz w:val="22"/>
                <w:szCs w:val="22"/>
              </w:rPr>
              <w:t>pranašumai</w:t>
            </w:r>
            <w:proofErr w:type="spellEnd"/>
            <w:r w:rsidRPr="0090336C">
              <w:rPr>
                <w:rFonts w:hAnsi="Times New Roman" w:cs="Times New Roman"/>
                <w:b/>
                <w:i/>
                <w:sz w:val="22"/>
                <w:szCs w:val="22"/>
              </w:rPr>
              <w:t xml:space="preserve"> ir garantiniai įsipareigojimai </w:t>
            </w:r>
          </w:p>
        </w:tc>
        <w:tc>
          <w:tcPr>
            <w:tcW w:w="1560" w:type="dxa"/>
            <w:vAlign w:val="center"/>
          </w:tcPr>
          <w:p w14:paraId="4AE71A16" w14:textId="77777777" w:rsidR="00A61AE9" w:rsidRPr="0090336C" w:rsidRDefault="00A61AE9" w:rsidP="005F5F5D">
            <w:pPr>
              <w:jc w:val="center"/>
              <w:rPr>
                <w:rFonts w:hAnsi="Times New Roman" w:cs="Times New Roman"/>
                <w:sz w:val="22"/>
                <w:szCs w:val="22"/>
              </w:rPr>
            </w:pPr>
          </w:p>
        </w:tc>
        <w:tc>
          <w:tcPr>
            <w:tcW w:w="1487" w:type="dxa"/>
          </w:tcPr>
          <w:p w14:paraId="1EE0A386" w14:textId="77777777" w:rsidR="00A61AE9" w:rsidRPr="0090336C" w:rsidRDefault="00A61AE9" w:rsidP="005F5F5D">
            <w:pPr>
              <w:jc w:val="center"/>
              <w:rPr>
                <w:rFonts w:hAnsi="Times New Roman" w:cs="Times New Roman"/>
                <w:sz w:val="22"/>
                <w:szCs w:val="22"/>
              </w:rPr>
            </w:pPr>
          </w:p>
        </w:tc>
        <w:tc>
          <w:tcPr>
            <w:tcW w:w="2056" w:type="dxa"/>
            <w:vMerge w:val="restart"/>
            <w:vAlign w:val="center"/>
          </w:tcPr>
          <w:p w14:paraId="2AEE1244"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 xml:space="preserve">Y= </w:t>
            </w:r>
            <w:r>
              <w:rPr>
                <w:rFonts w:hAnsi="Times New Roman" w:cs="Times New Roman"/>
                <w:sz w:val="22"/>
                <w:szCs w:val="22"/>
              </w:rPr>
              <w:t>5</w:t>
            </w:r>
          </w:p>
        </w:tc>
      </w:tr>
      <w:tr w:rsidR="00A61AE9" w:rsidRPr="0090336C" w14:paraId="11D0B315" w14:textId="77777777" w:rsidTr="005F5F5D">
        <w:trPr>
          <w:trHeight w:val="516"/>
        </w:trPr>
        <w:tc>
          <w:tcPr>
            <w:tcW w:w="535" w:type="dxa"/>
            <w:vAlign w:val="center"/>
          </w:tcPr>
          <w:p w14:paraId="3F0DE566"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T</w:t>
            </w:r>
          </w:p>
        </w:tc>
        <w:tc>
          <w:tcPr>
            <w:tcW w:w="4280" w:type="dxa"/>
          </w:tcPr>
          <w:p w14:paraId="13265B17" w14:textId="77777777" w:rsidR="00A61AE9" w:rsidRPr="0090336C" w:rsidRDefault="00A61AE9" w:rsidP="005F5F5D">
            <w:pPr>
              <w:jc w:val="both"/>
              <w:rPr>
                <w:rFonts w:hAnsi="Times New Roman" w:cs="Times New Roman"/>
                <w:bCs/>
                <w:sz w:val="22"/>
                <w:szCs w:val="22"/>
              </w:rPr>
            </w:pPr>
            <w:r w:rsidRPr="0090336C">
              <w:rPr>
                <w:rFonts w:hAnsi="Times New Roman" w:cs="Times New Roman"/>
                <w:bCs/>
                <w:i/>
                <w:sz w:val="22"/>
                <w:szCs w:val="22"/>
              </w:rPr>
              <w:t>Garantinių įsipareigojimų užtikrinimo pratęsimas</w:t>
            </w:r>
          </w:p>
        </w:tc>
        <w:tc>
          <w:tcPr>
            <w:tcW w:w="1560" w:type="dxa"/>
            <w:vAlign w:val="center"/>
          </w:tcPr>
          <w:p w14:paraId="41813D73" w14:textId="77777777" w:rsidR="00A61AE9" w:rsidRPr="0090336C" w:rsidRDefault="00A61AE9" w:rsidP="005F5F5D">
            <w:pPr>
              <w:jc w:val="center"/>
              <w:rPr>
                <w:rFonts w:hAnsi="Times New Roman" w:cs="Times New Roman"/>
                <w:sz w:val="22"/>
                <w:szCs w:val="22"/>
              </w:rPr>
            </w:pPr>
            <w:r w:rsidRPr="0090336C">
              <w:rPr>
                <w:rFonts w:hAnsi="Times New Roman" w:cs="Times New Roman"/>
                <w:sz w:val="22"/>
                <w:szCs w:val="22"/>
              </w:rPr>
              <w:t>0-</w:t>
            </w:r>
            <w:r>
              <w:rPr>
                <w:rFonts w:hAnsi="Times New Roman" w:cs="Times New Roman"/>
                <w:sz w:val="22"/>
                <w:szCs w:val="22"/>
              </w:rPr>
              <w:t>5</w:t>
            </w:r>
            <w:r w:rsidRPr="0090336C">
              <w:rPr>
                <w:rFonts w:hAnsi="Times New Roman" w:cs="Times New Roman"/>
                <w:sz w:val="22"/>
                <w:szCs w:val="22"/>
              </w:rPr>
              <w:t xml:space="preserve"> bal</w:t>
            </w:r>
            <w:r>
              <w:rPr>
                <w:rFonts w:hAnsi="Times New Roman" w:cs="Times New Roman"/>
                <w:sz w:val="22"/>
                <w:szCs w:val="22"/>
              </w:rPr>
              <w:t>ai</w:t>
            </w:r>
          </w:p>
        </w:tc>
        <w:tc>
          <w:tcPr>
            <w:tcW w:w="1487" w:type="dxa"/>
            <w:vAlign w:val="center"/>
          </w:tcPr>
          <w:p w14:paraId="161F322E" w14:textId="77777777" w:rsidR="00A61AE9" w:rsidRPr="0090336C" w:rsidRDefault="00A61AE9" w:rsidP="005F5F5D">
            <w:pPr>
              <w:jc w:val="center"/>
              <w:rPr>
                <w:rFonts w:hAnsi="Times New Roman" w:cs="Times New Roman"/>
                <w:sz w:val="22"/>
                <w:szCs w:val="22"/>
              </w:rPr>
            </w:pPr>
            <w:proofErr w:type="spellStart"/>
            <w:r w:rsidRPr="0090336C">
              <w:rPr>
                <w:rFonts w:hAnsi="Times New Roman" w:cs="Times New Roman"/>
                <w:sz w:val="22"/>
                <w:szCs w:val="22"/>
              </w:rPr>
              <w:t>Interpoliacinis</w:t>
            </w:r>
            <w:proofErr w:type="spellEnd"/>
          </w:p>
        </w:tc>
        <w:tc>
          <w:tcPr>
            <w:tcW w:w="2056" w:type="dxa"/>
            <w:vMerge/>
            <w:vAlign w:val="center"/>
          </w:tcPr>
          <w:p w14:paraId="45D4DA8A" w14:textId="77777777" w:rsidR="00A61AE9" w:rsidRPr="0090336C" w:rsidRDefault="00A61AE9" w:rsidP="005F5F5D">
            <w:pPr>
              <w:jc w:val="center"/>
              <w:rPr>
                <w:rFonts w:hAnsi="Times New Roman" w:cs="Times New Roman"/>
                <w:sz w:val="22"/>
                <w:szCs w:val="22"/>
              </w:rPr>
            </w:pPr>
          </w:p>
        </w:tc>
      </w:tr>
    </w:tbl>
    <w:p w14:paraId="0E72E308" w14:textId="77777777" w:rsidR="00A61AE9" w:rsidRPr="0090336C" w:rsidRDefault="00A61AE9" w:rsidP="00A61AE9">
      <w:pPr>
        <w:pStyle w:val="Body2"/>
        <w:spacing w:after="0"/>
        <w:rPr>
          <w:rFonts w:cs="Times New Roman"/>
          <w:b/>
        </w:rPr>
      </w:pPr>
      <w:r w:rsidRPr="0090336C">
        <w:rPr>
          <w:rFonts w:cs="Times New Roman"/>
          <w:b/>
        </w:rPr>
        <w:t>2.1.1.</w:t>
      </w:r>
      <w:r w:rsidRPr="0090336C">
        <w:rPr>
          <w:rFonts w:cs="Times New Roman"/>
          <w:b/>
        </w:rPr>
        <w:tab/>
      </w:r>
      <w:proofErr w:type="spellStart"/>
      <w:r w:rsidRPr="0090336C">
        <w:rPr>
          <w:rFonts w:cs="Times New Roman"/>
          <w:b/>
        </w:rPr>
        <w:t>Pirmas</w:t>
      </w:r>
      <w:proofErr w:type="spellEnd"/>
      <w:r w:rsidRPr="0090336C">
        <w:rPr>
          <w:rFonts w:cs="Times New Roman"/>
          <w:b/>
        </w:rPr>
        <w:t xml:space="preserve"> </w:t>
      </w:r>
      <w:proofErr w:type="spellStart"/>
      <w:r w:rsidRPr="0090336C">
        <w:rPr>
          <w:rFonts w:cs="Times New Roman"/>
          <w:b/>
        </w:rPr>
        <w:t>kriterijus</w:t>
      </w:r>
      <w:proofErr w:type="spellEnd"/>
      <w:r w:rsidRPr="0090336C">
        <w:rPr>
          <w:rFonts w:cs="Times New Roman"/>
          <w:b/>
        </w:rPr>
        <w:t xml:space="preserve"> – </w:t>
      </w:r>
      <w:proofErr w:type="spellStart"/>
      <w:r w:rsidRPr="0090336C">
        <w:rPr>
          <w:rFonts w:cs="Times New Roman"/>
          <w:b/>
        </w:rPr>
        <w:t>Kaina</w:t>
      </w:r>
      <w:proofErr w:type="spellEnd"/>
      <w:r w:rsidRPr="0090336C">
        <w:rPr>
          <w:rFonts w:cs="Times New Roman"/>
          <w:b/>
        </w:rPr>
        <w:t xml:space="preserve"> C. </w:t>
      </w:r>
      <w:proofErr w:type="spellStart"/>
      <w:r w:rsidRPr="0090336C">
        <w:rPr>
          <w:rFonts w:cs="Times New Roman"/>
          <w:b/>
        </w:rPr>
        <w:t>Kriterijaus</w:t>
      </w:r>
      <w:proofErr w:type="spellEnd"/>
      <w:r w:rsidRPr="0090336C">
        <w:rPr>
          <w:rFonts w:cs="Times New Roman"/>
          <w:b/>
        </w:rPr>
        <w:t xml:space="preserve"> </w:t>
      </w:r>
      <w:proofErr w:type="spellStart"/>
      <w:r w:rsidRPr="0090336C">
        <w:rPr>
          <w:rFonts w:cs="Times New Roman"/>
          <w:b/>
        </w:rPr>
        <w:t>lyginamasis</w:t>
      </w:r>
      <w:proofErr w:type="spellEnd"/>
      <w:r w:rsidRPr="0090336C">
        <w:rPr>
          <w:rFonts w:cs="Times New Roman"/>
          <w:b/>
        </w:rPr>
        <w:t xml:space="preserve"> </w:t>
      </w:r>
      <w:proofErr w:type="spellStart"/>
      <w:r w:rsidRPr="0090336C">
        <w:rPr>
          <w:rFonts w:cs="Times New Roman"/>
          <w:b/>
        </w:rPr>
        <w:t>svoris</w:t>
      </w:r>
      <w:proofErr w:type="spellEnd"/>
      <w:r w:rsidRPr="0090336C">
        <w:rPr>
          <w:rFonts w:cs="Times New Roman"/>
          <w:b/>
        </w:rPr>
        <w:t xml:space="preserve"> </w:t>
      </w:r>
      <w:proofErr w:type="spellStart"/>
      <w:r w:rsidRPr="0090336C">
        <w:rPr>
          <w:rFonts w:cs="Times New Roman"/>
          <w:b/>
        </w:rPr>
        <w:t>ekonominio</w:t>
      </w:r>
      <w:proofErr w:type="spellEnd"/>
      <w:r w:rsidRPr="0090336C">
        <w:rPr>
          <w:rFonts w:cs="Times New Roman"/>
          <w:b/>
        </w:rPr>
        <w:t xml:space="preserve"> </w:t>
      </w:r>
      <w:proofErr w:type="spellStart"/>
      <w:r w:rsidRPr="0090336C">
        <w:rPr>
          <w:rFonts w:cs="Times New Roman"/>
          <w:b/>
        </w:rPr>
        <w:t>naudingumo</w:t>
      </w:r>
      <w:proofErr w:type="spellEnd"/>
      <w:r w:rsidRPr="0090336C">
        <w:rPr>
          <w:rFonts w:cs="Times New Roman"/>
          <w:b/>
        </w:rPr>
        <w:t xml:space="preserve"> </w:t>
      </w:r>
      <w:proofErr w:type="spellStart"/>
      <w:r w:rsidRPr="0090336C">
        <w:rPr>
          <w:rFonts w:cs="Times New Roman"/>
          <w:b/>
        </w:rPr>
        <w:t>įvertinime</w:t>
      </w:r>
      <w:proofErr w:type="spellEnd"/>
      <w:r w:rsidRPr="0090336C">
        <w:rPr>
          <w:rFonts w:cs="Times New Roman"/>
          <w:b/>
        </w:rPr>
        <w:t xml:space="preserve"> (X) </w:t>
      </w:r>
      <w:proofErr w:type="spellStart"/>
      <w:r w:rsidRPr="0090336C">
        <w:rPr>
          <w:rFonts w:cs="Times New Roman"/>
          <w:b/>
        </w:rPr>
        <w:t>yra</w:t>
      </w:r>
      <w:proofErr w:type="spellEnd"/>
      <w:r w:rsidRPr="0090336C">
        <w:rPr>
          <w:rFonts w:cs="Times New Roman"/>
          <w:b/>
        </w:rPr>
        <w:t xml:space="preserve"> 9</w:t>
      </w:r>
      <w:r>
        <w:rPr>
          <w:rFonts w:cs="Times New Roman"/>
          <w:b/>
        </w:rPr>
        <w:t>5</w:t>
      </w:r>
      <w:r w:rsidRPr="0090336C">
        <w:rPr>
          <w:rFonts w:cs="Times New Roman"/>
          <w:b/>
        </w:rPr>
        <w:t>.</w:t>
      </w:r>
    </w:p>
    <w:p w14:paraId="687C586F" w14:textId="77777777" w:rsidR="00A61AE9" w:rsidRPr="0090336C" w:rsidRDefault="00A61AE9" w:rsidP="00A61AE9">
      <w:pPr>
        <w:pStyle w:val="Body2"/>
        <w:spacing w:after="0"/>
        <w:ind w:left="720"/>
        <w:rPr>
          <w:rFonts w:cs="Times New Roman"/>
          <w:color w:val="auto"/>
          <w:lang w:val="lt-LT"/>
        </w:rPr>
      </w:pPr>
    </w:p>
    <w:p w14:paraId="055992D0" w14:textId="77777777" w:rsidR="00A61AE9" w:rsidRPr="0090336C" w:rsidRDefault="00A61AE9" w:rsidP="00A61AE9">
      <w:pPr>
        <w:pStyle w:val="Body2"/>
        <w:spacing w:after="0"/>
        <w:rPr>
          <w:rFonts w:cs="Times New Roman"/>
          <w:color w:val="auto"/>
          <w:lang w:val="lt-LT"/>
        </w:rPr>
      </w:pPr>
      <w:r w:rsidRPr="0090336C">
        <w:rPr>
          <w:rFonts w:cs="Times New Roman"/>
          <w:b/>
        </w:rPr>
        <w:t>2.1.2.</w:t>
      </w:r>
      <w:r w:rsidRPr="0090336C">
        <w:rPr>
          <w:rFonts w:cs="Times New Roman"/>
          <w:b/>
        </w:rPr>
        <w:tab/>
      </w:r>
      <w:proofErr w:type="spellStart"/>
      <w:r w:rsidRPr="0090336C">
        <w:rPr>
          <w:rFonts w:cs="Times New Roman"/>
          <w:b/>
        </w:rPr>
        <w:t>Antras</w:t>
      </w:r>
      <w:proofErr w:type="spellEnd"/>
      <w:r w:rsidRPr="0090336C">
        <w:rPr>
          <w:rFonts w:cs="Times New Roman"/>
          <w:b/>
        </w:rPr>
        <w:t xml:space="preserve"> </w:t>
      </w:r>
      <w:proofErr w:type="spellStart"/>
      <w:r w:rsidRPr="0090336C">
        <w:rPr>
          <w:rFonts w:cs="Times New Roman"/>
          <w:b/>
        </w:rPr>
        <w:t>kriterijus</w:t>
      </w:r>
      <w:proofErr w:type="spellEnd"/>
      <w:r w:rsidRPr="0090336C">
        <w:rPr>
          <w:rFonts w:cs="Times New Roman"/>
          <w:b/>
        </w:rPr>
        <w:t xml:space="preserve"> – </w:t>
      </w:r>
      <w:proofErr w:type="spellStart"/>
      <w:r w:rsidRPr="0090336C">
        <w:rPr>
          <w:rFonts w:cs="Times New Roman"/>
          <w:b/>
          <w:iCs/>
        </w:rPr>
        <w:t>Techniniai</w:t>
      </w:r>
      <w:proofErr w:type="spellEnd"/>
      <w:r w:rsidRPr="0090336C">
        <w:rPr>
          <w:rFonts w:cs="Times New Roman"/>
          <w:b/>
          <w:iCs/>
        </w:rPr>
        <w:t xml:space="preserve"> </w:t>
      </w:r>
      <w:proofErr w:type="spellStart"/>
      <w:r w:rsidRPr="0090336C">
        <w:rPr>
          <w:rFonts w:cs="Times New Roman"/>
          <w:b/>
          <w:iCs/>
        </w:rPr>
        <w:t>pranašumai</w:t>
      </w:r>
      <w:proofErr w:type="spellEnd"/>
      <w:r w:rsidRPr="0090336C">
        <w:rPr>
          <w:rFonts w:cs="Times New Roman"/>
          <w:b/>
          <w:iCs/>
        </w:rPr>
        <w:t xml:space="preserve"> </w:t>
      </w:r>
      <w:proofErr w:type="spellStart"/>
      <w:r w:rsidRPr="0090336C">
        <w:rPr>
          <w:rFonts w:cs="Times New Roman"/>
          <w:b/>
          <w:iCs/>
        </w:rPr>
        <w:t>ir</w:t>
      </w:r>
      <w:proofErr w:type="spellEnd"/>
      <w:r w:rsidRPr="0090336C">
        <w:rPr>
          <w:rFonts w:cs="Times New Roman"/>
          <w:b/>
          <w:iCs/>
        </w:rPr>
        <w:t xml:space="preserve"> </w:t>
      </w:r>
      <w:proofErr w:type="spellStart"/>
      <w:r w:rsidRPr="0090336C">
        <w:rPr>
          <w:rFonts w:cs="Times New Roman"/>
          <w:b/>
          <w:iCs/>
        </w:rPr>
        <w:t>garantiniai</w:t>
      </w:r>
      <w:proofErr w:type="spellEnd"/>
      <w:r w:rsidRPr="0090336C">
        <w:rPr>
          <w:rFonts w:cs="Times New Roman"/>
          <w:b/>
          <w:iCs/>
        </w:rPr>
        <w:t xml:space="preserve"> </w:t>
      </w:r>
      <w:proofErr w:type="spellStart"/>
      <w:r w:rsidRPr="0090336C">
        <w:rPr>
          <w:rFonts w:cs="Times New Roman"/>
          <w:b/>
          <w:iCs/>
        </w:rPr>
        <w:t>įsipareigojimai</w:t>
      </w:r>
      <w:proofErr w:type="spellEnd"/>
      <w:r w:rsidRPr="0090336C">
        <w:rPr>
          <w:rFonts w:cs="Times New Roman"/>
          <w:b/>
          <w:i/>
        </w:rPr>
        <w:t xml:space="preserve"> </w:t>
      </w:r>
      <w:r w:rsidRPr="0090336C">
        <w:rPr>
          <w:rFonts w:cs="Times New Roman"/>
          <w:b/>
        </w:rPr>
        <w:t xml:space="preserve">(T). </w:t>
      </w:r>
      <w:proofErr w:type="spellStart"/>
      <w:r w:rsidRPr="0090336C">
        <w:rPr>
          <w:rFonts w:cs="Times New Roman"/>
          <w:b/>
        </w:rPr>
        <w:t>Kriterijaus</w:t>
      </w:r>
      <w:proofErr w:type="spellEnd"/>
      <w:r w:rsidRPr="0090336C">
        <w:rPr>
          <w:rFonts w:cs="Times New Roman"/>
          <w:b/>
        </w:rPr>
        <w:t xml:space="preserve"> </w:t>
      </w:r>
      <w:proofErr w:type="spellStart"/>
      <w:r w:rsidRPr="0090336C">
        <w:rPr>
          <w:rFonts w:cs="Times New Roman"/>
          <w:b/>
        </w:rPr>
        <w:t>lyginamasis</w:t>
      </w:r>
      <w:proofErr w:type="spellEnd"/>
      <w:r w:rsidRPr="0090336C">
        <w:rPr>
          <w:rFonts w:cs="Times New Roman"/>
          <w:b/>
        </w:rPr>
        <w:t xml:space="preserve"> </w:t>
      </w:r>
      <w:proofErr w:type="spellStart"/>
      <w:r w:rsidRPr="0090336C">
        <w:rPr>
          <w:rFonts w:cs="Times New Roman"/>
          <w:b/>
        </w:rPr>
        <w:t>svoris</w:t>
      </w:r>
      <w:proofErr w:type="spellEnd"/>
      <w:r w:rsidRPr="0090336C">
        <w:rPr>
          <w:rFonts w:cs="Times New Roman"/>
          <w:b/>
        </w:rPr>
        <w:t xml:space="preserve"> </w:t>
      </w:r>
      <w:proofErr w:type="spellStart"/>
      <w:r w:rsidRPr="0090336C">
        <w:rPr>
          <w:rFonts w:cs="Times New Roman"/>
          <w:b/>
        </w:rPr>
        <w:t>ekonominio</w:t>
      </w:r>
      <w:proofErr w:type="spellEnd"/>
      <w:r w:rsidRPr="0090336C">
        <w:rPr>
          <w:rFonts w:cs="Times New Roman"/>
          <w:b/>
        </w:rPr>
        <w:t xml:space="preserve"> </w:t>
      </w:r>
      <w:proofErr w:type="spellStart"/>
      <w:r w:rsidRPr="0090336C">
        <w:rPr>
          <w:rFonts w:cs="Times New Roman"/>
          <w:b/>
        </w:rPr>
        <w:t>naudingumo</w:t>
      </w:r>
      <w:proofErr w:type="spellEnd"/>
      <w:r w:rsidRPr="0090336C">
        <w:rPr>
          <w:rFonts w:cs="Times New Roman"/>
          <w:b/>
        </w:rPr>
        <w:t xml:space="preserve"> </w:t>
      </w:r>
      <w:proofErr w:type="spellStart"/>
      <w:r w:rsidRPr="0090336C">
        <w:rPr>
          <w:rFonts w:cs="Times New Roman"/>
          <w:b/>
        </w:rPr>
        <w:t>įvertinime</w:t>
      </w:r>
      <w:proofErr w:type="spellEnd"/>
      <w:r w:rsidRPr="0090336C">
        <w:rPr>
          <w:rFonts w:cs="Times New Roman"/>
          <w:b/>
        </w:rPr>
        <w:t xml:space="preserve"> (Y) </w:t>
      </w:r>
      <w:proofErr w:type="spellStart"/>
      <w:r w:rsidRPr="0090336C">
        <w:rPr>
          <w:rFonts w:cs="Times New Roman"/>
          <w:b/>
        </w:rPr>
        <w:t>yra</w:t>
      </w:r>
      <w:proofErr w:type="spellEnd"/>
      <w:r w:rsidRPr="0090336C">
        <w:rPr>
          <w:rFonts w:cs="Times New Roman"/>
          <w:b/>
        </w:rPr>
        <w:t xml:space="preserve"> </w:t>
      </w:r>
      <w:r>
        <w:rPr>
          <w:rFonts w:cs="Times New Roman"/>
          <w:b/>
        </w:rPr>
        <w:t>5</w:t>
      </w:r>
      <w:r w:rsidRPr="0090336C">
        <w:rPr>
          <w:rFonts w:cs="Times New Roman"/>
          <w:b/>
        </w:rPr>
        <w:t>.</w:t>
      </w:r>
    </w:p>
    <w:p w14:paraId="5861EC09" w14:textId="77777777" w:rsidR="00A61AE9" w:rsidRPr="0090336C" w:rsidRDefault="00A61AE9" w:rsidP="00A61AE9">
      <w:pPr>
        <w:pStyle w:val="Body2"/>
        <w:spacing w:after="0"/>
        <w:rPr>
          <w:rFonts w:cs="Times New Roman"/>
          <w:color w:val="auto"/>
          <w:lang w:val="lt-LT"/>
        </w:rPr>
      </w:pPr>
    </w:p>
    <w:p w14:paraId="3FA8F122" w14:textId="77777777" w:rsidR="00A61AE9" w:rsidRPr="0090336C" w:rsidRDefault="00A61AE9" w:rsidP="00A61AE9">
      <w:pPr>
        <w:pStyle w:val="Body2"/>
        <w:spacing w:after="0"/>
        <w:rPr>
          <w:rFonts w:eastAsia="Times New Roman" w:cs="Times New Roman"/>
          <w:b/>
        </w:rPr>
      </w:pPr>
      <w:r w:rsidRPr="0090336C">
        <w:rPr>
          <w:rFonts w:eastAsia="Times New Roman" w:cs="Times New Roman"/>
          <w:b/>
        </w:rPr>
        <w:t xml:space="preserve">2.2. </w:t>
      </w:r>
      <w:proofErr w:type="spellStart"/>
      <w:r w:rsidRPr="0090336C">
        <w:rPr>
          <w:rFonts w:eastAsia="Times New Roman" w:cs="Times New Roman"/>
          <w:b/>
        </w:rPr>
        <w:t>Balų</w:t>
      </w:r>
      <w:proofErr w:type="spellEnd"/>
      <w:r w:rsidRPr="0090336C">
        <w:rPr>
          <w:rFonts w:eastAsia="Times New Roman" w:cs="Times New Roman"/>
          <w:b/>
        </w:rPr>
        <w:t xml:space="preserve"> </w:t>
      </w:r>
      <w:proofErr w:type="spellStart"/>
      <w:r w:rsidRPr="0090336C">
        <w:rPr>
          <w:rFonts w:eastAsia="Times New Roman" w:cs="Times New Roman"/>
          <w:b/>
        </w:rPr>
        <w:t>skaičiavimas</w:t>
      </w:r>
      <w:proofErr w:type="spellEnd"/>
      <w:r w:rsidRPr="0090336C">
        <w:rPr>
          <w:rFonts w:eastAsia="Times New Roman" w:cs="Times New Roman"/>
          <w:b/>
        </w:rPr>
        <w:t>:</w:t>
      </w:r>
    </w:p>
    <w:p w14:paraId="4F37735A" w14:textId="77777777" w:rsidR="00A61AE9" w:rsidRPr="0090336C" w:rsidRDefault="00A61AE9" w:rsidP="00A61AE9">
      <w:pPr>
        <w:pStyle w:val="Body2"/>
        <w:spacing w:after="0"/>
        <w:rPr>
          <w:rFonts w:cs="Times New Roman"/>
          <w:color w:val="auto"/>
          <w:lang w:val="lt-LT"/>
        </w:rPr>
      </w:pPr>
      <w:r w:rsidRPr="0090336C">
        <w:rPr>
          <w:rFonts w:cs="Times New Roman"/>
        </w:rPr>
        <w:t>2.2.1.</w:t>
      </w:r>
      <w:r w:rsidRPr="0090336C">
        <w:rPr>
          <w:rFonts w:cs="Times New Roman"/>
        </w:rPr>
        <w:tab/>
      </w:r>
      <w:proofErr w:type="spellStart"/>
      <w:r w:rsidRPr="0090336C">
        <w:rPr>
          <w:rFonts w:cs="Times New Roman"/>
        </w:rPr>
        <w:t>Tiekėjo</w:t>
      </w:r>
      <w:proofErr w:type="spellEnd"/>
      <w:r w:rsidRPr="0090336C">
        <w:rPr>
          <w:rFonts w:cs="Times New Roman"/>
        </w:rPr>
        <w:t xml:space="preserve"> </w:t>
      </w:r>
      <w:proofErr w:type="spellStart"/>
      <w:r w:rsidRPr="0090336C">
        <w:rPr>
          <w:rFonts w:cs="Times New Roman"/>
        </w:rPr>
        <w:t>pasiūlymo</w:t>
      </w:r>
      <w:proofErr w:type="spellEnd"/>
      <w:r w:rsidRPr="0090336C">
        <w:rPr>
          <w:rFonts w:cs="Times New Roman"/>
        </w:rPr>
        <w:t xml:space="preserve"> </w:t>
      </w:r>
      <w:proofErr w:type="spellStart"/>
      <w:r w:rsidRPr="0090336C">
        <w:rPr>
          <w:rFonts w:cs="Times New Roman"/>
        </w:rPr>
        <w:t>ekonominio</w:t>
      </w:r>
      <w:proofErr w:type="spellEnd"/>
      <w:r w:rsidRPr="0090336C">
        <w:rPr>
          <w:rFonts w:cs="Times New Roman"/>
        </w:rPr>
        <w:t xml:space="preserve"> </w:t>
      </w:r>
      <w:proofErr w:type="spellStart"/>
      <w:r w:rsidRPr="0090336C">
        <w:rPr>
          <w:rFonts w:cs="Times New Roman"/>
        </w:rPr>
        <w:t>naudingumo</w:t>
      </w:r>
      <w:proofErr w:type="spellEnd"/>
      <w:r w:rsidRPr="0090336C">
        <w:rPr>
          <w:rFonts w:cs="Times New Roman"/>
        </w:rPr>
        <w:t xml:space="preserve"> </w:t>
      </w:r>
      <w:proofErr w:type="spellStart"/>
      <w:r w:rsidRPr="0090336C">
        <w:rPr>
          <w:rFonts w:cs="Times New Roman"/>
        </w:rPr>
        <w:t>balas</w:t>
      </w:r>
      <w:proofErr w:type="spellEnd"/>
      <w:r w:rsidRPr="0090336C">
        <w:rPr>
          <w:rFonts w:cs="Times New Roman"/>
        </w:rPr>
        <w:t xml:space="preserve"> </w:t>
      </w:r>
      <w:r w:rsidRPr="0090336C">
        <w:rPr>
          <w:rFonts w:cs="Times New Roman"/>
          <w:b/>
        </w:rPr>
        <w:t>(S)</w:t>
      </w:r>
      <w:r w:rsidRPr="0090336C">
        <w:rPr>
          <w:rFonts w:cs="Times New Roman"/>
        </w:rPr>
        <w:t xml:space="preserve"> </w:t>
      </w:r>
      <w:proofErr w:type="spellStart"/>
      <w:r w:rsidRPr="0090336C">
        <w:rPr>
          <w:rFonts w:cs="Times New Roman"/>
        </w:rPr>
        <w:t>apskaičiuojamas</w:t>
      </w:r>
      <w:proofErr w:type="spellEnd"/>
      <w:r w:rsidRPr="0090336C">
        <w:rPr>
          <w:rFonts w:cs="Times New Roman"/>
        </w:rPr>
        <w:t xml:space="preserve"> </w:t>
      </w:r>
      <w:proofErr w:type="spellStart"/>
      <w:r w:rsidRPr="0090336C">
        <w:rPr>
          <w:rFonts w:cs="Times New Roman"/>
        </w:rPr>
        <w:t>sudėjus</w:t>
      </w:r>
      <w:proofErr w:type="spellEnd"/>
      <w:r w:rsidRPr="0090336C">
        <w:rPr>
          <w:rFonts w:cs="Times New Roman"/>
        </w:rPr>
        <w:t xml:space="preserve"> </w:t>
      </w:r>
      <w:proofErr w:type="spellStart"/>
      <w:r w:rsidRPr="0090336C">
        <w:rPr>
          <w:rFonts w:cs="Times New Roman"/>
        </w:rPr>
        <w:t>tiekėjui</w:t>
      </w:r>
      <w:proofErr w:type="spellEnd"/>
      <w:r w:rsidRPr="0090336C">
        <w:rPr>
          <w:rFonts w:cs="Times New Roman"/>
        </w:rPr>
        <w:t xml:space="preserve"> </w:t>
      </w:r>
      <w:proofErr w:type="spellStart"/>
      <w:r w:rsidRPr="0090336C">
        <w:rPr>
          <w:rFonts w:cs="Times New Roman"/>
        </w:rPr>
        <w:t>skirtus</w:t>
      </w:r>
      <w:proofErr w:type="spellEnd"/>
      <w:r w:rsidRPr="0090336C">
        <w:rPr>
          <w:rFonts w:cs="Times New Roman"/>
        </w:rPr>
        <w:t xml:space="preserve"> </w:t>
      </w:r>
      <w:proofErr w:type="spellStart"/>
      <w:r w:rsidRPr="0090336C">
        <w:rPr>
          <w:rFonts w:cs="Times New Roman"/>
        </w:rPr>
        <w:t>balus</w:t>
      </w:r>
      <w:proofErr w:type="spellEnd"/>
      <w:r w:rsidRPr="0090336C">
        <w:rPr>
          <w:rFonts w:cs="Times New Roman"/>
        </w:rPr>
        <w:t xml:space="preserve"> </w:t>
      </w:r>
      <w:proofErr w:type="spellStart"/>
      <w:r w:rsidRPr="0090336C">
        <w:rPr>
          <w:rFonts w:cs="Times New Roman"/>
        </w:rPr>
        <w:t>už</w:t>
      </w:r>
      <w:proofErr w:type="spellEnd"/>
      <w:r w:rsidRPr="0090336C">
        <w:rPr>
          <w:rFonts w:cs="Times New Roman"/>
        </w:rPr>
        <w:t xml:space="preserve"> </w:t>
      </w:r>
      <w:proofErr w:type="spellStart"/>
      <w:r w:rsidRPr="0090336C">
        <w:rPr>
          <w:rFonts w:cs="Times New Roman"/>
        </w:rPr>
        <w:t>visus</w:t>
      </w:r>
      <w:proofErr w:type="spellEnd"/>
      <w:r w:rsidRPr="0090336C">
        <w:rPr>
          <w:rFonts w:cs="Times New Roman"/>
        </w:rPr>
        <w:t xml:space="preserve"> </w:t>
      </w:r>
      <w:proofErr w:type="spellStart"/>
      <w:r w:rsidRPr="0090336C">
        <w:rPr>
          <w:rFonts w:cs="Times New Roman"/>
        </w:rPr>
        <w:t>vertinimo</w:t>
      </w:r>
      <w:proofErr w:type="spellEnd"/>
      <w:r w:rsidRPr="0090336C">
        <w:rPr>
          <w:rFonts w:cs="Times New Roman"/>
        </w:rPr>
        <w:t xml:space="preserve"> </w:t>
      </w:r>
      <w:proofErr w:type="spellStart"/>
      <w:r w:rsidRPr="0090336C">
        <w:rPr>
          <w:rFonts w:cs="Times New Roman"/>
        </w:rPr>
        <w:t>kriterijus</w:t>
      </w:r>
      <w:proofErr w:type="spellEnd"/>
      <w:r w:rsidRPr="0090336C">
        <w:rPr>
          <w:rFonts w:cs="Times New Roman"/>
        </w:rPr>
        <w:t xml:space="preserve"> </w:t>
      </w:r>
      <w:proofErr w:type="spellStart"/>
      <w:r w:rsidRPr="0090336C">
        <w:rPr>
          <w:rFonts w:cs="Times New Roman"/>
        </w:rPr>
        <w:t>taikant</w:t>
      </w:r>
      <w:proofErr w:type="spellEnd"/>
      <w:r w:rsidRPr="0090336C">
        <w:rPr>
          <w:rFonts w:cs="Times New Roman"/>
        </w:rPr>
        <w:t xml:space="preserve"> </w:t>
      </w:r>
      <w:proofErr w:type="spellStart"/>
      <w:r w:rsidRPr="0090336C">
        <w:rPr>
          <w:rFonts w:cs="Times New Roman"/>
        </w:rPr>
        <w:t>formulę</w:t>
      </w:r>
      <w:proofErr w:type="spellEnd"/>
      <w:r w:rsidRPr="0090336C">
        <w:rPr>
          <w:rFonts w:cs="Times New Roman"/>
        </w:rPr>
        <w:t>:</w:t>
      </w:r>
    </w:p>
    <w:p w14:paraId="1D5120E9" w14:textId="77777777" w:rsidR="00A61AE9" w:rsidRPr="0090336C" w:rsidRDefault="00A61AE9" w:rsidP="00A61AE9">
      <w:pPr>
        <w:pStyle w:val="Sraopastraipa"/>
        <w:spacing w:after="0" w:line="240" w:lineRule="auto"/>
        <w:jc w:val="center"/>
        <w:rPr>
          <w:rFonts w:ascii="Times New Roman" w:hAnsi="Times New Roman" w:cs="Times New Roman"/>
          <w:i/>
          <w:sz w:val="22"/>
          <w:szCs w:val="22"/>
        </w:rPr>
      </w:pPr>
      <w:r w:rsidRPr="0090336C">
        <w:rPr>
          <w:rFonts w:ascii="Times New Roman" w:hAnsi="Times New Roman" w:cs="Times New Roman"/>
          <w:i/>
          <w:sz w:val="22"/>
          <w:szCs w:val="22"/>
        </w:rPr>
        <w:t>S=C+T.</w:t>
      </w:r>
    </w:p>
    <w:p w14:paraId="4C683C9F" w14:textId="77777777" w:rsidR="00A61AE9" w:rsidRPr="0090336C" w:rsidRDefault="00A61AE9" w:rsidP="00A61AE9">
      <w:pPr>
        <w:spacing w:after="0" w:line="240" w:lineRule="auto"/>
        <w:jc w:val="both"/>
        <w:rPr>
          <w:rFonts w:ascii="Times New Roman" w:hAnsi="Times New Roman" w:cs="Times New Roman"/>
          <w:i/>
        </w:rPr>
      </w:pPr>
      <w:r w:rsidRPr="0090336C">
        <w:rPr>
          <w:rFonts w:ascii="Times New Roman" w:hAnsi="Times New Roman" w:cs="Times New Roman"/>
          <w:color w:val="000000"/>
          <w:bdr w:val="nil"/>
        </w:rPr>
        <w:t>2.2.2. Kiekvieno tiekėjo pasiūlymo pirmo kriterijaus – pasiūlymo kainos (C) balas apskaičiuojamas mažiausios pasiūlytos kainos</w:t>
      </w:r>
      <w:r w:rsidRPr="0090336C">
        <w:rPr>
          <w:rFonts w:ascii="Times New Roman" w:hAnsi="Times New Roman" w:cs="Times New Roman"/>
        </w:rPr>
        <w:t xml:space="preserve"> </w:t>
      </w:r>
      <w:r w:rsidRPr="0090336C">
        <w:rPr>
          <w:rFonts w:ascii="Times New Roman" w:hAnsi="Times New Roman" w:cs="Times New Roman"/>
          <w:b/>
        </w:rPr>
        <w:t>(C</w:t>
      </w:r>
      <w:r w:rsidRPr="0090336C">
        <w:rPr>
          <w:rFonts w:ascii="Times New Roman" w:hAnsi="Times New Roman" w:cs="Times New Roman"/>
          <w:b/>
          <w:lang w:bidi="he-IL"/>
        </w:rPr>
        <w:t>ₘᵢₙ</w:t>
      </w:r>
      <w:r w:rsidRPr="0090336C">
        <w:rPr>
          <w:rFonts w:ascii="Times New Roman" w:hAnsi="Times New Roman" w:cs="Times New Roman"/>
          <w:b/>
        </w:rPr>
        <w:t>)</w:t>
      </w:r>
      <w:r w:rsidRPr="0090336C">
        <w:rPr>
          <w:rFonts w:ascii="Times New Roman" w:hAnsi="Times New Roman" w:cs="Times New Roman"/>
        </w:rPr>
        <w:t xml:space="preserve"> ir vertinamo pasiūlymo </w:t>
      </w:r>
      <w:r w:rsidRPr="0090336C">
        <w:rPr>
          <w:rFonts w:ascii="Times New Roman" w:hAnsi="Times New Roman" w:cs="Times New Roman"/>
          <w:b/>
        </w:rPr>
        <w:t xml:space="preserve">(Cₚ) </w:t>
      </w:r>
      <w:r w:rsidRPr="0090336C">
        <w:rPr>
          <w:rFonts w:ascii="Times New Roman" w:hAnsi="Times New Roman" w:cs="Times New Roman"/>
        </w:rPr>
        <w:t xml:space="preserve">santykį padauginus iš kainos lyginamojo svorio </w:t>
      </w:r>
      <w:r w:rsidRPr="0090336C">
        <w:rPr>
          <w:rFonts w:ascii="Times New Roman" w:hAnsi="Times New Roman" w:cs="Times New Roman"/>
          <w:b/>
        </w:rPr>
        <w:t>(X).</w:t>
      </w:r>
    </w:p>
    <w:p w14:paraId="55EA7F85" w14:textId="77777777" w:rsidR="00A61AE9" w:rsidRPr="0090336C" w:rsidRDefault="00A61AE9" w:rsidP="00A61AE9">
      <w:pPr>
        <w:pStyle w:val="Sraopastraipa"/>
        <w:spacing w:after="0" w:line="240" w:lineRule="auto"/>
        <w:jc w:val="center"/>
        <w:rPr>
          <w:rFonts w:ascii="Times New Roman" w:hAnsi="Times New Roman" w:cs="Times New Roman"/>
          <w:sz w:val="22"/>
          <w:szCs w:val="22"/>
        </w:rPr>
      </w:pPr>
      <m:oMathPara>
        <m:oMath>
          <m:r>
            <w:rPr>
              <w:rFonts w:ascii="Cambria Math" w:hAnsi="Cambria Math" w:cs="Times New Roman"/>
              <w:sz w:val="22"/>
              <w:szCs w:val="22"/>
            </w:rPr>
            <m:t>C=</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den>
          </m:f>
          <m:r>
            <w:rPr>
              <w:rFonts w:ascii="Cambria Math" w:hAnsi="Cambria Math" w:cs="Times New Roman"/>
              <w:sz w:val="22"/>
              <w:szCs w:val="22"/>
            </w:rPr>
            <m:t>x X</m:t>
          </m:r>
        </m:oMath>
      </m:oMathPara>
    </w:p>
    <w:p w14:paraId="202AF067" w14:textId="628909F6" w:rsidR="00A61AE9" w:rsidRPr="005A5C32" w:rsidRDefault="00A61AE9" w:rsidP="00A61AE9">
      <w:pPr>
        <w:keepNext/>
        <w:spacing w:after="0" w:line="240" w:lineRule="auto"/>
        <w:jc w:val="both"/>
        <w:outlineLvl w:val="2"/>
        <w:rPr>
          <w:rFonts w:ascii="Times New Roman" w:hAnsi="Times New Roman" w:cs="Times New Roman"/>
          <w:sz w:val="20"/>
          <w:szCs w:val="20"/>
        </w:rPr>
      </w:pPr>
      <w:r w:rsidRPr="005A5C32">
        <w:rPr>
          <w:rFonts w:ascii="Times New Roman" w:hAnsi="Times New Roman" w:cs="Times New Roman"/>
          <w:color w:val="000000"/>
          <w:sz w:val="20"/>
          <w:szCs w:val="20"/>
          <w:bdr w:val="nil"/>
        </w:rPr>
        <w:t xml:space="preserve">2.2.3. </w:t>
      </w:r>
      <w:r w:rsidRPr="005A5C32">
        <w:rPr>
          <w:rFonts w:ascii="Times New Roman" w:hAnsi="Times New Roman" w:cs="Times New Roman"/>
          <w:sz w:val="20"/>
          <w:szCs w:val="20"/>
        </w:rPr>
        <w:t>Kiekvieno tiekėjo pasiūlymo T balai (</w:t>
      </w:r>
      <w:proofErr w:type="spellStart"/>
      <w:r w:rsidRPr="005A5C32">
        <w:rPr>
          <w:rFonts w:ascii="Times New Roman" w:hAnsi="Times New Roman" w:cs="Times New Roman"/>
          <w:sz w:val="20"/>
          <w:szCs w:val="20"/>
        </w:rPr>
        <w:t>T</w:t>
      </w:r>
      <w:r w:rsidRPr="005A5C32">
        <w:rPr>
          <w:rFonts w:ascii="Times New Roman" w:hAnsi="Times New Roman" w:cs="Times New Roman"/>
          <w:sz w:val="20"/>
          <w:szCs w:val="20"/>
          <w:vertAlign w:val="subscript"/>
        </w:rPr>
        <w:t>n</w:t>
      </w:r>
      <w:proofErr w:type="spellEnd"/>
      <w:r w:rsidRPr="005A5C32">
        <w:rPr>
          <w:rFonts w:ascii="Times New Roman" w:hAnsi="Times New Roman" w:cs="Times New Roman"/>
          <w:sz w:val="20"/>
          <w:szCs w:val="20"/>
        </w:rPr>
        <w:t xml:space="preserve">) paskaičiuojami pagal žemiau pateiktą formulę kur: </w:t>
      </w:r>
    </w:p>
    <w:p w14:paraId="2A556627" w14:textId="77777777" w:rsidR="00A61AE9" w:rsidRPr="005A5C32" w:rsidRDefault="00A61AE9" w:rsidP="00A61AE9">
      <w:pPr>
        <w:spacing w:after="0" w:line="240" w:lineRule="auto"/>
        <w:rPr>
          <w:rFonts w:ascii="Times New Roman" w:hAnsi="Times New Roman" w:cs="Times New Roman"/>
          <w:sz w:val="20"/>
          <w:szCs w:val="20"/>
        </w:rPr>
      </w:pPr>
      <w:proofErr w:type="spellStart"/>
      <w:r w:rsidRPr="005A5C32">
        <w:rPr>
          <w:rFonts w:ascii="Times New Roman" w:hAnsi="Times New Roman" w:cs="Times New Roman"/>
          <w:bCs/>
          <w:sz w:val="20"/>
          <w:szCs w:val="20"/>
        </w:rPr>
        <w:t>T</w:t>
      </w:r>
      <w:r w:rsidRPr="005A5C32">
        <w:rPr>
          <w:rFonts w:ascii="Times New Roman" w:hAnsi="Times New Roman" w:cs="Times New Roman"/>
          <w:bCs/>
          <w:sz w:val="20"/>
          <w:szCs w:val="20"/>
          <w:vertAlign w:val="subscript"/>
        </w:rPr>
        <w:t>p</w:t>
      </w:r>
      <w:proofErr w:type="spellEnd"/>
      <w:r w:rsidRPr="005A5C32">
        <w:rPr>
          <w:rFonts w:ascii="Times New Roman" w:hAnsi="Times New Roman" w:cs="Times New Roman"/>
          <w:sz w:val="20"/>
          <w:szCs w:val="20"/>
        </w:rPr>
        <w:t xml:space="preserve"> - tiekėjo siūloma parametro reikšmė,  </w:t>
      </w:r>
      <w:proofErr w:type="spellStart"/>
      <w:r w:rsidRPr="005A5C32">
        <w:rPr>
          <w:rFonts w:ascii="Times New Roman" w:hAnsi="Times New Roman" w:cs="Times New Roman"/>
          <w:sz w:val="20"/>
          <w:szCs w:val="20"/>
        </w:rPr>
        <w:t>T</w:t>
      </w:r>
      <w:r w:rsidRPr="005A5C32">
        <w:rPr>
          <w:rFonts w:ascii="Times New Roman" w:hAnsi="Times New Roman" w:cs="Times New Roman"/>
          <w:sz w:val="20"/>
          <w:szCs w:val="20"/>
          <w:vertAlign w:val="subscript"/>
        </w:rPr>
        <w:t>min</w:t>
      </w:r>
      <w:proofErr w:type="spellEnd"/>
      <w:r w:rsidRPr="005A5C32">
        <w:rPr>
          <w:rFonts w:ascii="Times New Roman" w:hAnsi="Times New Roman" w:cs="Times New Roman"/>
          <w:sz w:val="20"/>
          <w:szCs w:val="20"/>
          <w:vertAlign w:val="subscript"/>
        </w:rPr>
        <w:t xml:space="preserve"> </w:t>
      </w:r>
      <w:r w:rsidRPr="005A5C32">
        <w:rPr>
          <w:rFonts w:ascii="Times New Roman" w:hAnsi="Times New Roman" w:cs="Times New Roman"/>
          <w:sz w:val="20"/>
          <w:szCs w:val="20"/>
        </w:rPr>
        <w:t xml:space="preserve"> - mažiausia iš visų tiekėjų siūloma parametro reikšmė, </w:t>
      </w:r>
    </w:p>
    <w:p w14:paraId="293CABA1" w14:textId="77777777" w:rsidR="00A61AE9" w:rsidRPr="005A5C32" w:rsidRDefault="00A61AE9" w:rsidP="00A61AE9">
      <w:pPr>
        <w:spacing w:after="0" w:line="240" w:lineRule="auto"/>
        <w:rPr>
          <w:rFonts w:ascii="Times New Roman" w:hAnsi="Times New Roman" w:cs="Times New Roman"/>
          <w:i/>
          <w:sz w:val="20"/>
          <w:szCs w:val="20"/>
        </w:rPr>
      </w:pPr>
      <w:proofErr w:type="spellStart"/>
      <w:r w:rsidRPr="005A5C32">
        <w:rPr>
          <w:rFonts w:ascii="Times New Roman" w:hAnsi="Times New Roman" w:cs="Times New Roman"/>
          <w:sz w:val="20"/>
          <w:szCs w:val="20"/>
        </w:rPr>
        <w:t>T</w:t>
      </w:r>
      <w:r w:rsidRPr="005A5C32">
        <w:rPr>
          <w:rFonts w:ascii="Times New Roman" w:hAnsi="Times New Roman" w:cs="Times New Roman"/>
          <w:sz w:val="20"/>
          <w:szCs w:val="20"/>
          <w:vertAlign w:val="subscript"/>
        </w:rPr>
        <w:t>max</w:t>
      </w:r>
      <w:proofErr w:type="spellEnd"/>
      <w:r w:rsidRPr="005A5C32">
        <w:rPr>
          <w:rFonts w:ascii="Times New Roman" w:hAnsi="Times New Roman" w:cs="Times New Roman"/>
          <w:sz w:val="20"/>
          <w:szCs w:val="20"/>
          <w:vertAlign w:val="subscript"/>
        </w:rPr>
        <w:t xml:space="preserve"> </w:t>
      </w:r>
      <w:r w:rsidRPr="005A5C32">
        <w:rPr>
          <w:rFonts w:ascii="Times New Roman" w:hAnsi="Times New Roman" w:cs="Times New Roman"/>
          <w:sz w:val="20"/>
          <w:szCs w:val="20"/>
        </w:rPr>
        <w:t xml:space="preserve"> - didžiausia iš visų tiekėjų siūloma parametro reikšmė,   Y - lyginamasis svoris</w:t>
      </w:r>
      <w:r w:rsidRPr="005A5C32">
        <w:rPr>
          <w:rFonts w:ascii="Times New Roman" w:hAnsi="Times New Roman" w:cs="Times New Roman"/>
          <w:bCs/>
          <w:sz w:val="20"/>
          <w:szCs w:val="20"/>
        </w:rPr>
        <w:t>, šiuo atveju 10 balų.</w:t>
      </w:r>
    </w:p>
    <w:p w14:paraId="17910194" w14:textId="77777777" w:rsidR="00A61AE9" w:rsidRPr="005A5C32" w:rsidRDefault="007035B5" w:rsidP="00A61AE9">
      <w:pPr>
        <w:tabs>
          <w:tab w:val="left" w:pos="1560"/>
        </w:tabs>
        <w:spacing w:after="0" w:line="240" w:lineRule="auto"/>
        <w:ind w:left="360"/>
        <w:jc w:val="both"/>
        <w:rPr>
          <w:rFonts w:ascii="Times New Roman" w:hAnsi="Times New Roman" w:cs="Times New Roman"/>
          <w:b/>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min</m:t>
                  </m:r>
                </m:sub>
              </m:sSub>
            </m:num>
            <m:den>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max</m:t>
                      </m:r>
                    </m:sub>
                  </m:sSub>
                  <m:r>
                    <w:rPr>
                      <w:rFonts w:ascii="Cambria Math" w:hAnsi="Cambria Math" w:cs="Times New Roman"/>
                      <w:sz w:val="20"/>
                      <w:szCs w:val="20"/>
                    </w:rPr>
                    <m:t>-T</m:t>
                  </m:r>
                </m:e>
                <m:sub>
                  <m:r>
                    <w:rPr>
                      <w:rFonts w:ascii="Cambria Math" w:hAnsi="Cambria Math" w:cs="Times New Roman"/>
                      <w:sz w:val="20"/>
                      <w:szCs w:val="20"/>
                    </w:rPr>
                    <m:t>min</m:t>
                  </m:r>
                </m:sub>
              </m:sSub>
            </m:den>
          </m:f>
          <m:r>
            <w:rPr>
              <w:rFonts w:ascii="Cambria Math" w:hAnsi="Cambria Math" w:cs="Times New Roman"/>
              <w:sz w:val="20"/>
              <w:szCs w:val="20"/>
            </w:rPr>
            <m:t>x Y</m:t>
          </m:r>
        </m:oMath>
      </m:oMathPara>
    </w:p>
    <w:p w14:paraId="30F6462F" w14:textId="77777777" w:rsidR="00A61AE9" w:rsidRPr="005A5C32" w:rsidRDefault="00A61AE9" w:rsidP="00A61AE9">
      <w:pPr>
        <w:pStyle w:val="Body2"/>
        <w:pBdr>
          <w:top w:val="nil"/>
          <w:left w:val="nil"/>
          <w:bottom w:val="nil"/>
          <w:right w:val="nil"/>
          <w:between w:val="nil"/>
          <w:bar w:val="nil"/>
        </w:pBdr>
        <w:tabs>
          <w:tab w:val="left" w:pos="1134"/>
        </w:tabs>
        <w:spacing w:after="0"/>
        <w:rPr>
          <w:rFonts w:cs="Times New Roman"/>
          <w:color w:val="auto"/>
          <w:sz w:val="20"/>
          <w:szCs w:val="20"/>
          <w:lang w:val="lt-LT"/>
        </w:rPr>
      </w:pPr>
    </w:p>
    <w:p w14:paraId="72EF547C" w14:textId="77777777" w:rsidR="00A61AE9" w:rsidRPr="00483746" w:rsidRDefault="00A61AE9" w:rsidP="00A61AE9">
      <w:pPr>
        <w:pStyle w:val="Body2"/>
        <w:pBdr>
          <w:top w:val="nil"/>
          <w:left w:val="nil"/>
          <w:bottom w:val="nil"/>
          <w:right w:val="nil"/>
          <w:between w:val="nil"/>
          <w:bar w:val="nil"/>
        </w:pBdr>
        <w:tabs>
          <w:tab w:val="left" w:pos="1134"/>
        </w:tabs>
        <w:spacing w:after="0" w:line="360" w:lineRule="auto"/>
        <w:rPr>
          <w:rFonts w:cs="Times New Roman"/>
          <w:color w:val="FF0000"/>
          <w:lang w:val="lt-LT"/>
        </w:rPr>
      </w:pPr>
    </w:p>
    <w:p w14:paraId="36F88D1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993C9" w14:textId="77777777" w:rsidR="007035B5" w:rsidRDefault="007035B5" w:rsidP="00D05666">
      <w:r>
        <w:separator/>
      </w:r>
    </w:p>
  </w:endnote>
  <w:endnote w:type="continuationSeparator" w:id="0">
    <w:p w14:paraId="274B2124" w14:textId="77777777" w:rsidR="007035B5" w:rsidRDefault="007035B5" w:rsidP="00D05666">
      <w:r>
        <w:continuationSeparator/>
      </w:r>
    </w:p>
  </w:endnote>
  <w:endnote w:type="continuationNotice" w:id="1">
    <w:p w14:paraId="15C33F08" w14:textId="77777777" w:rsidR="007035B5" w:rsidRDefault="00703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B6A8E" w:rsidRDefault="007B6A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B6A8E" w:rsidRPr="006B4B89" w:rsidRDefault="007B6A8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004BE">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004BE">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B6A8E" w:rsidRDefault="007B6A8E">
    <w:pPr>
      <w:pStyle w:val="Porat"/>
      <w:jc w:val="right"/>
    </w:pPr>
  </w:p>
  <w:p w14:paraId="2575BBBA" w14:textId="77777777" w:rsidR="007B6A8E" w:rsidRDefault="007B6A8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B6A8E" w:rsidRDefault="007B6A8E">
    <w:pPr>
      <w:pStyle w:val="Porat"/>
      <w:jc w:val="right"/>
    </w:pPr>
    <w:r>
      <w:fldChar w:fldCharType="begin"/>
    </w:r>
    <w:r>
      <w:instrText xml:space="preserve"> PAGE   \* MERGEFORMAT </w:instrText>
    </w:r>
    <w:r>
      <w:fldChar w:fldCharType="separate"/>
    </w:r>
    <w:r w:rsidR="005004BE">
      <w:rPr>
        <w:noProof/>
      </w:rPr>
      <w:t>22</w:t>
    </w:r>
    <w:r>
      <w:rPr>
        <w:noProof/>
      </w:rPr>
      <w:fldChar w:fldCharType="end"/>
    </w:r>
  </w:p>
  <w:p w14:paraId="0B840016" w14:textId="77777777" w:rsidR="007B6A8E" w:rsidRDefault="007B6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12399" w14:textId="77777777" w:rsidR="007035B5" w:rsidRDefault="007035B5" w:rsidP="00D05666">
      <w:r>
        <w:separator/>
      </w:r>
    </w:p>
  </w:footnote>
  <w:footnote w:type="continuationSeparator" w:id="0">
    <w:p w14:paraId="59380F54" w14:textId="77777777" w:rsidR="007035B5" w:rsidRDefault="007035B5" w:rsidP="00D05666">
      <w:r>
        <w:continuationSeparator/>
      </w:r>
    </w:p>
  </w:footnote>
  <w:footnote w:type="continuationNotice" w:id="1">
    <w:p w14:paraId="5BE961E6" w14:textId="77777777" w:rsidR="007035B5" w:rsidRDefault="007035B5">
      <w:pPr>
        <w:spacing w:after="0" w:line="240" w:lineRule="auto"/>
      </w:pPr>
    </w:p>
  </w:footnote>
  <w:footnote w:id="2">
    <w:p w14:paraId="5FE33D7A" w14:textId="77777777" w:rsidR="00DD30F5" w:rsidRPr="00C54A7B" w:rsidRDefault="00DD30F5"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D30F5" w:rsidRPr="00C54A7B" w:rsidRDefault="00DD30F5"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D30F5" w:rsidRDefault="00DD30F5"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B6A8E" w:rsidRDefault="007B6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B6A8E" w:rsidRPr="00202356" w:rsidRDefault="007B6A8E">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B6A8E" w:rsidRDefault="007B6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21"/>
  </w:num>
  <w:num w:numId="5">
    <w:abstractNumId w:val="17"/>
  </w:num>
  <w:num w:numId="6">
    <w:abstractNumId w:val="12"/>
  </w:num>
  <w:num w:numId="7">
    <w:abstractNumId w:val="24"/>
  </w:num>
  <w:num w:numId="8">
    <w:abstractNumId w:val="2"/>
  </w:num>
  <w:num w:numId="9">
    <w:abstractNumId w:val="19"/>
  </w:num>
  <w:num w:numId="10">
    <w:abstractNumId w:val="8"/>
  </w:num>
  <w:num w:numId="11">
    <w:abstractNumId w:val="5"/>
  </w:num>
  <w:num w:numId="12">
    <w:abstractNumId w:val="11"/>
  </w:num>
  <w:num w:numId="13">
    <w:abstractNumId w:val="13"/>
  </w:num>
  <w:num w:numId="14">
    <w:abstractNumId w:val="15"/>
  </w:num>
  <w:num w:numId="15">
    <w:abstractNumId w:val="18"/>
  </w:num>
  <w:num w:numId="16">
    <w:abstractNumId w:val="0"/>
  </w:num>
  <w:num w:numId="17">
    <w:abstractNumId w:val="10"/>
  </w:num>
  <w:num w:numId="18">
    <w:abstractNumId w:val="25"/>
  </w:num>
  <w:num w:numId="19">
    <w:abstractNumId w:val="16"/>
  </w:num>
  <w:num w:numId="20">
    <w:abstractNumId w:val="1"/>
  </w:num>
  <w:num w:numId="21">
    <w:abstractNumId w:val="23"/>
  </w:num>
  <w:num w:numId="22">
    <w:abstractNumId w:val="7"/>
  </w:num>
  <w:num w:numId="23">
    <w:abstractNumId w:val="22"/>
  </w:num>
  <w:num w:numId="24">
    <w:abstractNumId w:val="20"/>
  </w:num>
  <w:num w:numId="25">
    <w:abstractNumId w:val="9"/>
  </w:num>
  <w:num w:numId="2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7FECC-332E-401E-B6DC-93C3C1D4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38562</Words>
  <Characters>21981</Characters>
  <Application>Microsoft Office Word</Application>
  <DocSecurity>0</DocSecurity>
  <Lines>183</Lines>
  <Paragraphs>120</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44</cp:revision>
  <cp:lastPrinted>2023-04-11T11:08:00Z</cp:lastPrinted>
  <dcterms:created xsi:type="dcterms:W3CDTF">2024-03-12T08:30:00Z</dcterms:created>
  <dcterms:modified xsi:type="dcterms:W3CDTF">2024-12-25T10:50:00Z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