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B3492" w14:textId="77777777" w:rsidR="004A0644" w:rsidRDefault="004A0644" w:rsidP="004A0644">
      <w:pPr>
        <w:spacing w:after="120"/>
        <w:ind w:firstLine="426"/>
        <w:jc w:val="both"/>
        <w:rPr>
          <w:rFonts w:ascii="Arial" w:hAnsi="Arial" w:cs="Arial"/>
          <w:bCs/>
          <w:sz w:val="20"/>
          <w:szCs w:val="20"/>
        </w:rPr>
      </w:pPr>
      <w:r>
        <w:rPr>
          <w:rFonts w:ascii="Arial" w:hAnsi="Arial" w:cs="Arial"/>
          <w:bCs/>
          <w:sz w:val="20"/>
          <w:szCs w:val="20"/>
        </w:rPr>
        <w:t>Suinteresuotiems tiekėjams</w:t>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w:t>
      </w:r>
    </w:p>
    <w:p w14:paraId="141C9FEE" w14:textId="77777777" w:rsidR="004A0644" w:rsidRDefault="004A0644" w:rsidP="004A0644">
      <w:pPr>
        <w:spacing w:after="120"/>
        <w:ind w:firstLine="426"/>
        <w:jc w:val="both"/>
        <w:rPr>
          <w:rFonts w:ascii="Arial" w:hAnsi="Arial" w:cs="Arial"/>
          <w:bCs/>
          <w:sz w:val="20"/>
          <w:szCs w:val="20"/>
        </w:rPr>
      </w:pPr>
      <w:r>
        <w:rPr>
          <w:rFonts w:ascii="Arial" w:hAnsi="Arial" w:cs="Arial"/>
          <w:bCs/>
          <w:sz w:val="20"/>
          <w:szCs w:val="20"/>
        </w:rPr>
        <w:t xml:space="preserve">CVP IS susirašinėjimo priemonėmis </w:t>
      </w:r>
    </w:p>
    <w:p w14:paraId="29302D9A" w14:textId="437D262C" w:rsidR="004A0644" w:rsidRPr="008A760B" w:rsidRDefault="004A0644" w:rsidP="004A0644">
      <w:pPr>
        <w:spacing w:after="120"/>
        <w:ind w:firstLine="426"/>
        <w:jc w:val="both"/>
        <w:rPr>
          <w:rFonts w:ascii="Arial" w:hAnsi="Arial" w:cs="Arial"/>
          <w:b/>
          <w:sz w:val="20"/>
          <w:szCs w:val="20"/>
        </w:rPr>
      </w:pPr>
      <w:r w:rsidRPr="008A760B">
        <w:rPr>
          <w:rFonts w:ascii="Arial" w:hAnsi="Arial" w:cs="Arial"/>
          <w:b/>
          <w:sz w:val="20"/>
          <w:szCs w:val="20"/>
        </w:rPr>
        <w:t>DĖL ATSAKYM</w:t>
      </w:r>
      <w:r>
        <w:rPr>
          <w:rFonts w:ascii="Arial" w:hAnsi="Arial" w:cs="Arial"/>
          <w:b/>
          <w:sz w:val="20"/>
          <w:szCs w:val="20"/>
        </w:rPr>
        <w:t>O</w:t>
      </w:r>
      <w:r w:rsidRPr="008A760B">
        <w:rPr>
          <w:rFonts w:ascii="Arial" w:hAnsi="Arial" w:cs="Arial"/>
          <w:b/>
          <w:sz w:val="20"/>
          <w:szCs w:val="20"/>
        </w:rPr>
        <w:t xml:space="preserve"> Į P</w:t>
      </w:r>
      <w:r>
        <w:rPr>
          <w:rFonts w:ascii="Arial" w:hAnsi="Arial" w:cs="Arial"/>
          <w:b/>
          <w:sz w:val="20"/>
          <w:szCs w:val="20"/>
        </w:rPr>
        <w:t>AKLAUSIMĄ</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2025-01-0</w:t>
      </w:r>
      <w:r>
        <w:rPr>
          <w:rFonts w:ascii="Arial" w:hAnsi="Arial" w:cs="Arial"/>
          <w:b/>
          <w:sz w:val="20"/>
          <w:szCs w:val="20"/>
        </w:rPr>
        <w:t>6</w:t>
      </w:r>
    </w:p>
    <w:p w14:paraId="38523301" w14:textId="77777777" w:rsidR="004A0644" w:rsidRDefault="004A0644" w:rsidP="004A0644">
      <w:pPr>
        <w:spacing w:before="40" w:after="40"/>
        <w:jc w:val="both"/>
      </w:pPr>
    </w:p>
    <w:p w14:paraId="447B80D5" w14:textId="77777777" w:rsidR="004A0644" w:rsidRDefault="004A0644" w:rsidP="004A0644">
      <w:pPr>
        <w:spacing w:before="40" w:after="40"/>
        <w:jc w:val="both"/>
      </w:pPr>
    </w:p>
    <w:p w14:paraId="510A528E" w14:textId="44822338" w:rsidR="004A0644" w:rsidRDefault="004A0644" w:rsidP="004A0644">
      <w:pPr>
        <w:spacing w:before="40" w:after="40"/>
        <w:ind w:firstLine="284"/>
        <w:jc w:val="both"/>
        <w:rPr>
          <w:rFonts w:ascii="Arial" w:hAnsi="Arial" w:cs="Arial"/>
          <w:i/>
          <w:iCs/>
          <w:sz w:val="20"/>
          <w:szCs w:val="20"/>
        </w:rPr>
      </w:pPr>
      <w:r>
        <w:rPr>
          <w:rFonts w:ascii="Arial" w:hAnsi="Arial" w:cs="Arial"/>
          <w:i/>
          <w:iCs/>
          <w:sz w:val="20"/>
          <w:szCs w:val="20"/>
        </w:rPr>
        <w:t>AB „Lietuvos paštas“ vykdomo</w:t>
      </w:r>
      <w:r w:rsidRPr="003218E6">
        <w:t xml:space="preserve"> </w:t>
      </w:r>
      <w:r w:rsidRPr="00151E2D">
        <w:rPr>
          <w:rFonts w:ascii="Arial" w:hAnsi="Arial" w:cs="Arial"/>
          <w:i/>
          <w:iCs/>
          <w:sz w:val="20"/>
          <w:szCs w:val="20"/>
        </w:rPr>
        <w:t>Tarpusavio sandorių kainodaros dokumentacijos už 2024-2025 m. parengimo paslauga</w:t>
      </w:r>
      <w:r>
        <w:rPr>
          <w:rFonts w:ascii="Arial" w:hAnsi="Arial" w:cs="Arial"/>
          <w:i/>
          <w:iCs/>
          <w:sz w:val="20"/>
          <w:szCs w:val="20"/>
        </w:rPr>
        <w:t xml:space="preserve"> </w:t>
      </w:r>
      <w:r w:rsidRPr="003218E6">
        <w:rPr>
          <w:rFonts w:ascii="Arial" w:hAnsi="Arial" w:cs="Arial"/>
          <w:i/>
          <w:iCs/>
          <w:sz w:val="20"/>
          <w:szCs w:val="20"/>
        </w:rPr>
        <w:t>pirkim</w:t>
      </w:r>
      <w:r>
        <w:rPr>
          <w:rFonts w:ascii="Arial" w:hAnsi="Arial" w:cs="Arial"/>
          <w:i/>
          <w:iCs/>
          <w:sz w:val="20"/>
          <w:szCs w:val="20"/>
        </w:rPr>
        <w:t xml:space="preserve">o Nr. </w:t>
      </w:r>
      <w:r w:rsidRPr="00151E2D">
        <w:rPr>
          <w:rFonts w:ascii="Arial" w:hAnsi="Arial" w:cs="Arial"/>
          <w:i/>
          <w:iCs/>
          <w:sz w:val="20"/>
          <w:szCs w:val="20"/>
        </w:rPr>
        <w:t>5936844</w:t>
      </w:r>
      <w:r>
        <w:rPr>
          <w:rFonts w:ascii="Arial" w:hAnsi="Arial" w:cs="Arial"/>
          <w:i/>
          <w:iCs/>
          <w:sz w:val="20"/>
          <w:szCs w:val="20"/>
        </w:rPr>
        <w:t xml:space="preserve"> viešojo pirkimo komisija (toliau – Komisija) i</w:t>
      </w:r>
      <w:r w:rsidRPr="00294C85">
        <w:rPr>
          <w:rFonts w:ascii="Arial" w:hAnsi="Arial" w:cs="Arial"/>
          <w:i/>
          <w:iCs/>
          <w:sz w:val="20"/>
          <w:szCs w:val="20"/>
        </w:rPr>
        <w:t xml:space="preserve">nformuoja, kad </w:t>
      </w:r>
      <w:r>
        <w:rPr>
          <w:rFonts w:ascii="Arial" w:hAnsi="Arial" w:cs="Arial"/>
          <w:i/>
          <w:iCs/>
          <w:sz w:val="20"/>
          <w:szCs w:val="20"/>
        </w:rPr>
        <w:t>2025-12-31</w:t>
      </w:r>
      <w:r>
        <w:rPr>
          <w:rFonts w:ascii="Arial" w:hAnsi="Arial" w:cs="Arial"/>
          <w:i/>
          <w:iCs/>
          <w:sz w:val="20"/>
          <w:szCs w:val="20"/>
        </w:rPr>
        <w:t xml:space="preserve"> ir 2026-01-05</w:t>
      </w:r>
      <w:r>
        <w:rPr>
          <w:rFonts w:ascii="Arial" w:hAnsi="Arial" w:cs="Arial"/>
          <w:i/>
          <w:iCs/>
          <w:sz w:val="20"/>
          <w:szCs w:val="20"/>
        </w:rPr>
        <w:t xml:space="preserve"> CVP IS priemonėmis </w:t>
      </w:r>
      <w:r w:rsidRPr="00294C85">
        <w:rPr>
          <w:rFonts w:ascii="Arial" w:hAnsi="Arial" w:cs="Arial"/>
          <w:i/>
          <w:iCs/>
          <w:sz w:val="20"/>
          <w:szCs w:val="20"/>
        </w:rPr>
        <w:t>iš suinteresuot</w:t>
      </w:r>
      <w:r>
        <w:rPr>
          <w:rFonts w:ascii="Arial" w:hAnsi="Arial" w:cs="Arial"/>
          <w:i/>
          <w:iCs/>
          <w:sz w:val="20"/>
          <w:szCs w:val="20"/>
        </w:rPr>
        <w:t>ų</w:t>
      </w:r>
      <w:r w:rsidRPr="00294C85">
        <w:rPr>
          <w:rFonts w:ascii="Arial" w:hAnsi="Arial" w:cs="Arial"/>
          <w:i/>
          <w:iCs/>
          <w:sz w:val="20"/>
          <w:szCs w:val="20"/>
        </w:rPr>
        <w:t xml:space="preserve"> tiekėj</w:t>
      </w:r>
      <w:r>
        <w:rPr>
          <w:rFonts w:ascii="Arial" w:hAnsi="Arial" w:cs="Arial"/>
          <w:i/>
          <w:iCs/>
          <w:sz w:val="20"/>
          <w:szCs w:val="20"/>
        </w:rPr>
        <w:t>ų</w:t>
      </w:r>
      <w:r w:rsidRPr="00294C85">
        <w:rPr>
          <w:rFonts w:ascii="Arial" w:hAnsi="Arial" w:cs="Arial"/>
          <w:i/>
          <w:iCs/>
          <w:sz w:val="20"/>
          <w:szCs w:val="20"/>
        </w:rPr>
        <w:t xml:space="preserve"> buvo gaut</w:t>
      </w:r>
      <w:r>
        <w:rPr>
          <w:rFonts w:ascii="Arial" w:hAnsi="Arial" w:cs="Arial"/>
          <w:i/>
          <w:iCs/>
          <w:sz w:val="20"/>
          <w:szCs w:val="20"/>
        </w:rPr>
        <w:t>i paklausimai</w:t>
      </w:r>
      <w:r>
        <w:rPr>
          <w:rFonts w:ascii="Arial" w:hAnsi="Arial" w:cs="Arial"/>
          <w:i/>
          <w:iCs/>
          <w:sz w:val="20"/>
          <w:szCs w:val="20"/>
        </w:rPr>
        <w:t xml:space="preserve"> </w:t>
      </w:r>
      <w:r>
        <w:rPr>
          <w:rFonts w:ascii="Arial" w:hAnsi="Arial" w:cs="Arial"/>
          <w:i/>
          <w:iCs/>
          <w:sz w:val="20"/>
          <w:szCs w:val="20"/>
        </w:rPr>
        <w:t>(</w:t>
      </w:r>
      <w:r>
        <w:rPr>
          <w:rFonts w:ascii="Arial" w:hAnsi="Arial" w:cs="Arial"/>
          <w:i/>
          <w:iCs/>
          <w:sz w:val="20"/>
          <w:szCs w:val="20"/>
        </w:rPr>
        <w:t>tekstas neredaguotas)  į k</w:t>
      </w:r>
      <w:r>
        <w:rPr>
          <w:rFonts w:ascii="Arial" w:hAnsi="Arial" w:cs="Arial"/>
          <w:i/>
          <w:iCs/>
          <w:sz w:val="20"/>
          <w:szCs w:val="20"/>
        </w:rPr>
        <w:t xml:space="preserve">uruos atsakome </w:t>
      </w:r>
      <w:r>
        <w:rPr>
          <w:rFonts w:ascii="Arial" w:hAnsi="Arial" w:cs="Arial"/>
          <w:i/>
          <w:iCs/>
          <w:sz w:val="20"/>
          <w:szCs w:val="20"/>
        </w:rPr>
        <w:t xml:space="preserve"> taip</w:t>
      </w:r>
      <w:r w:rsidRPr="00294C85">
        <w:rPr>
          <w:rFonts w:ascii="Arial" w:hAnsi="Arial" w:cs="Arial"/>
          <w:i/>
          <w:iCs/>
          <w:sz w:val="20"/>
          <w:szCs w:val="20"/>
        </w:rPr>
        <w:t>:</w:t>
      </w:r>
    </w:p>
    <w:p w14:paraId="140DF000" w14:textId="77777777" w:rsidR="004A0644" w:rsidRDefault="004A0644" w:rsidP="004A0644">
      <w:pPr>
        <w:spacing w:before="40" w:after="40"/>
        <w:ind w:firstLine="284"/>
        <w:jc w:val="both"/>
        <w:rPr>
          <w:rFonts w:ascii="Arial" w:hAnsi="Arial" w:cs="Arial"/>
          <w:b/>
          <w:bCs/>
          <w:i/>
          <w:iCs/>
          <w:sz w:val="20"/>
          <w:szCs w:val="20"/>
        </w:rPr>
      </w:pPr>
    </w:p>
    <w:p w14:paraId="75BCDE61" w14:textId="77777777" w:rsidR="004A0644" w:rsidRPr="00934AD3" w:rsidRDefault="004A0644" w:rsidP="004A0644">
      <w:pPr>
        <w:spacing w:before="40" w:after="40"/>
        <w:ind w:firstLine="284"/>
        <w:jc w:val="both"/>
        <w:rPr>
          <w:rFonts w:ascii="Arial" w:hAnsi="Arial" w:cs="Arial"/>
          <w:b/>
          <w:bCs/>
          <w:i/>
          <w:iCs/>
          <w:sz w:val="20"/>
          <w:szCs w:val="20"/>
        </w:rPr>
      </w:pPr>
      <w:r w:rsidRPr="00934AD3">
        <w:rPr>
          <w:rFonts w:ascii="Arial" w:hAnsi="Arial" w:cs="Arial"/>
          <w:b/>
          <w:bCs/>
          <w:i/>
          <w:iCs/>
          <w:sz w:val="20"/>
          <w:szCs w:val="20"/>
        </w:rPr>
        <w:t xml:space="preserve">1 klausimas </w:t>
      </w:r>
      <w:bookmarkStart w:id="0" w:name="_Hlk181805240"/>
      <w:r w:rsidRPr="00934AD3">
        <w:rPr>
          <w:rFonts w:ascii="Arial" w:hAnsi="Arial" w:cs="Arial"/>
          <w:b/>
          <w:bCs/>
          <w:i/>
          <w:iCs/>
          <w:sz w:val="20"/>
          <w:szCs w:val="20"/>
        </w:rPr>
        <w:t>(tekstas neredaguotas)</w:t>
      </w:r>
      <w:bookmarkEnd w:id="0"/>
      <w:r w:rsidRPr="00934AD3">
        <w:rPr>
          <w:rFonts w:ascii="Arial" w:hAnsi="Arial" w:cs="Arial"/>
          <w:b/>
          <w:bCs/>
          <w:i/>
          <w:iCs/>
          <w:sz w:val="20"/>
          <w:szCs w:val="20"/>
        </w:rPr>
        <w:t>:</w:t>
      </w:r>
    </w:p>
    <w:p w14:paraId="69AC19C9" w14:textId="77777777" w:rsidR="004A0644" w:rsidRDefault="004A0644" w:rsidP="004A0644">
      <w:pPr>
        <w:pStyle w:val="prastasiniatinklio"/>
        <w:shd w:val="clear" w:color="auto" w:fill="FFFFFF"/>
        <w:spacing w:before="0" w:beforeAutospacing="0" w:after="150" w:afterAutospacing="0"/>
        <w:ind w:firstLine="349"/>
        <w:rPr>
          <w:rFonts w:ascii="Roboto" w:hAnsi="Roboto"/>
          <w:color w:val="00241A"/>
          <w:sz w:val="21"/>
          <w:szCs w:val="21"/>
          <w:shd w:val="clear" w:color="auto" w:fill="FFFFFF"/>
        </w:rPr>
      </w:pPr>
      <w:r>
        <w:rPr>
          <w:rFonts w:ascii="Roboto" w:hAnsi="Roboto"/>
          <w:color w:val="00241A"/>
          <w:sz w:val="21"/>
          <w:szCs w:val="21"/>
          <w:shd w:val="clear" w:color="auto" w:fill="FFFFFF"/>
        </w:rPr>
        <w:t>Skelbiamų derybų specialiojoje dalyje, 5 punkte, nurodyta, jog įrodančius dokumentus bus prašoma pateikti galimo laimėtojo, ir jog varžantis dėl ekonominio naudingumo balų reikia užpildyti atitinkamą informaciją pasiūlymo formoje bei 14 priedą.</w:t>
      </w:r>
      <w:r>
        <w:rPr>
          <w:rFonts w:ascii="Roboto" w:hAnsi="Roboto"/>
          <w:color w:val="00241A"/>
          <w:sz w:val="21"/>
          <w:szCs w:val="21"/>
        </w:rPr>
        <w:br/>
      </w:r>
      <w:r>
        <w:rPr>
          <w:rFonts w:ascii="Roboto" w:hAnsi="Roboto"/>
          <w:color w:val="00241A"/>
          <w:sz w:val="21"/>
          <w:szCs w:val="21"/>
          <w:shd w:val="clear" w:color="auto" w:fill="FFFFFF"/>
        </w:rPr>
        <w:t>“5. … Įrodančius dokumentus bus prašoma pateikti galimo Pirkimo laimėtojo. Tiekėjai, kurie varžysis dėl ekonominio naudingumo balo, privalo kartu su pirminiu pasiūlymu pateikti užpildytą Sąlygų SD 3 priedo 5 p. ir Pirkimo sąlygų SD 14 priede deklaruoti siūlomų specialistų minimalią kvalifikaciją.”</w:t>
      </w:r>
      <w:r>
        <w:rPr>
          <w:rFonts w:ascii="Roboto" w:hAnsi="Roboto"/>
          <w:color w:val="00241A"/>
          <w:sz w:val="21"/>
          <w:szCs w:val="21"/>
        </w:rPr>
        <w:br/>
      </w:r>
      <w:r>
        <w:rPr>
          <w:rFonts w:ascii="Roboto" w:hAnsi="Roboto"/>
          <w:color w:val="00241A"/>
          <w:sz w:val="21"/>
          <w:szCs w:val="21"/>
          <w:shd w:val="clear" w:color="auto" w:fill="FFFFFF"/>
        </w:rPr>
        <w:t>Tačiau 8.4 punkte nurodoma, jog pagrindžiančius dokumentus reikia pateikti kartu su pirminiu pasiūlymu.</w:t>
      </w:r>
      <w:r>
        <w:rPr>
          <w:rFonts w:ascii="Roboto" w:hAnsi="Roboto"/>
          <w:color w:val="00241A"/>
          <w:sz w:val="21"/>
          <w:szCs w:val="21"/>
        </w:rPr>
        <w:br/>
      </w:r>
      <w:r>
        <w:rPr>
          <w:rFonts w:ascii="Roboto" w:hAnsi="Roboto"/>
          <w:color w:val="00241A"/>
          <w:sz w:val="21"/>
          <w:szCs w:val="21"/>
          <w:shd w:val="clear" w:color="auto" w:fill="FFFFFF"/>
        </w:rPr>
        <w:t>“8.4. … Tiekėjai, kurie varžysis dėl ekonominio naudingumo balo, privalo kartu su pirminiu pasiūlymu pateikti užpildytą PS SD 14 pr. ir siūlomų specialistų minimalią kvalifikaciją pagrindžiančius dokumentus, ir papildomus dokumentus, pagrindžiančius pirkime keliamus ekonominio naudingumo kriterijus Tiekėjo siūlomiems specialistams.”</w:t>
      </w:r>
      <w:r>
        <w:rPr>
          <w:rFonts w:ascii="Roboto" w:hAnsi="Roboto"/>
          <w:color w:val="00241A"/>
          <w:sz w:val="21"/>
          <w:szCs w:val="21"/>
        </w:rPr>
        <w:br/>
      </w:r>
      <w:r>
        <w:rPr>
          <w:rFonts w:ascii="Roboto" w:hAnsi="Roboto"/>
          <w:color w:val="00241A"/>
          <w:sz w:val="21"/>
          <w:szCs w:val="21"/>
          <w:shd w:val="clear" w:color="auto" w:fill="FFFFFF"/>
        </w:rPr>
        <w:t>Prašome paaiškinti pirkimo sąlygas ir patikslinti, kas turi būti pateikiama kartu su pirminiu pasiūlymu ir ką turės pateikti tik galimas laimėtojas. Pastebėtina, jog 7 priede „Tiekėjų kvalifikacijos reikalavimai“ taip pat nėra nurodyta pateikti įrodomuosius dokumentus.</w:t>
      </w:r>
    </w:p>
    <w:p w14:paraId="0A661940" w14:textId="77777777" w:rsidR="004A0644" w:rsidRPr="00934AD3" w:rsidRDefault="004A0644" w:rsidP="004A0644">
      <w:pPr>
        <w:pStyle w:val="prastasiniatinklio"/>
        <w:shd w:val="clear" w:color="auto" w:fill="FFFFFF"/>
        <w:spacing w:before="0" w:beforeAutospacing="0" w:after="150" w:afterAutospacing="0"/>
        <w:ind w:left="644"/>
        <w:rPr>
          <w:rFonts w:ascii="Calibri" w:hAnsi="Calibri" w:cs="Calibri"/>
          <w:b/>
          <w:bCs/>
          <w:i/>
          <w:iCs/>
          <w:color w:val="333333"/>
          <w:sz w:val="23"/>
          <w:szCs w:val="23"/>
        </w:rPr>
      </w:pPr>
      <w:r w:rsidRPr="00934AD3">
        <w:rPr>
          <w:rFonts w:ascii="Calibri" w:hAnsi="Calibri" w:cs="Calibri"/>
          <w:b/>
          <w:bCs/>
          <w:i/>
          <w:iCs/>
          <w:color w:val="333333"/>
          <w:sz w:val="23"/>
          <w:szCs w:val="23"/>
        </w:rPr>
        <w:t>Atsakymas į 1 klausimą:</w:t>
      </w:r>
    </w:p>
    <w:p w14:paraId="09E36EF1" w14:textId="77777777" w:rsidR="004A0644" w:rsidRDefault="004A0644" w:rsidP="004A0644">
      <w:pPr>
        <w:pStyle w:val="prastasiniatinklio"/>
        <w:shd w:val="clear" w:color="auto" w:fill="FFFFFF"/>
        <w:spacing w:before="0" w:beforeAutospacing="0" w:after="150" w:afterAutospacing="0"/>
        <w:ind w:firstLine="284"/>
        <w:rPr>
          <w:rFonts w:ascii="Calibri" w:hAnsi="Calibri" w:cs="Calibri"/>
          <w:i/>
          <w:iCs/>
          <w:color w:val="333333"/>
          <w:sz w:val="23"/>
          <w:szCs w:val="23"/>
        </w:rPr>
      </w:pPr>
      <w:r>
        <w:rPr>
          <w:rFonts w:ascii="Calibri" w:hAnsi="Calibri" w:cs="Calibri"/>
          <w:i/>
          <w:iCs/>
          <w:color w:val="333333"/>
          <w:sz w:val="23"/>
          <w:szCs w:val="23"/>
        </w:rPr>
        <w:t xml:space="preserve">Atsakydama į suinteresuoto tiekėjo klausimą Komisija pažymi, kad pagal informacijos visumą, pateiktą, Pirkimo Sąlygų SD 5 p. , Sąlygų SD 3 pr. „Pasiūlymo forma“ 6 lentelėje, Sąlygų SD 7 pr. lentelės 2, 3 ir 4 eilučių stulpelyje „Kvalifikaciją įrodantys dokumentai“ ir Sąlygų SD 8 pr. prie pateikiamų dokumentų yra matoma, kad siekdamas gauti ekonominio naudingumo balų, tiekėjas kartu su pirminiu pasiūlymu pateikia </w:t>
      </w:r>
      <w:r w:rsidRPr="004536A2">
        <w:rPr>
          <w:rFonts w:ascii="Calibri" w:hAnsi="Calibri" w:cs="Calibri"/>
          <w:i/>
          <w:iCs/>
          <w:color w:val="333333"/>
          <w:sz w:val="23"/>
          <w:szCs w:val="23"/>
        </w:rPr>
        <w:t>Sąlygų SD 3 priedo 5 p. ir Pirkimo sąlygų SD 14 priede deklaruoti  siūlomų specialistų minimalią kvalifikaciją</w:t>
      </w:r>
      <w:r>
        <w:rPr>
          <w:rFonts w:ascii="Calibri" w:hAnsi="Calibri" w:cs="Calibri"/>
          <w:i/>
          <w:iCs/>
          <w:color w:val="333333"/>
          <w:sz w:val="23"/>
          <w:szCs w:val="23"/>
        </w:rPr>
        <w:t>“</w:t>
      </w:r>
      <w:r w:rsidRPr="004536A2">
        <w:rPr>
          <w:rFonts w:ascii="Calibri" w:hAnsi="Calibri" w:cs="Calibri"/>
          <w:i/>
          <w:iCs/>
          <w:color w:val="333333"/>
          <w:sz w:val="23"/>
          <w:szCs w:val="23"/>
        </w:rPr>
        <w:t>.</w:t>
      </w:r>
      <w:r>
        <w:rPr>
          <w:rFonts w:ascii="Calibri" w:hAnsi="Calibri" w:cs="Calibri"/>
          <w:i/>
          <w:iCs/>
          <w:color w:val="333333"/>
          <w:sz w:val="23"/>
          <w:szCs w:val="23"/>
        </w:rPr>
        <w:t xml:space="preserve">  Pirkėjas, siekdamas visiško sąlygų aiškumo, kad išvengti dviprasmiškumo ištaiso Pirkimų sąlygų SD 8.4.1. punkte yra padarytą techninę klaidą ir Sąlygų SD 8.4.1 p. išdėsto taip:  „</w:t>
      </w:r>
      <w:r w:rsidRPr="004536A2">
        <w:rPr>
          <w:rFonts w:ascii="Calibri" w:hAnsi="Calibri" w:cs="Calibri"/>
          <w:i/>
          <w:iCs/>
          <w:color w:val="333333"/>
          <w:sz w:val="23"/>
          <w:szCs w:val="23"/>
        </w:rPr>
        <w:t xml:space="preserve">Tiekėjai, kurie varžysis dėl ekonominio naudingumo balo, privalo kartu su pirminiu pasiūlymu pateikti užpildytą PS SD 14 pr. </w:t>
      </w:r>
    </w:p>
    <w:p w14:paraId="7523B9FC" w14:textId="77777777" w:rsidR="004A0644" w:rsidRPr="00934AD3" w:rsidRDefault="004A0644" w:rsidP="004A0644">
      <w:pPr>
        <w:spacing w:before="40" w:after="40"/>
        <w:ind w:firstLine="284"/>
        <w:jc w:val="both"/>
        <w:rPr>
          <w:rFonts w:ascii="Arial" w:hAnsi="Arial" w:cs="Arial"/>
          <w:b/>
          <w:bCs/>
          <w:i/>
          <w:iCs/>
          <w:sz w:val="20"/>
          <w:szCs w:val="20"/>
        </w:rPr>
      </w:pPr>
      <w:r>
        <w:rPr>
          <w:rFonts w:ascii="Arial" w:hAnsi="Arial" w:cs="Arial"/>
          <w:b/>
          <w:bCs/>
          <w:i/>
          <w:iCs/>
          <w:sz w:val="20"/>
          <w:szCs w:val="20"/>
        </w:rPr>
        <w:t>2</w:t>
      </w:r>
      <w:r w:rsidRPr="00934AD3">
        <w:rPr>
          <w:rFonts w:ascii="Arial" w:hAnsi="Arial" w:cs="Arial"/>
          <w:b/>
          <w:bCs/>
          <w:i/>
          <w:iCs/>
          <w:sz w:val="20"/>
          <w:szCs w:val="20"/>
        </w:rPr>
        <w:t xml:space="preserve"> klausimas (tekstas neredaguotas):</w:t>
      </w:r>
    </w:p>
    <w:p w14:paraId="76A2FFB7" w14:textId="77777777" w:rsidR="004A0644" w:rsidRDefault="004A0644" w:rsidP="004A0644">
      <w:pPr>
        <w:pStyle w:val="prastasiniatinklio"/>
        <w:shd w:val="clear" w:color="auto" w:fill="FFFFFF"/>
        <w:spacing w:before="0" w:beforeAutospacing="0" w:after="150" w:afterAutospacing="0"/>
        <w:ind w:firstLine="284"/>
        <w:rPr>
          <w:rFonts w:ascii="Roboto" w:hAnsi="Roboto"/>
          <w:color w:val="00241A"/>
          <w:sz w:val="21"/>
          <w:szCs w:val="21"/>
          <w:shd w:val="clear" w:color="auto" w:fill="FFFFFF"/>
        </w:rPr>
      </w:pPr>
      <w:r>
        <w:rPr>
          <w:rFonts w:ascii="Roboto" w:hAnsi="Roboto"/>
          <w:color w:val="00241A"/>
          <w:sz w:val="21"/>
          <w:szCs w:val="21"/>
          <w:shd w:val="clear" w:color="auto" w:fill="FFFFFF"/>
        </w:rPr>
        <w:t>7 priede „Tiekėjų kvalifikacijos reikalavimai“ 1 punkte reikalaujama pateikti suteiktų paslaugų sąrašą. Prašome patikslinti, ar šis sąrašas pateikiamas laisva forma pagal nurodytus reikalavimus?</w:t>
      </w:r>
    </w:p>
    <w:p w14:paraId="66390364" w14:textId="77777777" w:rsidR="004A0644" w:rsidRPr="00934AD3" w:rsidRDefault="004A0644" w:rsidP="004A0644">
      <w:pPr>
        <w:pStyle w:val="prastasiniatinklio"/>
        <w:shd w:val="clear" w:color="auto" w:fill="FFFFFF"/>
        <w:spacing w:before="0" w:beforeAutospacing="0" w:after="150" w:afterAutospacing="0"/>
        <w:ind w:firstLine="284"/>
        <w:rPr>
          <w:rFonts w:ascii="Calibri" w:hAnsi="Calibri" w:cs="Calibri"/>
          <w:b/>
          <w:bCs/>
          <w:i/>
          <w:iCs/>
          <w:color w:val="333333"/>
          <w:sz w:val="23"/>
          <w:szCs w:val="23"/>
        </w:rPr>
      </w:pPr>
      <w:r w:rsidRPr="00934AD3">
        <w:rPr>
          <w:rFonts w:ascii="Calibri" w:hAnsi="Calibri" w:cs="Calibri"/>
          <w:b/>
          <w:bCs/>
          <w:i/>
          <w:iCs/>
          <w:color w:val="333333"/>
          <w:sz w:val="23"/>
          <w:szCs w:val="23"/>
        </w:rPr>
        <w:t xml:space="preserve">Atsakymas į </w:t>
      </w:r>
      <w:r>
        <w:rPr>
          <w:rFonts w:ascii="Calibri" w:hAnsi="Calibri" w:cs="Calibri"/>
          <w:b/>
          <w:bCs/>
          <w:i/>
          <w:iCs/>
          <w:color w:val="333333"/>
          <w:sz w:val="23"/>
          <w:szCs w:val="23"/>
        </w:rPr>
        <w:t>2</w:t>
      </w:r>
      <w:r w:rsidRPr="00934AD3">
        <w:rPr>
          <w:rFonts w:ascii="Calibri" w:hAnsi="Calibri" w:cs="Calibri"/>
          <w:b/>
          <w:bCs/>
          <w:i/>
          <w:iCs/>
          <w:color w:val="333333"/>
          <w:sz w:val="23"/>
          <w:szCs w:val="23"/>
        </w:rPr>
        <w:t xml:space="preserve"> klausimą:</w:t>
      </w:r>
    </w:p>
    <w:p w14:paraId="34441388" w14:textId="77777777" w:rsidR="004A0644" w:rsidRPr="007C6DAA" w:rsidRDefault="004A0644" w:rsidP="004A0644">
      <w:pPr>
        <w:spacing w:before="40" w:after="40"/>
        <w:ind w:firstLine="284"/>
        <w:jc w:val="both"/>
        <w:rPr>
          <w:rFonts w:ascii="Calibri" w:hAnsi="Calibri" w:cs="Calibri"/>
          <w:i/>
          <w:iCs/>
          <w:color w:val="333333"/>
          <w:sz w:val="23"/>
          <w:szCs w:val="23"/>
          <w:lang w:eastAsia="lt-LT"/>
        </w:rPr>
      </w:pPr>
      <w:r w:rsidRPr="007C6DAA">
        <w:rPr>
          <w:rFonts w:ascii="Calibri" w:hAnsi="Calibri" w:cs="Calibri"/>
          <w:i/>
          <w:iCs/>
          <w:color w:val="333333"/>
          <w:sz w:val="23"/>
          <w:szCs w:val="23"/>
          <w:lang w:eastAsia="lt-LT"/>
        </w:rPr>
        <w:t>Taip, šis sąrašas turės būti pateikiamas laisva forma, pateikiami Sąlygų SD 7 priede  1 eilutės Kvalifikaciją įrodančių dokumentų stulpelyje įvardyti dokumentai.</w:t>
      </w:r>
    </w:p>
    <w:p w14:paraId="32AE1A14" w14:textId="77777777" w:rsidR="004A0644" w:rsidRDefault="004A0644" w:rsidP="004A0644">
      <w:pPr>
        <w:spacing w:before="40" w:after="40"/>
        <w:ind w:firstLine="284"/>
        <w:jc w:val="both"/>
        <w:rPr>
          <w:rFonts w:ascii="Calibri" w:hAnsi="Calibri" w:cs="Calibri"/>
          <w:i/>
          <w:iCs/>
          <w:color w:val="333333"/>
          <w:sz w:val="23"/>
          <w:szCs w:val="23"/>
          <w:lang w:eastAsia="lt-LT"/>
        </w:rPr>
      </w:pPr>
      <w:r w:rsidRPr="007C6DAA">
        <w:rPr>
          <w:rFonts w:ascii="Calibri" w:hAnsi="Calibri" w:cs="Calibri"/>
          <w:i/>
          <w:iCs/>
          <w:color w:val="333333"/>
          <w:sz w:val="23"/>
          <w:szCs w:val="23"/>
          <w:lang w:eastAsia="lt-LT"/>
        </w:rPr>
        <w:t xml:space="preserve">Komisija papildomai akcentuoja, kad Sąlygų SD 7 priede  1 eilutėje iškelto kvalifikacinio reikalavimo įrodymo bus prašoma tik galimo pirkimo laimėtojo, kuris turės pateikti  „Kvalifikaciją įrodantys dokumentai“ stulpelyje įvardintus dokumentus. O įrodymus dėl Sąlygų SD 7 priede 2, 3 ir 4 eilutėse iškeltų kvalifikacinių reikalavimų Tiekėjo siūlomiems specialistams bus prašoma pateikti kartu su pirminiu pasiūlymu (deklaruojant pasiūlymo formos 5 p. ir Sąlygų SD 14 pr.) kaip įrodymą, kad Tiekėjo </w:t>
      </w:r>
      <w:r w:rsidRPr="007C6DAA">
        <w:rPr>
          <w:rFonts w:ascii="Calibri" w:hAnsi="Calibri" w:cs="Calibri"/>
          <w:i/>
          <w:iCs/>
          <w:color w:val="333333"/>
          <w:sz w:val="23"/>
          <w:szCs w:val="23"/>
          <w:lang w:eastAsia="lt-LT"/>
        </w:rPr>
        <w:lastRenderedPageBreak/>
        <w:t>siūlomi specialistai atitinka minimalius Pirkimo objekto reikalavimus ir turi teisę varžytis dėl ekonominio naudingumo balų, kurių kiekvieno kriterijaus atskirai minimalus balas gali būti 0, o maksimalus 5 balai.</w:t>
      </w:r>
    </w:p>
    <w:p w14:paraId="5C2B4AA7" w14:textId="77777777" w:rsidR="004A0644" w:rsidRDefault="004A0644" w:rsidP="004A0644">
      <w:pPr>
        <w:spacing w:before="40" w:after="40"/>
        <w:ind w:firstLine="284"/>
        <w:jc w:val="both"/>
        <w:rPr>
          <w:rFonts w:ascii="Calibri" w:hAnsi="Calibri" w:cs="Calibri"/>
          <w:i/>
          <w:iCs/>
          <w:color w:val="333333"/>
          <w:sz w:val="23"/>
          <w:szCs w:val="23"/>
          <w:lang w:eastAsia="lt-LT"/>
        </w:rPr>
      </w:pPr>
    </w:p>
    <w:p w14:paraId="03DBDD43" w14:textId="77777777" w:rsidR="004A0644" w:rsidRPr="00934AD3" w:rsidRDefault="004A0644" w:rsidP="004A0644">
      <w:pPr>
        <w:spacing w:before="40" w:after="40"/>
        <w:ind w:firstLine="284"/>
        <w:jc w:val="both"/>
        <w:rPr>
          <w:rFonts w:ascii="Arial" w:hAnsi="Arial" w:cs="Arial"/>
          <w:b/>
          <w:bCs/>
          <w:i/>
          <w:iCs/>
          <w:sz w:val="20"/>
          <w:szCs w:val="20"/>
        </w:rPr>
      </w:pPr>
      <w:r>
        <w:rPr>
          <w:rFonts w:ascii="Arial" w:hAnsi="Arial" w:cs="Arial"/>
          <w:b/>
          <w:bCs/>
          <w:i/>
          <w:iCs/>
          <w:sz w:val="20"/>
          <w:szCs w:val="20"/>
        </w:rPr>
        <w:t>3</w:t>
      </w:r>
      <w:r w:rsidRPr="00934AD3">
        <w:rPr>
          <w:rFonts w:ascii="Arial" w:hAnsi="Arial" w:cs="Arial"/>
          <w:b/>
          <w:bCs/>
          <w:i/>
          <w:iCs/>
          <w:sz w:val="20"/>
          <w:szCs w:val="20"/>
        </w:rPr>
        <w:t xml:space="preserve"> klausimas (tekstas neredaguotas):</w:t>
      </w:r>
    </w:p>
    <w:p w14:paraId="24C3F8BB" w14:textId="77777777" w:rsidR="004A0644" w:rsidRDefault="004A0644" w:rsidP="004A0644">
      <w:pPr>
        <w:pStyle w:val="prastasiniatinklio"/>
        <w:shd w:val="clear" w:color="auto" w:fill="FFFFFF"/>
        <w:spacing w:before="0" w:beforeAutospacing="0" w:after="150" w:afterAutospacing="0"/>
        <w:ind w:firstLine="284"/>
        <w:rPr>
          <w:rFonts w:ascii="Roboto" w:hAnsi="Roboto"/>
          <w:color w:val="00241A"/>
          <w:sz w:val="21"/>
          <w:szCs w:val="21"/>
          <w:shd w:val="clear" w:color="auto" w:fill="FFFFFF"/>
        </w:rPr>
      </w:pPr>
      <w:r>
        <w:rPr>
          <w:rFonts w:ascii="Roboto" w:hAnsi="Roboto"/>
          <w:color w:val="00241A"/>
          <w:sz w:val="21"/>
          <w:szCs w:val="21"/>
          <w:shd w:val="clear" w:color="auto" w:fill="FFFFFF"/>
        </w:rPr>
        <w:t>Specialiųjų sąlygų 8 priede „Pasiūlymų vertinimo metodika ir vertinimo kriterijai“ 2 punkte prie kiekvieno kriterijaus nurodyta: „Informacija pateikiama apie kiekvieną siūlomą tiekėjo komandos specialistą, atitinkantį nustatytus minimalius kvalifikacijos reikalavimus.“ Prašome paaiškinti, ar vienai pozicijai gali būti skiriamas daugiau nei vienas specialistas ir kaip, pasiūlius daugiau negu vieną specialistą, būtų skiriamas ekonominio naudingumo balas. Šiame priede nematome sąlygų, tai paaiškinančių.</w:t>
      </w:r>
    </w:p>
    <w:p w14:paraId="0D29E9EA" w14:textId="77777777" w:rsidR="004A0644" w:rsidRPr="00934AD3" w:rsidRDefault="004A0644" w:rsidP="004A0644">
      <w:pPr>
        <w:pStyle w:val="prastasiniatinklio"/>
        <w:shd w:val="clear" w:color="auto" w:fill="FFFFFF"/>
        <w:spacing w:before="0" w:beforeAutospacing="0" w:after="150" w:afterAutospacing="0"/>
        <w:ind w:firstLine="284"/>
        <w:rPr>
          <w:rFonts w:ascii="Calibri" w:hAnsi="Calibri" w:cs="Calibri"/>
          <w:b/>
          <w:bCs/>
          <w:i/>
          <w:iCs/>
          <w:color w:val="333333"/>
          <w:sz w:val="23"/>
          <w:szCs w:val="23"/>
        </w:rPr>
      </w:pPr>
      <w:r w:rsidRPr="00934AD3">
        <w:rPr>
          <w:rFonts w:ascii="Calibri" w:hAnsi="Calibri" w:cs="Calibri"/>
          <w:b/>
          <w:bCs/>
          <w:i/>
          <w:iCs/>
          <w:color w:val="333333"/>
          <w:sz w:val="23"/>
          <w:szCs w:val="23"/>
        </w:rPr>
        <w:t xml:space="preserve">Atsakymas į </w:t>
      </w:r>
      <w:r>
        <w:rPr>
          <w:rFonts w:ascii="Calibri" w:hAnsi="Calibri" w:cs="Calibri"/>
          <w:b/>
          <w:bCs/>
          <w:i/>
          <w:iCs/>
          <w:color w:val="333333"/>
          <w:sz w:val="23"/>
          <w:szCs w:val="23"/>
        </w:rPr>
        <w:t>3</w:t>
      </w:r>
      <w:r w:rsidRPr="00934AD3">
        <w:rPr>
          <w:rFonts w:ascii="Calibri" w:hAnsi="Calibri" w:cs="Calibri"/>
          <w:b/>
          <w:bCs/>
          <w:i/>
          <w:iCs/>
          <w:color w:val="333333"/>
          <w:sz w:val="23"/>
          <w:szCs w:val="23"/>
        </w:rPr>
        <w:t xml:space="preserve"> klausimą:</w:t>
      </w:r>
    </w:p>
    <w:p w14:paraId="1BFF7088" w14:textId="77777777" w:rsidR="004A0644" w:rsidRPr="007C6DAA" w:rsidRDefault="004A0644" w:rsidP="004A0644">
      <w:pPr>
        <w:pStyle w:val="prastasiniatinklio"/>
        <w:shd w:val="clear" w:color="auto" w:fill="FFFFFF"/>
        <w:spacing w:before="0" w:beforeAutospacing="0" w:after="150" w:afterAutospacing="0"/>
        <w:ind w:firstLine="284"/>
        <w:rPr>
          <w:rFonts w:ascii="Calibri" w:hAnsi="Calibri" w:cs="Calibri"/>
          <w:i/>
          <w:iCs/>
          <w:color w:val="333333"/>
          <w:sz w:val="23"/>
          <w:szCs w:val="23"/>
        </w:rPr>
      </w:pPr>
      <w:r w:rsidRPr="007C6DAA">
        <w:rPr>
          <w:rFonts w:ascii="Calibri" w:hAnsi="Calibri" w:cs="Calibri"/>
          <w:i/>
          <w:iCs/>
          <w:color w:val="333333"/>
          <w:sz w:val="23"/>
          <w:szCs w:val="23"/>
        </w:rPr>
        <w:t xml:space="preserve">Pirkėjas nėra apribojęs Tiekėjo siūlomų specialistų skaičiaus, taip kaip ir nustato viešuosius pirkimus reglamentuojantys teisės aktai. Tiekėjai sprendžia, kiek specialistų jie pasiteks vykdyti sutartį, kad ji būtų įvykdyta tinkamai. Tačiau Pirkėjas Sąlygų SD 8 priede numato, kad maksimalus kiekvieno iš kokybinio kriterijaus balas </w:t>
      </w:r>
      <m:oMath>
        <m:r>
          <w:rPr>
            <w:rFonts w:ascii="Cambria Math" w:hAnsi="Cambria Math" w:cs="Calibri"/>
            <w:color w:val="333333"/>
            <w:sz w:val="23"/>
            <w:szCs w:val="23"/>
          </w:rPr>
          <m:t>(</m:t>
        </m:r>
        <w:bookmarkStart w:id="1" w:name="_Hlk218581399"/>
        <m:sSub>
          <m:sSubPr>
            <m:ctrlPr>
              <w:rPr>
                <w:rFonts w:ascii="Cambria Math" w:hAnsi="Cambria Math" w:cs="Arial"/>
                <w:b/>
                <w:i/>
                <w:sz w:val="20"/>
                <w:szCs w:val="20"/>
                <w:lang w:val="af-ZA" w:eastAsia="en-US"/>
                <w14:ligatures w14:val="none"/>
              </w:rPr>
            </m:ctrlPr>
          </m:sSubPr>
          <m:e>
            <m:r>
              <m:rPr>
                <m:sty m:val="bi"/>
              </m:rPr>
              <w:rPr>
                <w:rFonts w:ascii="Cambria Math" w:hAnsi="Cambria Math" w:cs="Arial"/>
                <w:sz w:val="20"/>
                <w:szCs w:val="20"/>
                <w:lang w:val="af-ZA" w:eastAsia="en-US"/>
                <w14:ligatures w14:val="none"/>
              </w:rPr>
              <m:t>T</m:t>
            </m:r>
          </m:e>
          <m:sub>
            <m:r>
              <m:rPr>
                <m:sty m:val="bi"/>
              </m:rPr>
              <w:rPr>
                <w:rFonts w:ascii="Cambria Math" w:hAnsi="Cambria Math" w:cs="Arial"/>
                <w:sz w:val="20"/>
                <w:szCs w:val="20"/>
                <w:lang w:val="af-ZA" w:eastAsia="en-US"/>
                <w14:ligatures w14:val="none"/>
              </w:rPr>
              <m:t>1</m:t>
            </m:r>
          </m:sub>
        </m:sSub>
        <m:r>
          <m:rPr>
            <m:sty m:val="bi"/>
          </m:rPr>
          <w:rPr>
            <w:rFonts w:ascii="Cambria Math" w:hAnsi="Cambria Math" w:cs="Arial"/>
            <w:sz w:val="20"/>
            <w:szCs w:val="20"/>
            <w:lang w:val="af-ZA" w:eastAsia="en-US"/>
            <w14:ligatures w14:val="none"/>
          </w:rPr>
          <m:t xml:space="preserve"> /</m:t>
        </m:r>
      </m:oMath>
      <w:r w:rsidRPr="00C846FD">
        <w:rPr>
          <w:rFonts w:ascii="Arial" w:hAnsi="Arial" w:cs="Arial"/>
          <w:b/>
          <w:sz w:val="20"/>
          <w:szCs w:val="20"/>
          <w:lang w:val="af-ZA" w:eastAsia="en-US"/>
          <w14:ligatures w14:val="none"/>
        </w:rPr>
        <w:t xml:space="preserve"> </w:t>
      </w:r>
      <m:oMath>
        <m:sSub>
          <m:sSubPr>
            <m:ctrlPr>
              <w:rPr>
                <w:rFonts w:ascii="Cambria Math" w:hAnsi="Cambria Math" w:cs="Arial"/>
                <w:b/>
                <w:i/>
                <w:sz w:val="20"/>
                <w:szCs w:val="20"/>
                <w:lang w:val="af-ZA" w:eastAsia="en-US"/>
                <w14:ligatures w14:val="none"/>
              </w:rPr>
            </m:ctrlPr>
          </m:sSubPr>
          <m:e>
            <m:r>
              <m:rPr>
                <m:sty m:val="bi"/>
              </m:rPr>
              <w:rPr>
                <w:rFonts w:ascii="Cambria Math" w:hAnsi="Cambria Math" w:cs="Arial"/>
                <w:sz w:val="20"/>
                <w:szCs w:val="20"/>
                <w:lang w:val="af-ZA" w:eastAsia="en-US"/>
                <w14:ligatures w14:val="none"/>
              </w:rPr>
              <m:t>T</m:t>
            </m:r>
          </m:e>
          <m:sub>
            <m:r>
              <m:rPr>
                <m:sty m:val="bi"/>
              </m:rPr>
              <w:rPr>
                <w:rFonts w:ascii="Cambria Math" w:hAnsi="Cambria Math" w:cs="Arial"/>
                <w:sz w:val="20"/>
                <w:szCs w:val="20"/>
                <w:lang w:val="af-ZA" w:eastAsia="en-US"/>
                <w14:ligatures w14:val="none"/>
              </w:rPr>
              <m:t>2</m:t>
            </m:r>
          </m:sub>
        </m:sSub>
        <m:r>
          <m:rPr>
            <m:sty m:val="bi"/>
          </m:rPr>
          <w:rPr>
            <w:rFonts w:ascii="Cambria Math" w:hAnsi="Cambria Math" w:cs="Arial"/>
            <w:sz w:val="20"/>
            <w:szCs w:val="20"/>
            <w:lang w:val="af-ZA" w:eastAsia="en-US"/>
            <w14:ligatures w14:val="none"/>
          </w:rPr>
          <m:t xml:space="preserve"> /</m:t>
        </m:r>
      </m:oMath>
      <w:r w:rsidRPr="00C846FD">
        <w:rPr>
          <w:rFonts w:ascii="Arial" w:hAnsi="Arial" w:cs="Arial"/>
          <w:b/>
          <w:sz w:val="20"/>
          <w:szCs w:val="20"/>
          <w:lang w:val="af-ZA" w:eastAsia="en-US"/>
          <w14:ligatures w14:val="none"/>
        </w:rPr>
        <w:t xml:space="preserve"> </w:t>
      </w:r>
      <m:oMath>
        <m:sSub>
          <m:sSubPr>
            <m:ctrlPr>
              <w:rPr>
                <w:rFonts w:ascii="Cambria Math" w:hAnsi="Cambria Math" w:cs="Arial"/>
                <w:b/>
                <w:i/>
                <w:sz w:val="20"/>
                <w:szCs w:val="20"/>
                <w:lang w:val="af-ZA" w:eastAsia="en-US"/>
                <w14:ligatures w14:val="none"/>
              </w:rPr>
            </m:ctrlPr>
          </m:sSubPr>
          <m:e>
            <m:r>
              <m:rPr>
                <m:sty m:val="bi"/>
              </m:rPr>
              <w:rPr>
                <w:rFonts w:ascii="Cambria Math" w:hAnsi="Cambria Math" w:cs="Arial"/>
                <w:sz w:val="20"/>
                <w:szCs w:val="20"/>
                <w:lang w:val="af-ZA" w:eastAsia="en-US"/>
                <w14:ligatures w14:val="none"/>
              </w:rPr>
              <m:t>T</m:t>
            </m:r>
          </m:e>
          <m:sub>
            <m:r>
              <m:rPr>
                <m:sty m:val="bi"/>
              </m:rPr>
              <w:rPr>
                <w:rFonts w:ascii="Cambria Math" w:hAnsi="Cambria Math" w:cs="Arial"/>
                <w:sz w:val="20"/>
                <w:szCs w:val="20"/>
                <w:lang w:val="af-ZA" w:eastAsia="en-US"/>
                <w14:ligatures w14:val="none"/>
              </w:rPr>
              <m:t>3</m:t>
            </m:r>
          </m:sub>
        </m:sSub>
      </m:oMath>
      <w:r>
        <w:rPr>
          <w:rFonts w:ascii="Calibri" w:hAnsi="Calibri" w:cs="Calibri"/>
          <w:i/>
          <w:iCs/>
          <w:color w:val="333333"/>
          <w:sz w:val="23"/>
          <w:szCs w:val="23"/>
        </w:rPr>
        <w:t>)</w:t>
      </w:r>
      <w:r w:rsidRPr="007C6DAA">
        <w:rPr>
          <w:rFonts w:ascii="Calibri" w:hAnsi="Calibri" w:cs="Calibri"/>
          <w:i/>
          <w:iCs/>
          <w:color w:val="333333"/>
          <w:sz w:val="23"/>
          <w:szCs w:val="23"/>
        </w:rPr>
        <w:t xml:space="preserve"> </w:t>
      </w:r>
      <w:bookmarkEnd w:id="1"/>
      <w:r w:rsidRPr="007C6DAA">
        <w:rPr>
          <w:rFonts w:ascii="Calibri" w:hAnsi="Calibri" w:cs="Calibri"/>
          <w:i/>
          <w:iCs/>
          <w:color w:val="333333"/>
          <w:sz w:val="23"/>
          <w:szCs w:val="23"/>
        </w:rPr>
        <w:t xml:space="preserve">yra 5 balai, tai reiškia, kad tiekėjas, įvertinęs sutarties vykdymo sąlygas dėl sau naudingų priežasčių gali siūlyti daugiau nei vieną minimalią kvalifikaciją atitinkantį specialistą, vykdysiančius sutartį, bet už pirkime iškeltą kokybinį kriterijų </w:t>
      </w:r>
      <m:oMath>
        <m:sSub>
          <m:sSubPr>
            <m:ctrlPr>
              <w:rPr>
                <w:rFonts w:ascii="Cambria Math" w:hAnsi="Cambria Math" w:cs="Arial"/>
                <w:b/>
                <w:i/>
                <w:sz w:val="20"/>
                <w:szCs w:val="20"/>
                <w:lang w:val="af-ZA" w:eastAsia="en-US"/>
                <w14:ligatures w14:val="none"/>
              </w:rPr>
            </m:ctrlPr>
          </m:sSubPr>
          <m:e>
            <m:r>
              <m:rPr>
                <m:sty m:val="bi"/>
              </m:rPr>
              <w:rPr>
                <w:rFonts w:ascii="Cambria Math" w:hAnsi="Cambria Math" w:cs="Arial"/>
                <w:sz w:val="20"/>
                <w:szCs w:val="20"/>
                <w:lang w:val="af-ZA" w:eastAsia="en-US"/>
                <w14:ligatures w14:val="none"/>
              </w:rPr>
              <m:t>T</m:t>
            </m:r>
          </m:e>
          <m:sub>
            <m:r>
              <m:rPr>
                <m:sty m:val="bi"/>
              </m:rPr>
              <w:rPr>
                <w:rFonts w:ascii="Cambria Math" w:hAnsi="Cambria Math" w:cs="Arial"/>
                <w:sz w:val="20"/>
                <w:szCs w:val="20"/>
                <w:lang w:val="af-ZA" w:eastAsia="en-US"/>
                <w14:ligatures w14:val="none"/>
              </w:rPr>
              <m:t>1</m:t>
            </m:r>
          </m:sub>
        </m:sSub>
        <m:r>
          <m:rPr>
            <m:sty m:val="bi"/>
          </m:rPr>
          <w:rPr>
            <w:rFonts w:ascii="Cambria Math" w:hAnsi="Cambria Math" w:cs="Arial"/>
            <w:sz w:val="20"/>
            <w:szCs w:val="20"/>
            <w:lang w:val="af-ZA" w:eastAsia="en-US"/>
            <w14:ligatures w14:val="none"/>
          </w:rPr>
          <m:t xml:space="preserve"> /</m:t>
        </m:r>
      </m:oMath>
      <w:r w:rsidRPr="00C846FD">
        <w:rPr>
          <w:rFonts w:ascii="Arial" w:hAnsi="Arial" w:cs="Arial"/>
          <w:b/>
          <w:sz w:val="20"/>
          <w:szCs w:val="20"/>
          <w:lang w:val="af-ZA" w:eastAsia="en-US"/>
          <w14:ligatures w14:val="none"/>
        </w:rPr>
        <w:t xml:space="preserve"> </w:t>
      </w:r>
      <m:oMath>
        <m:sSub>
          <m:sSubPr>
            <m:ctrlPr>
              <w:rPr>
                <w:rFonts w:ascii="Cambria Math" w:hAnsi="Cambria Math" w:cs="Arial"/>
                <w:b/>
                <w:i/>
                <w:sz w:val="20"/>
                <w:szCs w:val="20"/>
                <w:lang w:val="af-ZA" w:eastAsia="en-US"/>
                <w14:ligatures w14:val="none"/>
              </w:rPr>
            </m:ctrlPr>
          </m:sSubPr>
          <m:e>
            <m:r>
              <m:rPr>
                <m:sty m:val="bi"/>
              </m:rPr>
              <w:rPr>
                <w:rFonts w:ascii="Cambria Math" w:hAnsi="Cambria Math" w:cs="Arial"/>
                <w:sz w:val="20"/>
                <w:szCs w:val="20"/>
                <w:lang w:val="af-ZA" w:eastAsia="en-US"/>
                <w14:ligatures w14:val="none"/>
              </w:rPr>
              <m:t>T</m:t>
            </m:r>
          </m:e>
          <m:sub>
            <m:r>
              <m:rPr>
                <m:sty m:val="bi"/>
              </m:rPr>
              <w:rPr>
                <w:rFonts w:ascii="Cambria Math" w:hAnsi="Cambria Math" w:cs="Arial"/>
                <w:sz w:val="20"/>
                <w:szCs w:val="20"/>
                <w:lang w:val="af-ZA" w:eastAsia="en-US"/>
                <w14:ligatures w14:val="none"/>
              </w:rPr>
              <m:t>2</m:t>
            </m:r>
          </m:sub>
        </m:sSub>
        <m:r>
          <m:rPr>
            <m:sty m:val="bi"/>
          </m:rPr>
          <w:rPr>
            <w:rFonts w:ascii="Cambria Math" w:hAnsi="Cambria Math" w:cs="Arial"/>
            <w:sz w:val="20"/>
            <w:szCs w:val="20"/>
            <w:lang w:val="af-ZA" w:eastAsia="en-US"/>
            <w14:ligatures w14:val="none"/>
          </w:rPr>
          <m:t xml:space="preserve"> /</m:t>
        </m:r>
      </m:oMath>
      <w:r w:rsidRPr="00C846FD">
        <w:rPr>
          <w:rFonts w:ascii="Arial" w:hAnsi="Arial" w:cs="Arial"/>
          <w:b/>
          <w:sz w:val="20"/>
          <w:szCs w:val="20"/>
          <w:lang w:val="af-ZA" w:eastAsia="en-US"/>
          <w14:ligatures w14:val="none"/>
        </w:rPr>
        <w:t xml:space="preserve"> </w:t>
      </w:r>
      <m:oMath>
        <m:sSub>
          <m:sSubPr>
            <m:ctrlPr>
              <w:rPr>
                <w:rFonts w:ascii="Cambria Math" w:hAnsi="Cambria Math" w:cs="Arial"/>
                <w:b/>
                <w:i/>
                <w:sz w:val="20"/>
                <w:szCs w:val="20"/>
                <w:lang w:val="af-ZA" w:eastAsia="en-US"/>
                <w14:ligatures w14:val="none"/>
              </w:rPr>
            </m:ctrlPr>
          </m:sSubPr>
          <m:e>
            <m:r>
              <m:rPr>
                <m:sty m:val="bi"/>
              </m:rPr>
              <w:rPr>
                <w:rFonts w:ascii="Cambria Math" w:hAnsi="Cambria Math" w:cs="Arial"/>
                <w:sz w:val="20"/>
                <w:szCs w:val="20"/>
                <w:lang w:val="af-ZA" w:eastAsia="en-US"/>
                <w14:ligatures w14:val="none"/>
              </w:rPr>
              <m:t>T</m:t>
            </m:r>
          </m:e>
          <m:sub>
            <m:r>
              <m:rPr>
                <m:sty m:val="bi"/>
              </m:rPr>
              <w:rPr>
                <w:rFonts w:ascii="Cambria Math" w:hAnsi="Cambria Math" w:cs="Arial"/>
                <w:sz w:val="20"/>
                <w:szCs w:val="20"/>
                <w:lang w:val="af-ZA" w:eastAsia="en-US"/>
                <w14:ligatures w14:val="none"/>
              </w:rPr>
              <m:t>3</m:t>
            </m:r>
          </m:sub>
        </m:sSub>
      </m:oMath>
      <w:r>
        <w:rPr>
          <w:rFonts w:ascii="Calibri" w:hAnsi="Calibri" w:cs="Calibri"/>
          <w:i/>
          <w:iCs/>
          <w:color w:val="333333"/>
          <w:sz w:val="23"/>
          <w:szCs w:val="23"/>
        </w:rPr>
        <w:t xml:space="preserve"> </w:t>
      </w:r>
      <w:r w:rsidRPr="007C6DAA">
        <w:rPr>
          <w:rFonts w:ascii="Calibri" w:hAnsi="Calibri" w:cs="Calibri"/>
          <w:i/>
          <w:iCs/>
          <w:color w:val="333333"/>
          <w:sz w:val="23"/>
          <w:szCs w:val="23"/>
        </w:rPr>
        <w:t xml:space="preserve">gali gauti ne daugiau nei maksimalų balų skaičių, t. y. balai už specialistus nėra sumuojami, jei bent vienas iš pasiūlytų specialistų turi aukštesnę kvalifikaciją, tiekėjui suteikiamas maksimalus galimas gauti balas (5). </w:t>
      </w:r>
    </w:p>
    <w:p w14:paraId="318CBF90" w14:textId="77777777" w:rsidR="004A0644" w:rsidRDefault="004A0644" w:rsidP="004A0644">
      <w:pPr>
        <w:pStyle w:val="prastasiniatinklio"/>
        <w:shd w:val="clear" w:color="auto" w:fill="FFFFFF"/>
        <w:spacing w:before="0" w:beforeAutospacing="0" w:after="150" w:afterAutospacing="0"/>
        <w:ind w:firstLine="284"/>
        <w:rPr>
          <w:rFonts w:ascii="Calibri" w:hAnsi="Calibri" w:cs="Calibri"/>
          <w:i/>
          <w:iCs/>
          <w:color w:val="333333"/>
          <w:sz w:val="23"/>
          <w:szCs w:val="23"/>
        </w:rPr>
      </w:pPr>
    </w:p>
    <w:p w14:paraId="7F9DCCF4" w14:textId="77777777" w:rsidR="004A0644" w:rsidRPr="00D60D27" w:rsidRDefault="004A0644" w:rsidP="004A0644">
      <w:pPr>
        <w:spacing w:before="40" w:after="40"/>
        <w:ind w:firstLine="284"/>
        <w:jc w:val="both"/>
        <w:rPr>
          <w:rFonts w:ascii="Arial" w:hAnsi="Arial" w:cs="Arial"/>
          <w:b/>
          <w:bCs/>
          <w:i/>
          <w:iCs/>
          <w:sz w:val="20"/>
          <w:szCs w:val="20"/>
        </w:rPr>
      </w:pPr>
      <w:r w:rsidRPr="00D60D27">
        <w:rPr>
          <w:rFonts w:ascii="Arial" w:hAnsi="Arial" w:cs="Arial"/>
          <w:b/>
          <w:bCs/>
          <w:i/>
          <w:iCs/>
          <w:sz w:val="20"/>
          <w:szCs w:val="20"/>
        </w:rPr>
        <w:t>4 klausimas (tekstas neredaguotas)</w:t>
      </w:r>
    </w:p>
    <w:p w14:paraId="63CC9E15" w14:textId="77777777" w:rsidR="004A0644" w:rsidRPr="00597023" w:rsidRDefault="004A0644" w:rsidP="004A0644">
      <w:pPr>
        <w:pStyle w:val="prastasiniatinklio"/>
        <w:shd w:val="clear" w:color="auto" w:fill="FFFFFF"/>
        <w:spacing w:before="0" w:beforeAutospacing="0" w:after="150" w:afterAutospacing="0"/>
        <w:ind w:firstLine="284"/>
        <w:rPr>
          <w:rFonts w:ascii="Roboto" w:hAnsi="Roboto"/>
          <w:color w:val="00241A"/>
          <w:sz w:val="21"/>
          <w:szCs w:val="21"/>
          <w:shd w:val="clear" w:color="auto" w:fill="FFFFFF"/>
        </w:rPr>
      </w:pPr>
      <w:r w:rsidRPr="00597023">
        <w:rPr>
          <w:rFonts w:ascii="Roboto" w:hAnsi="Roboto"/>
          <w:color w:val="00241A"/>
          <w:sz w:val="21"/>
          <w:szCs w:val="21"/>
          <w:shd w:val="clear" w:color="auto" w:fill="FFFFFF"/>
        </w:rPr>
        <w:t>Kad spėtume susipažinti su pirkimo dukumentais bei parengti pasiūlymą, prašome pasiūlymo pateikimo terminą nukelti iki sausio 15 d.</w:t>
      </w:r>
    </w:p>
    <w:p w14:paraId="3BD965C5" w14:textId="77777777" w:rsidR="004A0644" w:rsidRPr="00D60D27" w:rsidRDefault="004A0644" w:rsidP="004A0644">
      <w:pPr>
        <w:pStyle w:val="prastasiniatinklio"/>
        <w:shd w:val="clear" w:color="auto" w:fill="FFFFFF"/>
        <w:spacing w:before="0" w:beforeAutospacing="0" w:after="150" w:afterAutospacing="0"/>
        <w:ind w:firstLine="284"/>
        <w:rPr>
          <w:rFonts w:ascii="Calibri" w:hAnsi="Calibri" w:cs="Calibri"/>
          <w:b/>
          <w:bCs/>
          <w:i/>
          <w:iCs/>
          <w:color w:val="333333"/>
          <w:sz w:val="23"/>
          <w:szCs w:val="23"/>
        </w:rPr>
      </w:pPr>
      <w:r w:rsidRPr="00D60D27">
        <w:rPr>
          <w:rFonts w:ascii="Calibri" w:hAnsi="Calibri" w:cs="Calibri"/>
          <w:b/>
          <w:bCs/>
          <w:i/>
          <w:iCs/>
          <w:color w:val="333333"/>
          <w:sz w:val="23"/>
          <w:szCs w:val="23"/>
        </w:rPr>
        <w:t>Atsakymas į 4 klausimą</w:t>
      </w:r>
    </w:p>
    <w:p w14:paraId="1E21FDC0" w14:textId="77777777" w:rsidR="004A0644" w:rsidRDefault="004A0644" w:rsidP="004A0644">
      <w:pPr>
        <w:pStyle w:val="prastasiniatinklio"/>
        <w:shd w:val="clear" w:color="auto" w:fill="FFFFFF"/>
        <w:spacing w:before="0" w:beforeAutospacing="0" w:after="150" w:afterAutospacing="0"/>
        <w:ind w:firstLine="284"/>
        <w:rPr>
          <w:rFonts w:ascii="Calibri" w:hAnsi="Calibri" w:cs="Calibri"/>
          <w:i/>
          <w:iCs/>
          <w:color w:val="333333"/>
          <w:sz w:val="23"/>
          <w:szCs w:val="23"/>
        </w:rPr>
      </w:pPr>
      <w:r>
        <w:rPr>
          <w:rFonts w:ascii="Calibri" w:hAnsi="Calibri" w:cs="Calibri"/>
          <w:i/>
          <w:iCs/>
          <w:color w:val="333333"/>
          <w:sz w:val="23"/>
          <w:szCs w:val="23"/>
        </w:rPr>
        <w:t>Komisija informuoja prašymą pateikusį tiekėją ir kitus suinteresuotus Tiekėjus, kad Pirkėjui šis pirkimas yra skubus ir kad pirminių pasiūlymų terminas jau buvo nukeltas iš 2025-12-31 į 2026-01-09 dieną. Komisija nukelia pasiūlymų pateikimo terminą į 2026-01-12 10:00 val. su tikslu, kad Tiekėjai turėtų pakankamai laiko susipažinti su Komisijos pateiktais atsakymais į paklausimą.</w:t>
      </w:r>
    </w:p>
    <w:p w14:paraId="191077A8" w14:textId="77777777" w:rsidR="004A0644" w:rsidRDefault="004A0644" w:rsidP="004A0644">
      <w:pPr>
        <w:pStyle w:val="prastasiniatinklio"/>
        <w:shd w:val="clear" w:color="auto" w:fill="FFFFFF"/>
        <w:spacing w:before="0" w:beforeAutospacing="0" w:after="150" w:afterAutospacing="0"/>
        <w:ind w:firstLine="284"/>
        <w:rPr>
          <w:rFonts w:ascii="Calibri" w:hAnsi="Calibri" w:cs="Calibri"/>
          <w:i/>
          <w:iCs/>
          <w:color w:val="333333"/>
          <w:sz w:val="23"/>
          <w:szCs w:val="23"/>
        </w:rPr>
      </w:pPr>
    </w:p>
    <w:p w14:paraId="27CB37C2" w14:textId="77777777" w:rsidR="004A0644" w:rsidRDefault="004A0644" w:rsidP="004A0644">
      <w:pPr>
        <w:pStyle w:val="prastasiniatinklio"/>
        <w:shd w:val="clear" w:color="auto" w:fill="FFFFFF"/>
        <w:spacing w:before="0" w:beforeAutospacing="0" w:after="150" w:afterAutospacing="0"/>
        <w:ind w:firstLine="284"/>
        <w:rPr>
          <w:rFonts w:ascii="Calibri" w:hAnsi="Calibri" w:cs="Calibri"/>
          <w:i/>
          <w:iCs/>
          <w:color w:val="333333"/>
          <w:sz w:val="23"/>
          <w:szCs w:val="23"/>
        </w:rPr>
      </w:pPr>
      <w:r>
        <w:rPr>
          <w:rFonts w:ascii="Calibri" w:hAnsi="Calibri" w:cs="Calibri"/>
          <w:i/>
          <w:iCs/>
          <w:color w:val="333333"/>
          <w:sz w:val="23"/>
          <w:szCs w:val="23"/>
        </w:rPr>
        <w:t>Pagarbiai, Komisija</w:t>
      </w:r>
    </w:p>
    <w:p w14:paraId="3A26CB25" w14:textId="77777777" w:rsidR="004A0644" w:rsidRPr="00B32307" w:rsidRDefault="004A0644" w:rsidP="004A0644">
      <w:pPr>
        <w:spacing w:before="40" w:after="40"/>
        <w:jc w:val="both"/>
        <w:rPr>
          <w:rFonts w:ascii="Arial" w:hAnsi="Arial" w:cs="Arial"/>
          <w:sz w:val="20"/>
          <w:szCs w:val="20"/>
        </w:rPr>
      </w:pPr>
    </w:p>
    <w:p w14:paraId="7D4C10B9" w14:textId="77777777" w:rsidR="004A0644" w:rsidRPr="00B32307" w:rsidRDefault="004A0644" w:rsidP="004A0644">
      <w:pPr>
        <w:spacing w:before="40" w:after="40"/>
        <w:jc w:val="both"/>
        <w:rPr>
          <w:rFonts w:ascii="Arial" w:hAnsi="Arial" w:cs="Arial"/>
          <w:sz w:val="20"/>
          <w:szCs w:val="20"/>
        </w:rPr>
      </w:pPr>
    </w:p>
    <w:p w14:paraId="6A2A7194" w14:textId="77777777" w:rsidR="004A0644" w:rsidRPr="00B32307" w:rsidRDefault="004A0644" w:rsidP="004A0644">
      <w:pPr>
        <w:spacing w:before="40" w:after="40"/>
        <w:jc w:val="both"/>
        <w:rPr>
          <w:rFonts w:ascii="Arial" w:hAnsi="Arial" w:cs="Arial"/>
          <w:sz w:val="20"/>
          <w:szCs w:val="20"/>
        </w:rPr>
      </w:pPr>
    </w:p>
    <w:p w14:paraId="7C74509E" w14:textId="77777777" w:rsidR="0048496B" w:rsidRDefault="0048496B"/>
    <w:sectPr w:rsidR="0048496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452CFA"/>
    <w:rsid w:val="00127D65"/>
    <w:rsid w:val="002B5C7D"/>
    <w:rsid w:val="00452CFA"/>
    <w:rsid w:val="00453608"/>
    <w:rsid w:val="0048496B"/>
    <w:rsid w:val="004A0644"/>
    <w:rsid w:val="004B56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16FF2"/>
  <w15:chartTrackingRefBased/>
  <w15:docId w15:val="{92A84EE5-0CDC-4C09-AB96-E80AE943C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644"/>
    <w:pPr>
      <w:spacing w:after="0" w:line="240" w:lineRule="auto"/>
    </w:pPr>
    <w:rPr>
      <w:rFonts w:ascii="Times New Roman" w:eastAsia="Times New Roman" w:hAnsi="Times New Roman" w:cs="Times New Roman"/>
      <w:kern w:val="0"/>
      <w:sz w:val="24"/>
      <w:szCs w:val="24"/>
    </w:rPr>
  </w:style>
  <w:style w:type="paragraph" w:styleId="Antrat1">
    <w:name w:val="heading 1"/>
    <w:basedOn w:val="prastasis"/>
    <w:next w:val="prastasis"/>
    <w:link w:val="Antrat1Diagrama"/>
    <w:uiPriority w:val="9"/>
    <w:qFormat/>
    <w:rsid w:val="00452C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52C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52CF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52CF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52CF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52CF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52CF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52CF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52CF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52CF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52CF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52CF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52CF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52CF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52CF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52CF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52CF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52CF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52CF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52CF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52CF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52CF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52CF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52CFA"/>
    <w:rPr>
      <w:i/>
      <w:iCs/>
      <w:color w:val="404040" w:themeColor="text1" w:themeTint="BF"/>
    </w:rPr>
  </w:style>
  <w:style w:type="paragraph" w:styleId="Sraopastraipa">
    <w:name w:val="List Paragraph"/>
    <w:basedOn w:val="prastasis"/>
    <w:uiPriority w:val="34"/>
    <w:qFormat/>
    <w:rsid w:val="00452CFA"/>
    <w:pPr>
      <w:ind w:left="720"/>
      <w:contextualSpacing/>
    </w:pPr>
  </w:style>
  <w:style w:type="character" w:styleId="Rykuspabraukimas">
    <w:name w:val="Intense Emphasis"/>
    <w:basedOn w:val="Numatytasispastraiposriftas"/>
    <w:uiPriority w:val="21"/>
    <w:qFormat/>
    <w:rsid w:val="00452CFA"/>
    <w:rPr>
      <w:i/>
      <w:iCs/>
      <w:color w:val="2F5496" w:themeColor="accent1" w:themeShade="BF"/>
    </w:rPr>
  </w:style>
  <w:style w:type="paragraph" w:styleId="Iskirtacitata">
    <w:name w:val="Intense Quote"/>
    <w:basedOn w:val="prastasis"/>
    <w:next w:val="prastasis"/>
    <w:link w:val="IskirtacitataDiagrama"/>
    <w:uiPriority w:val="30"/>
    <w:qFormat/>
    <w:rsid w:val="00452C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52CFA"/>
    <w:rPr>
      <w:i/>
      <w:iCs/>
      <w:color w:val="2F5496" w:themeColor="accent1" w:themeShade="BF"/>
    </w:rPr>
  </w:style>
  <w:style w:type="character" w:styleId="Rykinuoroda">
    <w:name w:val="Intense Reference"/>
    <w:basedOn w:val="Numatytasispastraiposriftas"/>
    <w:uiPriority w:val="32"/>
    <w:qFormat/>
    <w:rsid w:val="00452CFA"/>
    <w:rPr>
      <w:b/>
      <w:bCs/>
      <w:smallCaps/>
      <w:color w:val="2F5496" w:themeColor="accent1" w:themeShade="BF"/>
      <w:spacing w:val="5"/>
    </w:rPr>
  </w:style>
  <w:style w:type="paragraph" w:styleId="prastasiniatinklio">
    <w:name w:val="Normal (Web)"/>
    <w:basedOn w:val="prastasis"/>
    <w:uiPriority w:val="99"/>
    <w:semiHidden/>
    <w:unhideWhenUsed/>
    <w:rsid w:val="004A0644"/>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3675</Words>
  <Characters>2096</Characters>
  <Application>Microsoft Office Word</Application>
  <DocSecurity>0</DocSecurity>
  <Lines>17</Lines>
  <Paragraphs>11</Paragraphs>
  <ScaleCrop>false</ScaleCrop>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Puodžiūnienė</dc:creator>
  <cp:keywords/>
  <dc:description/>
  <cp:lastModifiedBy>Daina Puodžiūnienė</cp:lastModifiedBy>
  <cp:revision>2</cp:revision>
  <dcterms:created xsi:type="dcterms:W3CDTF">2026-01-06T08:11:00Z</dcterms:created>
  <dcterms:modified xsi:type="dcterms:W3CDTF">2026-01-06T08:15:00Z</dcterms:modified>
</cp:coreProperties>
</file>