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50D0" w14:textId="791595DA" w:rsidR="00677DAA" w:rsidRPr="00677DAA" w:rsidRDefault="00677DAA" w:rsidP="00677DAA">
      <w:pPr>
        <w:widowControl w:val="0"/>
        <w:suppressAutoHyphens/>
        <w:overflowPunct/>
        <w:autoSpaceDE/>
        <w:autoSpaceDN/>
        <w:adjustRightInd/>
        <w:jc w:val="right"/>
        <w:rPr>
          <w:bCs/>
          <w:color w:val="000000" w:themeColor="text1"/>
          <w:sz w:val="24"/>
          <w:szCs w:val="28"/>
          <w:lang w:eastAsia="ar-SA"/>
        </w:rPr>
      </w:pPr>
      <w:bookmarkStart w:id="0" w:name="_Hlk86825377"/>
      <w:bookmarkStart w:id="1" w:name="_Ref38540913"/>
      <w:bookmarkStart w:id="2" w:name="_Ref38898051"/>
      <w:bookmarkStart w:id="3" w:name="_Ref38901392"/>
      <w:bookmarkStart w:id="4" w:name="_Toc48053189"/>
      <w:bookmarkStart w:id="5" w:name="_Toc85706892"/>
      <w:r w:rsidRPr="00677DAA">
        <w:rPr>
          <w:bCs/>
          <w:color w:val="000000" w:themeColor="text1"/>
          <w:sz w:val="24"/>
          <w:szCs w:val="28"/>
          <w:lang w:eastAsia="ar-SA"/>
        </w:rPr>
        <w:t>Pirkimo sąlygų 1 priedas</w:t>
      </w:r>
      <w:bookmarkEnd w:id="0"/>
      <w:bookmarkEnd w:id="1"/>
      <w:bookmarkEnd w:id="2"/>
      <w:bookmarkEnd w:id="3"/>
      <w:bookmarkEnd w:id="4"/>
      <w:bookmarkEnd w:id="5"/>
    </w:p>
    <w:p w14:paraId="3C564A1A" w14:textId="77777777" w:rsidR="00677DAA" w:rsidRDefault="00677DAA" w:rsidP="00A149AB">
      <w:pPr>
        <w:widowControl w:val="0"/>
        <w:suppressAutoHyphens/>
        <w:overflowPunct/>
        <w:autoSpaceDE/>
        <w:autoSpaceDN/>
        <w:adjustRightInd/>
        <w:jc w:val="center"/>
        <w:rPr>
          <w:b/>
          <w:color w:val="000000" w:themeColor="text1"/>
          <w:sz w:val="24"/>
          <w:szCs w:val="28"/>
          <w:lang w:eastAsia="ar-SA"/>
        </w:rPr>
      </w:pPr>
    </w:p>
    <w:p w14:paraId="37003E28" w14:textId="77777777" w:rsidR="00677DAA" w:rsidRDefault="00677DAA" w:rsidP="00A149AB">
      <w:pPr>
        <w:widowControl w:val="0"/>
        <w:suppressAutoHyphens/>
        <w:overflowPunct/>
        <w:autoSpaceDE/>
        <w:autoSpaceDN/>
        <w:adjustRightInd/>
        <w:jc w:val="center"/>
        <w:rPr>
          <w:b/>
          <w:color w:val="000000" w:themeColor="text1"/>
          <w:sz w:val="24"/>
          <w:szCs w:val="28"/>
          <w:lang w:eastAsia="ar-SA"/>
        </w:rPr>
      </w:pPr>
    </w:p>
    <w:p w14:paraId="16F37573" w14:textId="5565A1E2" w:rsidR="00A149AB" w:rsidRPr="00113A3B" w:rsidRDefault="00113A3B" w:rsidP="00A149AB">
      <w:pPr>
        <w:widowControl w:val="0"/>
        <w:suppressAutoHyphens/>
        <w:overflowPunct/>
        <w:autoSpaceDE/>
        <w:autoSpaceDN/>
        <w:adjustRightInd/>
        <w:jc w:val="center"/>
        <w:rPr>
          <w:b/>
          <w:color w:val="000000" w:themeColor="text1"/>
          <w:sz w:val="24"/>
          <w:szCs w:val="28"/>
          <w:lang w:eastAsia="ar-SA"/>
        </w:rPr>
      </w:pPr>
      <w:r>
        <w:rPr>
          <w:b/>
          <w:color w:val="000000" w:themeColor="text1"/>
          <w:sz w:val="24"/>
          <w:szCs w:val="28"/>
          <w:lang w:eastAsia="ar-SA"/>
        </w:rPr>
        <w:t>GERIAMOJO</w:t>
      </w:r>
      <w:r w:rsidR="00A149AB" w:rsidRPr="00113A3B">
        <w:rPr>
          <w:b/>
          <w:color w:val="000000" w:themeColor="text1"/>
          <w:sz w:val="24"/>
          <w:szCs w:val="28"/>
          <w:lang w:eastAsia="ar-SA"/>
        </w:rPr>
        <w:t xml:space="preserve"> VANDENS SKAITIKLIŲ PIRKIMO TECHNINĖ  SPECIFIKACIJA</w:t>
      </w:r>
    </w:p>
    <w:p w14:paraId="14ED6E4F" w14:textId="77777777" w:rsidR="00A149AB" w:rsidRPr="00113A3B" w:rsidRDefault="00A149AB" w:rsidP="00A149AB">
      <w:pPr>
        <w:widowControl w:val="0"/>
        <w:suppressAutoHyphens/>
        <w:overflowPunct/>
        <w:autoSpaceDE/>
        <w:autoSpaceDN/>
        <w:adjustRightInd/>
        <w:jc w:val="both"/>
        <w:rPr>
          <w:bCs/>
          <w:color w:val="000000" w:themeColor="text1"/>
          <w:sz w:val="24"/>
          <w:szCs w:val="24"/>
          <w:lang w:eastAsia="ar-SA"/>
        </w:rPr>
      </w:pPr>
    </w:p>
    <w:p w14:paraId="73AD82A5" w14:textId="77777777" w:rsidR="00A149AB" w:rsidRPr="00113A3B" w:rsidRDefault="00A149AB" w:rsidP="00A149AB">
      <w:pPr>
        <w:widowControl w:val="0"/>
        <w:numPr>
          <w:ilvl w:val="0"/>
          <w:numId w:val="1"/>
        </w:numPr>
        <w:suppressAutoHyphens/>
        <w:overflowPunct/>
        <w:autoSpaceDE/>
        <w:autoSpaceDN/>
        <w:adjustRightInd/>
        <w:spacing w:before="60" w:after="60" w:line="276" w:lineRule="auto"/>
        <w:ind w:left="567" w:hanging="567"/>
        <w:jc w:val="both"/>
        <w:outlineLvl w:val="0"/>
        <w:rPr>
          <w:b/>
          <w:bCs/>
          <w:color w:val="000000" w:themeColor="text1"/>
          <w:sz w:val="24"/>
          <w:szCs w:val="24"/>
          <w:lang w:eastAsia="ar-SA"/>
        </w:rPr>
      </w:pPr>
      <w:r w:rsidRPr="00113A3B">
        <w:rPr>
          <w:b/>
          <w:bCs/>
          <w:color w:val="000000" w:themeColor="text1"/>
          <w:sz w:val="24"/>
          <w:szCs w:val="24"/>
          <w:lang w:eastAsia="ar-SA"/>
        </w:rPr>
        <w:t>Bendri reikalavimai</w:t>
      </w:r>
    </w:p>
    <w:p w14:paraId="6279EBC0"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Visi tiekiami skaitikliai turi būti nauji bei nenaudoti;</w:t>
      </w:r>
    </w:p>
    <w:p w14:paraId="7A560FAB"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Matuojama terpė – šaltas geriamasis vanduo;</w:t>
      </w:r>
    </w:p>
    <w:p w14:paraId="52A41B0A"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 xml:space="preserve">Skaitikliai turi būti tiekiami su einamaisiais metais atlikta pirmine patikra. </w:t>
      </w:r>
    </w:p>
    <w:p w14:paraId="7CAE3BA6"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Skaitiklio ženklų, liudijančių apie matavimo priemonės tipą, modelio  patvirtinimą ir atliktą pirminę patikrą forma ir turinys turi atitikti Matavimo priemonių teisinio metrologinio reglamentavimo taisyklių reikalavimus. Visi ženklai turi būti aiškiai įskaitomi.</w:t>
      </w:r>
    </w:p>
    <w:p w14:paraId="43335A86"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Skaitiklio dalys, kontaktuojančios su geriamuoju vandeniu, turi būti pagamintos iš sveikatai nekenksmingų ir atsparių korozijai medžiagų.</w:t>
      </w:r>
    </w:p>
    <w:p w14:paraId="24248D0A"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Skaitikliai turi atitikti LST EN 14154-1 standarto reikalavimus arba lygiaverčio;</w:t>
      </w:r>
    </w:p>
    <w:p w14:paraId="2943819D"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Skaitikliai turi atitikti galiojančios redakcijos Matavimo priemonių techninio reglamento reikalavimus.</w:t>
      </w:r>
    </w:p>
    <w:p w14:paraId="1DD03ABB"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Skaitikliai turi atitikti galiojančios redakcijos Metrologinio reglamentavimo taisyklių reikalavimus.</w:t>
      </w:r>
    </w:p>
    <w:p w14:paraId="5869D17A" w14:textId="4CC04F6A"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Ant skaitiklių korpuso arba skaičiavimo mechanizmo turi būti brūkšninis (BAR)</w:t>
      </w:r>
      <w:r w:rsidR="009109C6">
        <w:rPr>
          <w:bCs/>
          <w:color w:val="000000" w:themeColor="text1"/>
          <w:sz w:val="24"/>
          <w:szCs w:val="24"/>
          <w:lang w:eastAsia="ar-SA"/>
        </w:rPr>
        <w:t xml:space="preserve"> arba </w:t>
      </w:r>
      <w:r w:rsidR="009109C6">
        <w:rPr>
          <w:bCs/>
          <w:color w:val="000000" w:themeColor="text1"/>
          <w:sz w:val="24"/>
          <w:szCs w:val="24"/>
          <w:lang w:val="en-US" w:eastAsia="ar-SA"/>
        </w:rPr>
        <w:t>QR</w:t>
      </w:r>
      <w:r w:rsidRPr="00113A3B">
        <w:rPr>
          <w:bCs/>
          <w:color w:val="000000" w:themeColor="text1"/>
          <w:sz w:val="24"/>
          <w:szCs w:val="24"/>
          <w:lang w:eastAsia="ar-SA"/>
        </w:rPr>
        <w:t xml:space="preserve"> kodas, kuriame būtų užšifruotas jo gamyklinis numeris;</w:t>
      </w:r>
    </w:p>
    <w:p w14:paraId="6E962257" w14:textId="6168BFFE" w:rsidR="00A149AB" w:rsidRPr="00D164FE"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Skaitikliams turi būti suteikiama ne mažesnis kaip aštuoniolikos mėnesių garantinis laikotarpis</w:t>
      </w:r>
      <w:r w:rsidR="00D164FE">
        <w:rPr>
          <w:bCs/>
          <w:color w:val="000000" w:themeColor="text1"/>
          <w:sz w:val="24"/>
          <w:szCs w:val="24"/>
          <w:lang w:eastAsia="ar-SA"/>
        </w:rPr>
        <w:t>.</w:t>
      </w:r>
    </w:p>
    <w:p w14:paraId="10B04876" w14:textId="0AEFC81E" w:rsidR="00A149AB" w:rsidRPr="00D164FE" w:rsidRDefault="00A149AB" w:rsidP="00D164FE">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D164FE">
        <w:rPr>
          <w:bCs/>
          <w:color w:val="000000" w:themeColor="text1"/>
          <w:sz w:val="24"/>
          <w:szCs w:val="24"/>
          <w:lang w:eastAsia="ar-SA"/>
        </w:rPr>
        <w:t xml:space="preserve">Tiekėjas skaitiklius turi pristatyti savo lėšomis ne ilgiau kaip per 20 kalendorinių dienų nuo užsakymo pateikimo dienos. </w:t>
      </w:r>
    </w:p>
    <w:p w14:paraId="55D89D39"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Tiekėjas kartu su kiekviena tiekiamų skaitiklių partija privalo pateikti skaitiklių perdavimo – priėmimo aktą.</w:t>
      </w:r>
    </w:p>
    <w:p w14:paraId="7214830C"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sz w:val="24"/>
          <w:szCs w:val="24"/>
          <w:lang w:eastAsia="ar-SA"/>
        </w:rPr>
      </w:pPr>
      <w:r w:rsidRPr="00113A3B">
        <w:rPr>
          <w:bCs/>
          <w:sz w:val="24"/>
          <w:szCs w:val="24"/>
          <w:lang w:eastAsia="ar-SA"/>
        </w:rPr>
        <w:t xml:space="preserve">Tiekėjas kartu su kiekviena tiekiamų skaitiklių partija privalo pateikti pateiktų skaitiklių sąrašą Excel formate, kuriame turi būti nurodytas kiekvieno tiekiamo skaitiklio gamyklinis Nr., diametras, ilgis bei pirminės patikros atlikimo metai. </w:t>
      </w:r>
    </w:p>
    <w:p w14:paraId="17F4606B" w14:textId="6A4270BA" w:rsidR="00A149AB" w:rsidRPr="00113A3B" w:rsidRDefault="00A149AB" w:rsidP="00A149AB">
      <w:pPr>
        <w:widowControl w:val="0"/>
        <w:numPr>
          <w:ilvl w:val="1"/>
          <w:numId w:val="1"/>
        </w:numPr>
        <w:suppressAutoHyphens/>
        <w:overflowPunct/>
        <w:autoSpaceDE/>
        <w:autoSpaceDN/>
        <w:adjustRightInd/>
        <w:spacing w:before="60"/>
        <w:ind w:left="567" w:hanging="567"/>
        <w:jc w:val="both"/>
        <w:outlineLvl w:val="1"/>
        <w:rPr>
          <w:bCs/>
          <w:sz w:val="24"/>
          <w:szCs w:val="24"/>
          <w:lang w:eastAsia="ar-SA"/>
        </w:rPr>
      </w:pPr>
      <w:r w:rsidRPr="00113A3B">
        <w:rPr>
          <w:bCs/>
          <w:sz w:val="24"/>
          <w:szCs w:val="24"/>
          <w:lang w:eastAsia="ar-SA"/>
        </w:rPr>
        <w:t>Skaitikliai turi  turėti nuotolinio rodmenų nuskaitymo galimybę</w:t>
      </w:r>
      <w:r w:rsidR="00860D1D">
        <w:rPr>
          <w:bCs/>
          <w:sz w:val="24"/>
          <w:szCs w:val="24"/>
          <w:lang w:eastAsia="ar-SA"/>
        </w:rPr>
        <w:t>, t</w:t>
      </w:r>
      <w:r w:rsidRPr="00113A3B">
        <w:rPr>
          <w:bCs/>
          <w:sz w:val="24"/>
          <w:szCs w:val="24"/>
          <w:lang w:eastAsia="ar-SA"/>
        </w:rPr>
        <w:t xml:space="preserve">.y. skaitiklių konstrukcijoje turi būti numatyta vieta bei galimybė įrengti radijo arba laidinį (M-Bus arba lygiavertį) modulį pirminiam rodmenų fiksavimui bei perdavimui. Modulis turi būti montuojamas bei plombuojamas ant skaitiklio jo neišardant, nenuimant skaitiklio ir nenaudojant laidų. Duomenų perdavimui turi būti naudojamas 868 MHz radijo dažnis ir </w:t>
      </w:r>
      <w:r w:rsidRPr="00113A3B">
        <w:rPr>
          <w:sz w:val="24"/>
          <w:szCs w:val="24"/>
        </w:rPr>
        <w:t>duomenų perdavimo protokolas atitinkantis LST EN 13757 standarto reikalavimus.</w:t>
      </w:r>
    </w:p>
    <w:p w14:paraId="1523A27E" w14:textId="07EFC0EA" w:rsidR="00A149AB" w:rsidRPr="00113A3B" w:rsidRDefault="00A149AB" w:rsidP="00A149AB">
      <w:pPr>
        <w:widowControl w:val="0"/>
        <w:numPr>
          <w:ilvl w:val="1"/>
          <w:numId w:val="1"/>
        </w:numPr>
        <w:suppressAutoHyphens/>
        <w:overflowPunct/>
        <w:autoSpaceDE/>
        <w:autoSpaceDN/>
        <w:adjustRightInd/>
        <w:spacing w:before="60"/>
        <w:ind w:left="567" w:hanging="567"/>
        <w:jc w:val="both"/>
        <w:outlineLvl w:val="1"/>
        <w:rPr>
          <w:bCs/>
          <w:noProof/>
          <w:sz w:val="24"/>
          <w:szCs w:val="24"/>
          <w:lang w:eastAsia="ar-SA"/>
        </w:rPr>
      </w:pPr>
      <w:r w:rsidRPr="00113A3B">
        <w:rPr>
          <w:bCs/>
          <w:sz w:val="24"/>
          <w:szCs w:val="24"/>
          <w:lang w:eastAsia="ar-SA"/>
        </w:rPr>
        <w:t xml:space="preserve">Dalyje Tauragės m. daugiabučių namų šiuo metu yra įdiegta Sistemos įranga, kurios pagalba nuotoliniu būdu nuskaitomi bei perduodami  skaitiklių rodmenys. </w:t>
      </w:r>
      <w:r w:rsidR="00D164FE">
        <w:rPr>
          <w:bCs/>
          <w:sz w:val="24"/>
          <w:szCs w:val="24"/>
          <w:lang w:eastAsia="ar-SA"/>
        </w:rPr>
        <w:t>Perkantysis subjektas</w:t>
      </w:r>
      <w:r w:rsidRPr="00113A3B">
        <w:rPr>
          <w:bCs/>
          <w:sz w:val="24"/>
          <w:szCs w:val="24"/>
          <w:lang w:eastAsia="ar-SA"/>
        </w:rPr>
        <w:t xml:space="preserve"> planuoja prie šios Sistemos prijungti ir butų šalto vandens skaitiklius, todėl siūlomų skaitiklių radijo modulis būtų pilnai suderinamas su daugiabučiuose namuose įdiegta skaitiklių rodmenų nuotolinio nuskaitymo sistemos CRS-40 (gamintojas – Apator Metra) įranga (toliau – Sistema). </w:t>
      </w:r>
    </w:p>
    <w:p w14:paraId="131D8967" w14:textId="023D4126" w:rsidR="00A149AB" w:rsidRPr="00113A3B" w:rsidRDefault="00A149AB" w:rsidP="00A149AB">
      <w:pPr>
        <w:widowControl w:val="0"/>
        <w:suppressAutoHyphens/>
        <w:overflowPunct/>
        <w:autoSpaceDE/>
        <w:autoSpaceDN/>
        <w:adjustRightInd/>
        <w:spacing w:before="60"/>
        <w:ind w:left="567"/>
        <w:jc w:val="both"/>
        <w:outlineLvl w:val="1"/>
        <w:rPr>
          <w:bCs/>
          <w:noProof/>
          <w:sz w:val="24"/>
          <w:szCs w:val="24"/>
          <w:lang w:eastAsia="ar-SA"/>
        </w:rPr>
      </w:pPr>
      <w:r w:rsidRPr="00113A3B">
        <w:rPr>
          <w:b/>
          <w:sz w:val="24"/>
          <w:szCs w:val="24"/>
          <w:lang w:eastAsia="ar-SA"/>
        </w:rPr>
        <w:t xml:space="preserve">        Suderinamumui patvirtinti Tiekėjas privalo pateikti suderinamumą patvirtinantį Sistemos gamintojo ar jo atstovo Lietuvoje raštą.</w:t>
      </w:r>
      <w:r w:rsidRPr="00113A3B">
        <w:rPr>
          <w:bCs/>
          <w:sz w:val="24"/>
          <w:szCs w:val="24"/>
          <w:lang w:eastAsia="ar-SA"/>
        </w:rPr>
        <w:t xml:space="preserve"> </w:t>
      </w:r>
      <w:r w:rsidR="00D164FE">
        <w:rPr>
          <w:bCs/>
          <w:sz w:val="24"/>
          <w:szCs w:val="24"/>
          <w:lang w:eastAsia="ar-SA"/>
        </w:rPr>
        <w:t>Perkantysis subjektas</w:t>
      </w:r>
      <w:r w:rsidRPr="00113A3B">
        <w:rPr>
          <w:bCs/>
          <w:sz w:val="24"/>
          <w:szCs w:val="24"/>
          <w:lang w:eastAsia="ar-SA"/>
        </w:rPr>
        <w:t xml:space="preserve"> turi teisę papildomai pareikalauti Tiekėjo įrodyti suderinamumą – prijungti pateiktą pavyzdinį (etaloninį) skaitiklį prie pasirinkto namo Sistemos bei esant poreikiui ar ginčams remtis nepriklausomų ekspertų išvadomis (surašytu aktu). Atliekant skaitiklių suderinamumą prie namo sistemos, surašomas Perkančio</w:t>
      </w:r>
      <w:r w:rsidR="00D164FE">
        <w:rPr>
          <w:bCs/>
          <w:sz w:val="24"/>
          <w:szCs w:val="24"/>
          <w:lang w:eastAsia="ar-SA"/>
        </w:rPr>
        <w:t xml:space="preserve">jo </w:t>
      </w:r>
      <w:r w:rsidR="00D164FE">
        <w:rPr>
          <w:bCs/>
          <w:sz w:val="24"/>
          <w:szCs w:val="24"/>
          <w:lang w:eastAsia="ar-SA"/>
        </w:rPr>
        <w:lastRenderedPageBreak/>
        <w:t>subjekto</w:t>
      </w:r>
      <w:r w:rsidRPr="00113A3B">
        <w:rPr>
          <w:bCs/>
          <w:sz w:val="24"/>
          <w:szCs w:val="24"/>
          <w:lang w:eastAsia="ar-SA"/>
        </w:rPr>
        <w:t xml:space="preserve"> išvados (aktas), dėl skaitiklio atitikimo šiam reikalavimui yra neginčijamos.</w:t>
      </w:r>
    </w:p>
    <w:p w14:paraId="6F2CEEC9" w14:textId="77777777" w:rsidR="00A149AB" w:rsidRPr="00113A3B" w:rsidRDefault="00A149AB" w:rsidP="00A149AB">
      <w:pPr>
        <w:widowControl w:val="0"/>
        <w:numPr>
          <w:ilvl w:val="0"/>
          <w:numId w:val="1"/>
        </w:numPr>
        <w:suppressAutoHyphens/>
        <w:overflowPunct/>
        <w:autoSpaceDE/>
        <w:autoSpaceDN/>
        <w:adjustRightInd/>
        <w:spacing w:before="120" w:after="120"/>
        <w:ind w:left="567" w:hanging="567"/>
        <w:jc w:val="both"/>
        <w:outlineLvl w:val="0"/>
        <w:rPr>
          <w:b/>
          <w:bCs/>
          <w:color w:val="000000" w:themeColor="text1"/>
          <w:sz w:val="24"/>
          <w:szCs w:val="24"/>
          <w:lang w:eastAsia="ar-SA"/>
        </w:rPr>
      </w:pPr>
      <w:r w:rsidRPr="00113A3B">
        <w:rPr>
          <w:b/>
          <w:bCs/>
          <w:color w:val="000000" w:themeColor="text1"/>
          <w:sz w:val="24"/>
          <w:szCs w:val="24"/>
          <w:lang w:eastAsia="ar-SA"/>
        </w:rPr>
        <w:t>Specialieji reikalavimai - Buitiniai vandens skaitikliai</w:t>
      </w:r>
    </w:p>
    <w:p w14:paraId="29D181F8"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Skaitiklis turi būti mechaninis, vienasrautis, sausos eigos, apsaugotas nuo išorinio statinio magnetinio lauko poveikio.</w:t>
      </w:r>
    </w:p>
    <w:p w14:paraId="6573BEC3"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Sąlyginis skersmuo ir montažinis ilgis:</w:t>
      </w:r>
    </w:p>
    <w:p w14:paraId="246A3D78"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DN15/L80;</w:t>
      </w:r>
    </w:p>
    <w:p w14:paraId="1AC4FD63"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DN15/L110;</w:t>
      </w:r>
    </w:p>
    <w:p w14:paraId="12397BCF"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DN20/L130;</w:t>
      </w:r>
    </w:p>
    <w:p w14:paraId="424F7A8F"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Skaitiklio ilgalaikio darbo srautas (Q</w:t>
      </w:r>
      <w:r w:rsidRPr="00113A3B">
        <w:rPr>
          <w:bCs/>
          <w:color w:val="000000" w:themeColor="text1"/>
          <w:sz w:val="24"/>
          <w:szCs w:val="24"/>
          <w:vertAlign w:val="subscript"/>
          <w:lang w:eastAsia="ar-SA"/>
        </w:rPr>
        <w:t>3</w:t>
      </w:r>
      <w:r w:rsidRPr="00113A3B">
        <w:rPr>
          <w:bCs/>
          <w:color w:val="000000" w:themeColor="text1"/>
          <w:sz w:val="24"/>
          <w:szCs w:val="24"/>
          <w:lang w:eastAsia="ar-SA"/>
        </w:rPr>
        <w:t>):</w:t>
      </w:r>
    </w:p>
    <w:p w14:paraId="7E1D88ED"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DN15/L80 ≤ 2,5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4E1AE927"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DN15/L110 ≤ 1,6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796F5D26"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DN20 ≤ 2,5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40556ECB"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Metrologinė tikslumo klasė (R= Q</w:t>
      </w:r>
      <w:r w:rsidRPr="00113A3B">
        <w:rPr>
          <w:bCs/>
          <w:color w:val="000000" w:themeColor="text1"/>
          <w:sz w:val="24"/>
          <w:szCs w:val="24"/>
          <w:vertAlign w:val="subscript"/>
          <w:lang w:eastAsia="ar-SA"/>
        </w:rPr>
        <w:t>3</w:t>
      </w:r>
      <w:r w:rsidRPr="00113A3B">
        <w:rPr>
          <w:bCs/>
          <w:color w:val="000000" w:themeColor="text1"/>
          <w:sz w:val="24"/>
          <w:szCs w:val="24"/>
          <w:lang w:eastAsia="ar-SA"/>
        </w:rPr>
        <w:t>/Q</w:t>
      </w:r>
      <w:r w:rsidRPr="00113A3B">
        <w:rPr>
          <w:bCs/>
          <w:color w:val="000000" w:themeColor="text1"/>
          <w:sz w:val="24"/>
          <w:szCs w:val="24"/>
          <w:vertAlign w:val="subscript"/>
          <w:lang w:eastAsia="ar-SA"/>
        </w:rPr>
        <w:t>1</w:t>
      </w:r>
      <w:r w:rsidRPr="00113A3B">
        <w:rPr>
          <w:bCs/>
          <w:color w:val="000000" w:themeColor="text1"/>
          <w:sz w:val="24"/>
          <w:szCs w:val="24"/>
          <w:lang w:eastAsia="ar-SA"/>
        </w:rPr>
        <w:t xml:space="preserve">) („B“ klasės atitikmuo): </w:t>
      </w:r>
    </w:p>
    <w:p w14:paraId="2888427B" w14:textId="635BA527" w:rsidR="00A149AB" w:rsidRPr="00113A3B" w:rsidRDefault="00A149AB" w:rsidP="00A149AB">
      <w:pPr>
        <w:widowControl w:val="0"/>
        <w:numPr>
          <w:ilvl w:val="0"/>
          <w:numId w:val="4"/>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horizontalioje padėtyje - ne blogesnė nei R</w:t>
      </w:r>
      <w:r w:rsidR="0099223E">
        <w:rPr>
          <w:bCs/>
          <w:color w:val="000000" w:themeColor="text1"/>
          <w:sz w:val="24"/>
          <w:szCs w:val="24"/>
          <w:lang w:eastAsia="ar-SA"/>
        </w:rPr>
        <w:t>100</w:t>
      </w:r>
      <w:r w:rsidRPr="00113A3B">
        <w:rPr>
          <w:bCs/>
          <w:color w:val="000000" w:themeColor="text1"/>
          <w:sz w:val="24"/>
          <w:szCs w:val="24"/>
          <w:lang w:eastAsia="ar-SA"/>
        </w:rPr>
        <w:t>;</w:t>
      </w:r>
    </w:p>
    <w:p w14:paraId="0E6B2F45" w14:textId="77777777" w:rsidR="00A149AB" w:rsidRPr="00113A3B" w:rsidRDefault="00A149AB" w:rsidP="00A149AB">
      <w:pPr>
        <w:widowControl w:val="0"/>
        <w:numPr>
          <w:ilvl w:val="0"/>
          <w:numId w:val="4"/>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vertikalioje padėtyje - ne blogesnė nei R40;</w:t>
      </w:r>
    </w:p>
    <w:p w14:paraId="41012197"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Didžiausia matuojamo vandens temperatūra  ≤ +</w:t>
      </w:r>
      <w:r w:rsidRPr="00113A3B">
        <w:rPr>
          <w:bCs/>
          <w:sz w:val="24"/>
          <w:szCs w:val="24"/>
          <w:lang w:eastAsia="ar-SA"/>
        </w:rPr>
        <w:t>5</w:t>
      </w:r>
      <w:r w:rsidRPr="00113A3B">
        <w:rPr>
          <w:bCs/>
          <w:color w:val="000000" w:themeColor="text1"/>
          <w:sz w:val="24"/>
          <w:szCs w:val="24"/>
          <w:lang w:eastAsia="ar-SA"/>
        </w:rPr>
        <w:t>0° C;</w:t>
      </w:r>
    </w:p>
    <w:p w14:paraId="6372682F"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Skaičiavimo mechanizmo skalė – ne mažiau 8 skaitmenų (5+3). Skaičiai aiškiai ir suprantamai įskaitomi.</w:t>
      </w:r>
    </w:p>
    <w:p w14:paraId="3713B41B"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Skaičiavimo mechanizmas  pasukamas 360º kampu;</w:t>
      </w:r>
    </w:p>
    <w:p w14:paraId="09F15245" w14:textId="77777777" w:rsidR="00A149AB" w:rsidRPr="00113A3B" w:rsidRDefault="00A149AB" w:rsidP="00A149AB">
      <w:pPr>
        <w:pStyle w:val="NoSpacing"/>
        <w:numPr>
          <w:ilvl w:val="1"/>
          <w:numId w:val="1"/>
        </w:numPr>
        <w:jc w:val="both"/>
        <w:rPr>
          <w:color w:val="000000" w:themeColor="text1"/>
          <w:sz w:val="24"/>
          <w:szCs w:val="24"/>
          <w:lang w:val="lt-LT"/>
        </w:rPr>
      </w:pPr>
      <w:r w:rsidRPr="00113A3B">
        <w:rPr>
          <w:color w:val="000000" w:themeColor="text1"/>
          <w:sz w:val="24"/>
          <w:szCs w:val="24"/>
          <w:lang w:val="lt-LT"/>
        </w:rPr>
        <w:t>Techniniai skaitiklių parametrai privalo atitikti šiuos reikalavimus:</w:t>
      </w:r>
    </w:p>
    <w:p w14:paraId="09EDC81C" w14:textId="77777777" w:rsidR="00A149AB" w:rsidRPr="00113A3B" w:rsidRDefault="00A149AB" w:rsidP="00A149AB">
      <w:pPr>
        <w:pStyle w:val="NoSpacing"/>
        <w:numPr>
          <w:ilvl w:val="0"/>
          <w:numId w:val="6"/>
        </w:numPr>
        <w:jc w:val="both"/>
        <w:rPr>
          <w:color w:val="000000" w:themeColor="text1"/>
          <w:sz w:val="24"/>
          <w:szCs w:val="24"/>
          <w:lang w:val="lt-LT"/>
        </w:rPr>
      </w:pPr>
      <w:r w:rsidRPr="00113A3B">
        <w:rPr>
          <w:color w:val="000000" w:themeColor="text1"/>
          <w:sz w:val="24"/>
          <w:szCs w:val="24"/>
          <w:lang w:val="lt-LT"/>
        </w:rPr>
        <w:t>Plotis (įskaitant apsauginio gaubto žiedą), mm – ne didesnis</w:t>
      </w:r>
      <w:r w:rsidRPr="00113A3B">
        <w:rPr>
          <w:color w:val="000000" w:themeColor="text1"/>
          <w:sz w:val="24"/>
          <w:szCs w:val="24"/>
          <w:lang w:val="lt-LT"/>
        </w:rPr>
        <w:tab/>
        <w:t>78</w:t>
      </w:r>
    </w:p>
    <w:p w14:paraId="02227FA4" w14:textId="3C4C5711" w:rsidR="00A149AB" w:rsidRPr="00113A3B" w:rsidRDefault="00A149AB" w:rsidP="00A149AB">
      <w:pPr>
        <w:pStyle w:val="NoSpacing"/>
        <w:numPr>
          <w:ilvl w:val="0"/>
          <w:numId w:val="6"/>
        </w:numPr>
        <w:jc w:val="both"/>
        <w:rPr>
          <w:color w:val="000000" w:themeColor="text1"/>
          <w:sz w:val="24"/>
          <w:szCs w:val="24"/>
          <w:lang w:val="lt-LT"/>
        </w:rPr>
      </w:pPr>
      <w:r w:rsidRPr="00113A3B">
        <w:rPr>
          <w:color w:val="000000" w:themeColor="text1"/>
          <w:sz w:val="24"/>
          <w:szCs w:val="24"/>
          <w:lang w:val="lt-LT"/>
        </w:rPr>
        <w:t>Aukštis</w:t>
      </w:r>
      <w:r w:rsidR="00493F8D">
        <w:rPr>
          <w:color w:val="000000" w:themeColor="text1"/>
          <w:sz w:val="24"/>
          <w:szCs w:val="24"/>
          <w:lang w:val="lt-LT"/>
        </w:rPr>
        <w:t>(su sumontuotu radi</w:t>
      </w:r>
      <w:r w:rsidR="00D24F2B">
        <w:rPr>
          <w:color w:val="000000" w:themeColor="text1"/>
          <w:sz w:val="24"/>
          <w:szCs w:val="24"/>
          <w:lang w:val="lt-LT"/>
        </w:rPr>
        <w:t>j</w:t>
      </w:r>
      <w:r w:rsidR="00493F8D">
        <w:rPr>
          <w:color w:val="000000" w:themeColor="text1"/>
          <w:sz w:val="24"/>
          <w:szCs w:val="24"/>
          <w:lang w:val="lt-LT"/>
        </w:rPr>
        <w:t>o moduliu)</w:t>
      </w:r>
      <w:r w:rsidRPr="00113A3B">
        <w:rPr>
          <w:color w:val="000000" w:themeColor="text1"/>
          <w:sz w:val="24"/>
          <w:szCs w:val="24"/>
          <w:lang w:val="lt-LT"/>
        </w:rPr>
        <w:t xml:space="preserve">, mm – ne didesnis </w:t>
      </w:r>
      <w:r w:rsidR="0099223E">
        <w:rPr>
          <w:color w:val="000000" w:themeColor="text1"/>
          <w:sz w:val="24"/>
          <w:szCs w:val="24"/>
          <w:lang w:val="lt-LT"/>
        </w:rPr>
        <w:t>86</w:t>
      </w:r>
    </w:p>
    <w:p w14:paraId="0087632A" w14:textId="77777777" w:rsidR="00A149AB" w:rsidRPr="00113A3B" w:rsidRDefault="00A149AB" w:rsidP="00A149AB">
      <w:pPr>
        <w:pStyle w:val="NoSpacing"/>
        <w:numPr>
          <w:ilvl w:val="0"/>
          <w:numId w:val="6"/>
        </w:numPr>
        <w:jc w:val="both"/>
        <w:rPr>
          <w:color w:val="000000" w:themeColor="text1"/>
          <w:sz w:val="24"/>
          <w:szCs w:val="24"/>
          <w:lang w:val="lt-LT"/>
        </w:rPr>
      </w:pPr>
      <w:r w:rsidRPr="00113A3B">
        <w:rPr>
          <w:color w:val="000000" w:themeColor="text1"/>
          <w:sz w:val="24"/>
          <w:szCs w:val="24"/>
          <w:lang w:val="lt-LT"/>
        </w:rPr>
        <w:t>Ašelė – nerūdijančio metalo - atspari dilimui;</w:t>
      </w:r>
    </w:p>
    <w:p w14:paraId="64F3F8A8" w14:textId="77777777" w:rsidR="00A149AB" w:rsidRPr="00113A3B" w:rsidRDefault="00A149AB" w:rsidP="00A149AB">
      <w:pPr>
        <w:pStyle w:val="NoSpacing"/>
        <w:numPr>
          <w:ilvl w:val="0"/>
          <w:numId w:val="6"/>
        </w:numPr>
        <w:jc w:val="both"/>
        <w:rPr>
          <w:color w:val="000000" w:themeColor="text1"/>
          <w:sz w:val="24"/>
          <w:szCs w:val="24"/>
          <w:lang w:val="lt-LT"/>
        </w:rPr>
      </w:pPr>
      <w:r w:rsidRPr="00113A3B">
        <w:rPr>
          <w:color w:val="000000" w:themeColor="text1"/>
          <w:sz w:val="24"/>
          <w:szCs w:val="24"/>
          <w:lang w:val="lt-LT"/>
        </w:rPr>
        <w:t>Magnetinė mova ne mažiau 4-ių polių;</w:t>
      </w:r>
    </w:p>
    <w:p w14:paraId="7E9730EB" w14:textId="77777777" w:rsidR="00A149AB" w:rsidRPr="00113A3B" w:rsidRDefault="00A149AB" w:rsidP="00A149AB">
      <w:pPr>
        <w:pStyle w:val="NoSpacing"/>
        <w:numPr>
          <w:ilvl w:val="0"/>
          <w:numId w:val="6"/>
        </w:numPr>
        <w:jc w:val="both"/>
        <w:rPr>
          <w:bCs/>
          <w:color w:val="000000" w:themeColor="text1"/>
          <w:sz w:val="24"/>
          <w:szCs w:val="24"/>
          <w:shd w:val="clear" w:color="auto" w:fill="FFFFFF"/>
          <w:lang w:val="lt-LT"/>
        </w:rPr>
      </w:pPr>
      <w:r w:rsidRPr="00113A3B">
        <w:rPr>
          <w:bCs/>
          <w:color w:val="000000" w:themeColor="text1"/>
          <w:sz w:val="24"/>
          <w:szCs w:val="24"/>
          <w:shd w:val="clear" w:color="auto" w:fill="FFFFFF"/>
          <w:lang w:val="lt-LT"/>
        </w:rPr>
        <w:t>Skaitiklis turi būti lengvai išardomas, reguliuojamas ir surenkamas remonto metu. Skaitiklio daugkartinio naudojimo apsauginis gaubtas arba gaubtas kartu su skaičiavimo mechanizmu būtų  be papildomų prietaisų, nesugadinant skaitiklio detalių nuimamas, uždedamas ir patikros tarnybų numatytose vietose plombuojamas taip, kad nebūtų galima daryti įtakos skaitiklio metrologinėms charakteristikoms nepažeidus plombos.</w:t>
      </w:r>
    </w:p>
    <w:p w14:paraId="093CAA0D" w14:textId="77777777" w:rsidR="00A149AB" w:rsidRPr="00113A3B" w:rsidRDefault="00A149AB" w:rsidP="00A149AB">
      <w:pPr>
        <w:widowControl w:val="0"/>
        <w:numPr>
          <w:ilvl w:val="1"/>
          <w:numId w:val="1"/>
        </w:numPr>
        <w:tabs>
          <w:tab w:val="left" w:pos="567"/>
        </w:tabs>
        <w:suppressAutoHyphens/>
        <w:overflowPunct/>
        <w:autoSpaceDE/>
        <w:autoSpaceDN/>
        <w:adjustRightInd/>
        <w:spacing w:before="60"/>
        <w:ind w:left="567" w:hanging="567"/>
        <w:jc w:val="both"/>
        <w:outlineLvl w:val="1"/>
        <w:rPr>
          <w:b/>
          <w:bCs/>
          <w:noProof/>
          <w:color w:val="000000" w:themeColor="text1"/>
          <w:sz w:val="24"/>
          <w:szCs w:val="24"/>
          <w:lang w:eastAsia="ar-SA"/>
        </w:rPr>
      </w:pPr>
      <w:r w:rsidRPr="00113A3B">
        <w:rPr>
          <w:b/>
          <w:bCs/>
          <w:noProof/>
          <w:color w:val="000000" w:themeColor="text1"/>
          <w:sz w:val="24"/>
          <w:szCs w:val="24"/>
          <w:lang w:eastAsia="ar-SA"/>
        </w:rPr>
        <w:t>Kartu su pasiūlymu dalyvis turi neatlygintinai pateikti siūlomų prekių pavyzdžius:</w:t>
      </w:r>
    </w:p>
    <w:p w14:paraId="77545FCE" w14:textId="77777777" w:rsidR="00A149AB" w:rsidRPr="00113A3B" w:rsidRDefault="00A149AB" w:rsidP="00A149AB">
      <w:pPr>
        <w:numPr>
          <w:ilvl w:val="0"/>
          <w:numId w:val="5"/>
        </w:numPr>
        <w:tabs>
          <w:tab w:val="left" w:pos="1701"/>
        </w:tabs>
        <w:suppressAutoHyphens/>
        <w:overflowPunct/>
        <w:autoSpaceDE/>
        <w:autoSpaceDN/>
        <w:adjustRightInd/>
        <w:spacing w:before="60"/>
        <w:ind w:left="1701" w:hanging="425"/>
        <w:jc w:val="both"/>
        <w:rPr>
          <w:b/>
          <w:noProof/>
          <w:color w:val="000000" w:themeColor="text1"/>
          <w:sz w:val="24"/>
          <w:szCs w:val="24"/>
          <w:lang w:eastAsia="ar-SA"/>
        </w:rPr>
      </w:pPr>
      <w:r w:rsidRPr="00113A3B">
        <w:rPr>
          <w:b/>
          <w:noProof/>
          <w:color w:val="000000" w:themeColor="text1"/>
          <w:sz w:val="24"/>
          <w:szCs w:val="24"/>
          <w:lang w:eastAsia="ar-SA"/>
        </w:rPr>
        <w:t>Skaitiklis DN15/L80 - 1 vnt.;</w:t>
      </w:r>
    </w:p>
    <w:p w14:paraId="7AEC4CAE" w14:textId="77777777" w:rsidR="00A149AB" w:rsidRPr="00113A3B" w:rsidRDefault="00A149AB" w:rsidP="00A149AB">
      <w:pPr>
        <w:numPr>
          <w:ilvl w:val="0"/>
          <w:numId w:val="5"/>
        </w:numPr>
        <w:tabs>
          <w:tab w:val="left" w:pos="1701"/>
        </w:tabs>
        <w:suppressAutoHyphens/>
        <w:overflowPunct/>
        <w:autoSpaceDE/>
        <w:autoSpaceDN/>
        <w:adjustRightInd/>
        <w:spacing w:before="60"/>
        <w:ind w:left="1701" w:hanging="425"/>
        <w:jc w:val="both"/>
        <w:rPr>
          <w:b/>
          <w:noProof/>
          <w:color w:val="000000" w:themeColor="text1"/>
          <w:sz w:val="24"/>
          <w:szCs w:val="24"/>
          <w:lang w:eastAsia="ar-SA"/>
        </w:rPr>
      </w:pPr>
      <w:r w:rsidRPr="00113A3B">
        <w:rPr>
          <w:b/>
          <w:noProof/>
          <w:color w:val="000000" w:themeColor="text1"/>
          <w:sz w:val="24"/>
          <w:szCs w:val="24"/>
          <w:lang w:eastAsia="ar-SA"/>
        </w:rPr>
        <w:t>Skaitiklis DN15/L110 – 1 vnt.</w:t>
      </w:r>
    </w:p>
    <w:p w14:paraId="5646B050" w14:textId="77777777" w:rsidR="00A149AB" w:rsidRPr="00113A3B" w:rsidRDefault="00A149AB" w:rsidP="00A149AB">
      <w:pPr>
        <w:pStyle w:val="NoSpacing"/>
        <w:ind w:firstLine="426"/>
        <w:jc w:val="both"/>
        <w:rPr>
          <w:color w:val="000000" w:themeColor="text1"/>
          <w:sz w:val="24"/>
          <w:szCs w:val="24"/>
          <w:lang w:val="lt-LT"/>
        </w:rPr>
      </w:pPr>
      <w:r w:rsidRPr="00113A3B">
        <w:rPr>
          <w:noProof/>
          <w:color w:val="000000" w:themeColor="text1"/>
          <w:sz w:val="24"/>
          <w:szCs w:val="24"/>
          <w:lang w:val="lt-LT" w:eastAsia="ar-SA"/>
        </w:rPr>
        <w:t xml:space="preserve">Skaitikliai bus naudojami bandymams atestuotoje laboratorijoje atlikti ir įsitikinti pateiktų techninių duomenų teisingumu (ženklinimas, plombavimas, išorinio magnetinio ir mechaninio poveikio apsauga, jautris, atsparumas dėvėjimuisi ir kt.). </w:t>
      </w:r>
      <w:r w:rsidRPr="00113A3B">
        <w:rPr>
          <w:color w:val="000000" w:themeColor="text1"/>
          <w:sz w:val="24"/>
          <w:szCs w:val="24"/>
          <w:lang w:val="lt-LT"/>
        </w:rPr>
        <w:t>Skaitiklių pavyzdžiai pateikti konkursui gali būti išardomi, kad būtų galima susipažinti su konstrukcija ir įvertinti remonto galimybes.</w:t>
      </w:r>
    </w:p>
    <w:p w14:paraId="70E6C5B3" w14:textId="0820250C" w:rsidR="00A149AB" w:rsidRPr="00113A3B" w:rsidRDefault="00A149AB" w:rsidP="00A149AB">
      <w:pPr>
        <w:pStyle w:val="NoSpacing"/>
        <w:ind w:firstLine="426"/>
        <w:jc w:val="both"/>
        <w:rPr>
          <w:color w:val="000000" w:themeColor="text1"/>
          <w:sz w:val="24"/>
          <w:szCs w:val="24"/>
          <w:lang w:val="lt-LT" w:eastAsia="lt-LT"/>
        </w:rPr>
      </w:pPr>
      <w:r w:rsidRPr="00113A3B">
        <w:rPr>
          <w:color w:val="000000" w:themeColor="text1"/>
          <w:sz w:val="24"/>
          <w:szCs w:val="24"/>
          <w:lang w:val="lt-LT"/>
        </w:rPr>
        <w:t xml:space="preserve">Konkursui, pilnai sukomplektuoti skaitiklių pavyzdžiai, pateikiami kartu su techninės dokumentacijos, antgalių, tarpinių, impulsų nuskaitymo daviklių ir kitų dalių su kuriomis jie bus tiekiami bendrovei pavyzdžiais. Pavyzdžio pateikti konkursui nebūtina (nurodžius pirkimo, pardavimo sutartis), jeigu </w:t>
      </w:r>
      <w:r w:rsidR="00BE2734">
        <w:rPr>
          <w:color w:val="000000" w:themeColor="text1"/>
          <w:sz w:val="24"/>
          <w:szCs w:val="24"/>
          <w:lang w:val="lt-LT"/>
        </w:rPr>
        <w:t>2023</w:t>
      </w:r>
      <w:r w:rsidRPr="00113A3B">
        <w:rPr>
          <w:color w:val="000000" w:themeColor="text1"/>
          <w:sz w:val="24"/>
          <w:szCs w:val="24"/>
          <w:lang w:val="lt-LT"/>
        </w:rPr>
        <w:t xml:space="preserve"> - </w:t>
      </w:r>
      <w:r w:rsidR="003D0A9B">
        <w:rPr>
          <w:color w:val="000000" w:themeColor="text1"/>
          <w:sz w:val="24"/>
          <w:szCs w:val="24"/>
          <w:lang w:val="lt-LT"/>
        </w:rPr>
        <w:t>2024</w:t>
      </w:r>
      <w:r w:rsidRPr="00113A3B">
        <w:rPr>
          <w:color w:val="000000" w:themeColor="text1"/>
          <w:sz w:val="24"/>
          <w:szCs w:val="24"/>
          <w:lang w:val="lt-LT"/>
        </w:rPr>
        <w:t xml:space="preserve"> metais pagal sutartis tokie pat skaitikliai buvo tiekiami </w:t>
      </w:r>
      <w:r w:rsidRPr="00113A3B">
        <w:rPr>
          <w:color w:val="000000" w:themeColor="text1"/>
          <w:sz w:val="24"/>
          <w:szCs w:val="24"/>
          <w:lang w:val="lt-LT" w:eastAsia="lt-LT"/>
        </w:rPr>
        <w:t xml:space="preserve">UAB „Tauragės vandenys”. </w:t>
      </w:r>
      <w:r w:rsidRPr="00113A3B">
        <w:rPr>
          <w:b/>
          <w:bCs/>
          <w:color w:val="000000" w:themeColor="text1"/>
          <w:sz w:val="24"/>
          <w:szCs w:val="24"/>
          <w:lang w:val="lt-LT"/>
        </w:rPr>
        <w:t>Pavyzdžius pateikti ik</w:t>
      </w:r>
      <w:r w:rsidR="00DD5872">
        <w:rPr>
          <w:b/>
          <w:bCs/>
          <w:color w:val="000000" w:themeColor="text1"/>
          <w:sz w:val="24"/>
          <w:szCs w:val="24"/>
          <w:lang w:val="lt-LT"/>
        </w:rPr>
        <w:t>i pasiūlymo pateikimo termino pabaigos</w:t>
      </w:r>
      <w:r w:rsidRPr="00113A3B">
        <w:rPr>
          <w:b/>
          <w:bCs/>
          <w:color w:val="000000" w:themeColor="text1"/>
          <w:sz w:val="24"/>
          <w:szCs w:val="24"/>
          <w:lang w:val="lt-LT"/>
        </w:rPr>
        <w:t xml:space="preserve">. Pavyzdžiai priduodami ir grąžinami pagal laisvos formos priėmimo-perdavimo aktą. Pavyzdžių pristatymo vieta </w:t>
      </w:r>
      <w:r w:rsidR="00DD5872">
        <w:rPr>
          <w:b/>
          <w:bCs/>
          <w:color w:val="000000" w:themeColor="text1"/>
          <w:sz w:val="24"/>
          <w:szCs w:val="24"/>
          <w:lang w:val="lt-LT"/>
        </w:rPr>
        <w:t xml:space="preserve">                </w:t>
      </w:r>
      <w:r w:rsidRPr="00113A3B">
        <w:rPr>
          <w:b/>
          <w:bCs/>
          <w:color w:val="000000" w:themeColor="text1"/>
          <w:sz w:val="24"/>
          <w:szCs w:val="24"/>
          <w:lang w:val="lt-LT" w:eastAsia="lt-LT"/>
        </w:rPr>
        <w:t>UAB „Tauragės vandenys“, Šlaito</w:t>
      </w:r>
      <w:r w:rsidR="00DD5872">
        <w:rPr>
          <w:b/>
          <w:bCs/>
          <w:color w:val="000000" w:themeColor="text1"/>
          <w:sz w:val="24"/>
          <w:szCs w:val="24"/>
          <w:lang w:val="lt-LT" w:eastAsia="lt-LT"/>
        </w:rPr>
        <w:t xml:space="preserve"> g.</w:t>
      </w:r>
      <w:r w:rsidRPr="00113A3B">
        <w:rPr>
          <w:b/>
          <w:bCs/>
          <w:color w:val="000000" w:themeColor="text1"/>
          <w:sz w:val="24"/>
          <w:szCs w:val="24"/>
          <w:lang w:val="lt-LT" w:eastAsia="lt-LT"/>
        </w:rPr>
        <w:t xml:space="preserve"> 2, LT-</w:t>
      </w:r>
      <w:r w:rsidRPr="00113A3B">
        <w:rPr>
          <w:b/>
          <w:bCs/>
          <w:color w:val="000000" w:themeColor="text1"/>
          <w:sz w:val="24"/>
          <w:szCs w:val="24"/>
          <w:lang w:val="lt-LT"/>
        </w:rPr>
        <w:t xml:space="preserve">72107 </w:t>
      </w:r>
      <w:r w:rsidRPr="00113A3B">
        <w:rPr>
          <w:b/>
          <w:bCs/>
          <w:color w:val="000000" w:themeColor="text1"/>
          <w:sz w:val="24"/>
          <w:szCs w:val="24"/>
          <w:lang w:val="lt-LT" w:eastAsia="lt-LT"/>
        </w:rPr>
        <w:t>Tauragė.</w:t>
      </w:r>
    </w:p>
    <w:p w14:paraId="603B5FA8" w14:textId="4FBC4207" w:rsidR="00A149AB" w:rsidRPr="00113A3B" w:rsidRDefault="00A149AB" w:rsidP="00A149AB">
      <w:pPr>
        <w:widowControl w:val="0"/>
        <w:numPr>
          <w:ilvl w:val="1"/>
          <w:numId w:val="1"/>
        </w:numPr>
        <w:tabs>
          <w:tab w:val="left" w:pos="567"/>
        </w:tabs>
        <w:suppressAutoHyphens/>
        <w:overflowPunct/>
        <w:autoSpaceDE/>
        <w:autoSpaceDN/>
        <w:adjustRightInd/>
        <w:spacing w:before="60"/>
        <w:ind w:left="567" w:hanging="567"/>
        <w:jc w:val="both"/>
        <w:outlineLvl w:val="1"/>
        <w:rPr>
          <w:bCs/>
          <w:noProof/>
          <w:color w:val="000000" w:themeColor="text1"/>
          <w:sz w:val="24"/>
          <w:szCs w:val="24"/>
          <w:lang w:eastAsia="ar-SA"/>
        </w:rPr>
      </w:pPr>
      <w:r w:rsidRPr="00113A3B">
        <w:rPr>
          <w:bCs/>
          <w:noProof/>
          <w:color w:val="000000" w:themeColor="text1"/>
          <w:sz w:val="24"/>
          <w:szCs w:val="24"/>
          <w:lang w:eastAsia="ar-SA"/>
        </w:rPr>
        <w:t xml:space="preserve">Pateikti skaitiklių pavyzdžiai - etalonai liks pas </w:t>
      </w:r>
      <w:r w:rsidR="00D164FE">
        <w:rPr>
          <w:bCs/>
          <w:color w:val="000000" w:themeColor="text1"/>
          <w:sz w:val="24"/>
          <w:szCs w:val="24"/>
          <w:lang w:eastAsia="ar-SA"/>
        </w:rPr>
        <w:t>Perkantįjį subjektą</w:t>
      </w:r>
      <w:r w:rsidRPr="00113A3B">
        <w:rPr>
          <w:bCs/>
          <w:color w:val="000000" w:themeColor="text1"/>
          <w:sz w:val="24"/>
          <w:szCs w:val="24"/>
          <w:lang w:eastAsia="ar-SA"/>
        </w:rPr>
        <w:t xml:space="preserve"> </w:t>
      </w:r>
      <w:r w:rsidRPr="00113A3B">
        <w:rPr>
          <w:bCs/>
          <w:noProof/>
          <w:color w:val="000000" w:themeColor="text1"/>
          <w:sz w:val="24"/>
          <w:szCs w:val="24"/>
          <w:lang w:eastAsia="ar-SA"/>
        </w:rPr>
        <w:t xml:space="preserve">iki sutarties pabaigos, kuriuos </w:t>
      </w:r>
      <w:r w:rsidR="00D164FE">
        <w:rPr>
          <w:bCs/>
          <w:noProof/>
          <w:color w:val="000000" w:themeColor="text1"/>
          <w:sz w:val="24"/>
          <w:szCs w:val="24"/>
          <w:lang w:eastAsia="ar-SA"/>
        </w:rPr>
        <w:lastRenderedPageBreak/>
        <w:t>Perkantysis subjektas</w:t>
      </w:r>
      <w:r w:rsidRPr="00113A3B">
        <w:rPr>
          <w:bCs/>
          <w:noProof/>
          <w:color w:val="000000" w:themeColor="text1"/>
          <w:sz w:val="24"/>
          <w:szCs w:val="24"/>
          <w:lang w:eastAsia="ar-SA"/>
        </w:rPr>
        <w:t xml:space="preserve"> turės teisę lyginti su tiekiamais skaitikliais. Jei pateikti skaitikliai neatitiks etaloninių skaitiklių ar pirkimo sąlygų, ar sudarytos sutarties sąlygų, tiekėjas (pirkimo dalyvis su kuriuo bus sudaryta sutartis) turės juos pakeisti savo lėšomis per ne ilgesnį kaip 20 dienų terminą, kompensuojant perkančiajai organizacijai visus patirtus nuostolius.</w:t>
      </w:r>
    </w:p>
    <w:p w14:paraId="60D1A524" w14:textId="77777777" w:rsidR="00A149AB" w:rsidRPr="00113A3B" w:rsidRDefault="00A149AB" w:rsidP="00A149AB">
      <w:pPr>
        <w:widowControl w:val="0"/>
        <w:numPr>
          <w:ilvl w:val="0"/>
          <w:numId w:val="1"/>
        </w:numPr>
        <w:suppressAutoHyphens/>
        <w:overflowPunct/>
        <w:autoSpaceDE/>
        <w:autoSpaceDN/>
        <w:adjustRightInd/>
        <w:spacing w:before="120" w:after="120"/>
        <w:ind w:left="431" w:hanging="431"/>
        <w:jc w:val="both"/>
        <w:outlineLvl w:val="0"/>
        <w:rPr>
          <w:b/>
          <w:bCs/>
          <w:color w:val="000000" w:themeColor="text1"/>
          <w:sz w:val="24"/>
          <w:szCs w:val="24"/>
          <w:lang w:eastAsia="ar-SA"/>
        </w:rPr>
      </w:pPr>
      <w:r w:rsidRPr="00113A3B">
        <w:rPr>
          <w:b/>
          <w:bCs/>
          <w:color w:val="000000" w:themeColor="text1"/>
          <w:sz w:val="24"/>
          <w:szCs w:val="24"/>
          <w:lang w:eastAsia="ar-SA"/>
        </w:rPr>
        <w:t>Specialieji reikalavimai – įvadiniai daugiasraučiai skaitikliai</w:t>
      </w:r>
    </w:p>
    <w:p w14:paraId="65B9529B"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Skaitiklis turi būti mechaninis, daugiasrautis, sausos eigos, apsaugotas nuo išorinio statinio magnetinio lauko poveikio.</w:t>
      </w:r>
    </w:p>
    <w:p w14:paraId="11A3002B"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Sąlyginis skersmuo ir montažinis ilgis:</w:t>
      </w:r>
    </w:p>
    <w:p w14:paraId="354A2EC3"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DN20/L190;</w:t>
      </w:r>
    </w:p>
    <w:p w14:paraId="79F0D111"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DN25/L260;</w:t>
      </w:r>
    </w:p>
    <w:p w14:paraId="26917E66"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DN32/L260;</w:t>
      </w:r>
    </w:p>
    <w:p w14:paraId="36AAE765"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DN40/L300;</w:t>
      </w:r>
    </w:p>
    <w:p w14:paraId="557BED73"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Skaitiklio ilgalaikio darbo srautas (Q</w:t>
      </w:r>
      <w:r w:rsidRPr="00113A3B">
        <w:rPr>
          <w:bCs/>
          <w:color w:val="000000" w:themeColor="text1"/>
          <w:sz w:val="24"/>
          <w:szCs w:val="24"/>
          <w:vertAlign w:val="subscript"/>
          <w:lang w:eastAsia="ar-SA"/>
        </w:rPr>
        <w:t>3</w:t>
      </w:r>
      <w:r w:rsidRPr="00113A3B">
        <w:rPr>
          <w:bCs/>
          <w:color w:val="000000" w:themeColor="text1"/>
          <w:sz w:val="24"/>
          <w:szCs w:val="24"/>
          <w:lang w:eastAsia="ar-SA"/>
        </w:rPr>
        <w:t>):</w:t>
      </w:r>
    </w:p>
    <w:p w14:paraId="0E5133DD"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DN15 ≤ 2,5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5C3F6C04"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DN20 ≤ 4,0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081FC147"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DN25 ≤ 6,3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454682E1"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DN32 ≤ 10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3D17D385" w14:textId="77777777"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DN40 ≤ 16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561A70BA"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Metrologinė tikslumo klasė (R= Q</w:t>
      </w:r>
      <w:r w:rsidRPr="00113A3B">
        <w:rPr>
          <w:bCs/>
          <w:color w:val="000000" w:themeColor="text1"/>
          <w:sz w:val="24"/>
          <w:szCs w:val="24"/>
          <w:vertAlign w:val="subscript"/>
          <w:lang w:eastAsia="ar-SA"/>
        </w:rPr>
        <w:t>3</w:t>
      </w:r>
      <w:r w:rsidRPr="00113A3B">
        <w:rPr>
          <w:bCs/>
          <w:color w:val="000000" w:themeColor="text1"/>
          <w:sz w:val="24"/>
          <w:szCs w:val="24"/>
          <w:lang w:eastAsia="ar-SA"/>
        </w:rPr>
        <w:t>/Q</w:t>
      </w:r>
      <w:r w:rsidRPr="00113A3B">
        <w:rPr>
          <w:bCs/>
          <w:color w:val="000000" w:themeColor="text1"/>
          <w:sz w:val="24"/>
          <w:szCs w:val="24"/>
          <w:vertAlign w:val="subscript"/>
          <w:lang w:eastAsia="ar-SA"/>
        </w:rPr>
        <w:t>1</w:t>
      </w:r>
      <w:r w:rsidRPr="00113A3B">
        <w:rPr>
          <w:bCs/>
          <w:color w:val="000000" w:themeColor="text1"/>
          <w:sz w:val="24"/>
          <w:szCs w:val="24"/>
          <w:lang w:eastAsia="ar-SA"/>
        </w:rPr>
        <w:t xml:space="preserve">) („B“ klasės atitikmuo): </w:t>
      </w:r>
    </w:p>
    <w:p w14:paraId="4F63807D" w14:textId="77777777" w:rsidR="00A149AB" w:rsidRPr="00113A3B" w:rsidRDefault="00A149AB" w:rsidP="00A149AB">
      <w:pPr>
        <w:widowControl w:val="0"/>
        <w:numPr>
          <w:ilvl w:val="0"/>
          <w:numId w:val="4"/>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horizontalioje padėtyje - ne blogesnė nei R80;</w:t>
      </w:r>
    </w:p>
    <w:p w14:paraId="37450AFC"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Prijungimas – srieginis;</w:t>
      </w:r>
    </w:p>
    <w:p w14:paraId="6EC33BA3"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sz w:val="24"/>
          <w:szCs w:val="24"/>
          <w:lang w:eastAsia="ar-SA"/>
        </w:rPr>
      </w:pPr>
      <w:r w:rsidRPr="00113A3B">
        <w:rPr>
          <w:bCs/>
          <w:sz w:val="24"/>
          <w:szCs w:val="24"/>
          <w:lang w:eastAsia="ar-SA"/>
        </w:rPr>
        <w:t>Didžiausia matuojamo vandens temperatūra  ≤ +50° C;</w:t>
      </w:r>
    </w:p>
    <w:p w14:paraId="52D3D11A"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Skaičiavimo mechanizmo skalė – ne mažiau kaip 5 skaitmenų. Skaičiai aiškiai ir suprantamai įskaitomi.</w:t>
      </w:r>
    </w:p>
    <w:p w14:paraId="2309BA13" w14:textId="77777777" w:rsidR="00A149AB" w:rsidRPr="00113A3B" w:rsidRDefault="00A149AB" w:rsidP="00A149AB">
      <w:pPr>
        <w:widowControl w:val="0"/>
        <w:numPr>
          <w:ilvl w:val="0"/>
          <w:numId w:val="1"/>
        </w:numPr>
        <w:suppressAutoHyphens/>
        <w:overflowPunct/>
        <w:autoSpaceDE/>
        <w:autoSpaceDN/>
        <w:adjustRightInd/>
        <w:spacing w:before="120" w:after="120"/>
        <w:ind w:left="431" w:hanging="431"/>
        <w:jc w:val="both"/>
        <w:outlineLvl w:val="0"/>
        <w:rPr>
          <w:b/>
          <w:bCs/>
          <w:color w:val="000000" w:themeColor="text1"/>
          <w:sz w:val="24"/>
          <w:szCs w:val="24"/>
          <w:lang w:eastAsia="ar-SA"/>
        </w:rPr>
      </w:pPr>
      <w:r w:rsidRPr="00113A3B">
        <w:rPr>
          <w:b/>
          <w:bCs/>
          <w:color w:val="000000" w:themeColor="text1"/>
          <w:sz w:val="24"/>
          <w:szCs w:val="24"/>
          <w:lang w:eastAsia="ar-SA"/>
        </w:rPr>
        <w:t>Specialieji reikalavimai – įvadiniai flanšiniai skaitikliai</w:t>
      </w:r>
    </w:p>
    <w:p w14:paraId="47342665"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Skaitiklis turi būti mechaninis, turbininis, apsaugotas nuo išorinio statinio magnetinio lauko poveikio.</w:t>
      </w:r>
    </w:p>
    <w:p w14:paraId="36B1D313"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Sąlyginis skersmuo ir montažinis ilgis:</w:t>
      </w:r>
    </w:p>
    <w:p w14:paraId="5EFB4655"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DN50/L200;</w:t>
      </w:r>
    </w:p>
    <w:p w14:paraId="68C62130"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DN65/L200;</w:t>
      </w:r>
    </w:p>
    <w:p w14:paraId="13F42760"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DN80/L225;</w:t>
      </w:r>
    </w:p>
    <w:p w14:paraId="189747CC"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DN100/L250;</w:t>
      </w:r>
    </w:p>
    <w:p w14:paraId="7EAA203E"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Skaitiklio ilgalaikio darbo srautas (Q</w:t>
      </w:r>
      <w:r w:rsidRPr="00113A3B">
        <w:rPr>
          <w:bCs/>
          <w:color w:val="000000" w:themeColor="text1"/>
          <w:sz w:val="24"/>
          <w:szCs w:val="24"/>
          <w:vertAlign w:val="subscript"/>
          <w:lang w:eastAsia="ar-SA"/>
        </w:rPr>
        <w:t>3</w:t>
      </w:r>
      <w:r w:rsidRPr="00113A3B">
        <w:rPr>
          <w:bCs/>
          <w:color w:val="000000" w:themeColor="text1"/>
          <w:sz w:val="24"/>
          <w:szCs w:val="24"/>
          <w:lang w:eastAsia="ar-SA"/>
        </w:rPr>
        <w:t>):</w:t>
      </w:r>
    </w:p>
    <w:p w14:paraId="5FA3E122" w14:textId="26D67FD0"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 xml:space="preserve">DN50 ≤ </w:t>
      </w:r>
      <w:r w:rsidR="0099223E">
        <w:rPr>
          <w:rFonts w:eastAsia="Calibri"/>
          <w:color w:val="000000" w:themeColor="text1"/>
          <w:sz w:val="24"/>
          <w:szCs w:val="22"/>
        </w:rPr>
        <w:t>40</w:t>
      </w:r>
      <w:r w:rsidRPr="00113A3B">
        <w:rPr>
          <w:rFonts w:eastAsia="Calibri"/>
          <w:color w:val="000000" w:themeColor="text1"/>
          <w:sz w:val="24"/>
          <w:szCs w:val="22"/>
        </w:rPr>
        <w:t xml:space="preserve">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2D00C3DF" w14:textId="4F051D1D"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 xml:space="preserve">DN65 ≤ </w:t>
      </w:r>
      <w:r w:rsidR="0099223E">
        <w:rPr>
          <w:rFonts w:eastAsia="Calibri"/>
          <w:color w:val="000000" w:themeColor="text1"/>
          <w:sz w:val="24"/>
          <w:szCs w:val="22"/>
        </w:rPr>
        <w:t>63</w:t>
      </w:r>
      <w:r w:rsidRPr="00113A3B">
        <w:rPr>
          <w:rFonts w:eastAsia="Calibri"/>
          <w:color w:val="000000" w:themeColor="text1"/>
          <w:sz w:val="24"/>
          <w:szCs w:val="22"/>
        </w:rPr>
        <w:t xml:space="preserve">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116718C8" w14:textId="422BB78A"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 xml:space="preserve">DN80 ≤ </w:t>
      </w:r>
      <w:r w:rsidR="0099223E">
        <w:rPr>
          <w:rFonts w:eastAsia="Calibri"/>
          <w:color w:val="000000" w:themeColor="text1"/>
          <w:sz w:val="24"/>
          <w:szCs w:val="22"/>
        </w:rPr>
        <w:t>100</w:t>
      </w:r>
      <w:r w:rsidRPr="00113A3B">
        <w:rPr>
          <w:rFonts w:eastAsia="Calibri"/>
          <w:color w:val="000000" w:themeColor="text1"/>
          <w:sz w:val="24"/>
          <w:szCs w:val="22"/>
        </w:rPr>
        <w:t xml:space="preserve">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3B2E712C" w14:textId="331D0489"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DN100 ≤ 1</w:t>
      </w:r>
      <w:r w:rsidR="0099223E">
        <w:rPr>
          <w:rFonts w:eastAsia="Calibri"/>
          <w:color w:val="000000" w:themeColor="text1"/>
          <w:sz w:val="24"/>
          <w:szCs w:val="22"/>
        </w:rPr>
        <w:t>6</w:t>
      </w:r>
      <w:r w:rsidRPr="00113A3B">
        <w:rPr>
          <w:rFonts w:eastAsia="Calibri"/>
          <w:color w:val="000000" w:themeColor="text1"/>
          <w:sz w:val="24"/>
          <w:szCs w:val="22"/>
        </w:rPr>
        <w:t>0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7FB86784"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Metrologinė tikslumo klasė (R= Q</w:t>
      </w:r>
      <w:r w:rsidRPr="00113A3B">
        <w:rPr>
          <w:bCs/>
          <w:color w:val="000000" w:themeColor="text1"/>
          <w:sz w:val="24"/>
          <w:szCs w:val="24"/>
          <w:vertAlign w:val="subscript"/>
          <w:lang w:eastAsia="ar-SA"/>
        </w:rPr>
        <w:t>3</w:t>
      </w:r>
      <w:r w:rsidRPr="00113A3B">
        <w:rPr>
          <w:bCs/>
          <w:color w:val="000000" w:themeColor="text1"/>
          <w:sz w:val="24"/>
          <w:szCs w:val="24"/>
          <w:lang w:eastAsia="ar-SA"/>
        </w:rPr>
        <w:t>/Q</w:t>
      </w:r>
      <w:r w:rsidRPr="00113A3B">
        <w:rPr>
          <w:bCs/>
          <w:color w:val="000000" w:themeColor="text1"/>
          <w:sz w:val="24"/>
          <w:szCs w:val="24"/>
          <w:vertAlign w:val="subscript"/>
          <w:lang w:eastAsia="ar-SA"/>
        </w:rPr>
        <w:t>1</w:t>
      </w:r>
      <w:r w:rsidRPr="00113A3B">
        <w:rPr>
          <w:bCs/>
          <w:color w:val="000000" w:themeColor="text1"/>
          <w:sz w:val="24"/>
          <w:szCs w:val="24"/>
          <w:lang w:eastAsia="ar-SA"/>
        </w:rPr>
        <w:t xml:space="preserve">) („B“ klasės atitikmuo): </w:t>
      </w:r>
    </w:p>
    <w:p w14:paraId="60683E8B" w14:textId="77777777" w:rsidR="00A149AB" w:rsidRPr="00113A3B" w:rsidRDefault="00A149AB" w:rsidP="00A149AB">
      <w:pPr>
        <w:widowControl w:val="0"/>
        <w:numPr>
          <w:ilvl w:val="0"/>
          <w:numId w:val="4"/>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horizontalioje padėtyje - ne blogesnė nei R80;</w:t>
      </w:r>
    </w:p>
    <w:p w14:paraId="1A3443A0"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Prijungimas – flanšinis</w:t>
      </w:r>
    </w:p>
    <w:p w14:paraId="6212FE88"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Montuojamas horizontaliai;</w:t>
      </w:r>
    </w:p>
    <w:p w14:paraId="0DBB8419"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sz w:val="24"/>
          <w:szCs w:val="24"/>
          <w:lang w:eastAsia="ar-SA"/>
        </w:rPr>
      </w:pPr>
      <w:r w:rsidRPr="00113A3B">
        <w:rPr>
          <w:bCs/>
          <w:sz w:val="24"/>
          <w:szCs w:val="24"/>
          <w:lang w:eastAsia="ar-SA"/>
        </w:rPr>
        <w:lastRenderedPageBreak/>
        <w:t>Didžiausia matuojamo vandens temperatūra  ≤ +50° C;</w:t>
      </w:r>
    </w:p>
    <w:p w14:paraId="6DC75AA4"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Skaičiavimo mechanizmo skalė – ne mažiau kaip 5 skaitmenų. Skaičiai aiškiai ir suprantamai įskaitomi.</w:t>
      </w:r>
    </w:p>
    <w:p w14:paraId="13ED4230" w14:textId="77777777" w:rsidR="00A149AB" w:rsidRPr="00113A3B" w:rsidRDefault="00A149AB" w:rsidP="00A149AB">
      <w:pPr>
        <w:widowControl w:val="0"/>
        <w:numPr>
          <w:ilvl w:val="0"/>
          <w:numId w:val="1"/>
        </w:numPr>
        <w:suppressAutoHyphens/>
        <w:overflowPunct/>
        <w:autoSpaceDE/>
        <w:autoSpaceDN/>
        <w:adjustRightInd/>
        <w:spacing w:before="120" w:after="120"/>
        <w:ind w:left="431" w:hanging="431"/>
        <w:jc w:val="both"/>
        <w:outlineLvl w:val="0"/>
        <w:rPr>
          <w:b/>
          <w:bCs/>
          <w:color w:val="000000" w:themeColor="text1"/>
          <w:sz w:val="24"/>
          <w:szCs w:val="24"/>
          <w:lang w:eastAsia="ar-SA"/>
        </w:rPr>
      </w:pPr>
      <w:r w:rsidRPr="00113A3B">
        <w:rPr>
          <w:b/>
          <w:bCs/>
          <w:color w:val="000000" w:themeColor="text1"/>
          <w:sz w:val="24"/>
          <w:szCs w:val="24"/>
          <w:lang w:eastAsia="ar-SA"/>
        </w:rPr>
        <w:t>Specialieji reikalavimai – įvadiniai flanšiniai, dviejų srautų skaitikliai</w:t>
      </w:r>
    </w:p>
    <w:p w14:paraId="1010E19D"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Skaitiklis turi būti mechaninis, turbininis, apsaugotas nuo išorinio statinio magnetinio lauko poveikio.</w:t>
      </w:r>
    </w:p>
    <w:p w14:paraId="72AC0405"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Sąlyginis skersmuo ir montažinis ilgis:</w:t>
      </w:r>
    </w:p>
    <w:p w14:paraId="4C2338AA"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DN50/L270;</w:t>
      </w:r>
    </w:p>
    <w:p w14:paraId="7E41AD8B"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DN65/L300;</w:t>
      </w:r>
    </w:p>
    <w:p w14:paraId="38AB9AE4"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DN80/L300;</w:t>
      </w:r>
    </w:p>
    <w:p w14:paraId="2A61FE29" w14:textId="77777777" w:rsidR="00A149AB" w:rsidRPr="00113A3B" w:rsidRDefault="00A149AB" w:rsidP="00A149AB">
      <w:pPr>
        <w:widowControl w:val="0"/>
        <w:numPr>
          <w:ilvl w:val="0"/>
          <w:numId w:val="2"/>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DN150/L500;</w:t>
      </w:r>
    </w:p>
    <w:p w14:paraId="0C6042DD"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Skaitiklio ilgalaikio darbo srautas (Q</w:t>
      </w:r>
      <w:r w:rsidRPr="00113A3B">
        <w:rPr>
          <w:bCs/>
          <w:color w:val="000000" w:themeColor="text1"/>
          <w:sz w:val="24"/>
          <w:szCs w:val="24"/>
          <w:vertAlign w:val="subscript"/>
          <w:lang w:eastAsia="ar-SA"/>
        </w:rPr>
        <w:t>3</w:t>
      </w:r>
      <w:r w:rsidRPr="00113A3B">
        <w:rPr>
          <w:bCs/>
          <w:color w:val="000000" w:themeColor="text1"/>
          <w:sz w:val="24"/>
          <w:szCs w:val="24"/>
          <w:lang w:eastAsia="ar-SA"/>
        </w:rPr>
        <w:t>):</w:t>
      </w:r>
    </w:p>
    <w:p w14:paraId="63F1D533" w14:textId="6B80748C"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 xml:space="preserve">DN50 ≤ </w:t>
      </w:r>
      <w:r w:rsidR="0099223E">
        <w:rPr>
          <w:rFonts w:eastAsia="Calibri"/>
          <w:color w:val="000000" w:themeColor="text1"/>
          <w:sz w:val="24"/>
          <w:szCs w:val="22"/>
        </w:rPr>
        <w:t>40</w:t>
      </w:r>
      <w:r w:rsidRPr="00113A3B">
        <w:rPr>
          <w:rFonts w:eastAsia="Calibri"/>
          <w:color w:val="000000" w:themeColor="text1"/>
          <w:sz w:val="24"/>
          <w:szCs w:val="22"/>
        </w:rPr>
        <w:t xml:space="preserve">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4F8CF937" w14:textId="7514A369"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 xml:space="preserve">DN65 ≤ </w:t>
      </w:r>
      <w:r w:rsidR="0099223E">
        <w:rPr>
          <w:rFonts w:eastAsia="Calibri"/>
          <w:color w:val="000000" w:themeColor="text1"/>
          <w:sz w:val="24"/>
          <w:szCs w:val="22"/>
        </w:rPr>
        <w:t>63</w:t>
      </w:r>
      <w:r w:rsidRPr="00113A3B">
        <w:rPr>
          <w:rFonts w:eastAsia="Calibri"/>
          <w:color w:val="000000" w:themeColor="text1"/>
          <w:sz w:val="24"/>
          <w:szCs w:val="22"/>
        </w:rPr>
        <w:t xml:space="preserve">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6E419E33" w14:textId="590EE836"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 xml:space="preserve">DN80 ≤ </w:t>
      </w:r>
      <w:r w:rsidR="0099223E">
        <w:rPr>
          <w:rFonts w:eastAsia="Calibri"/>
          <w:color w:val="000000" w:themeColor="text1"/>
          <w:sz w:val="24"/>
          <w:szCs w:val="22"/>
        </w:rPr>
        <w:t>100</w:t>
      </w:r>
      <w:r w:rsidRPr="00113A3B">
        <w:rPr>
          <w:rFonts w:eastAsia="Calibri"/>
          <w:color w:val="000000" w:themeColor="text1"/>
          <w:sz w:val="24"/>
          <w:szCs w:val="22"/>
        </w:rPr>
        <w:t xml:space="preserve">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665F07F5" w14:textId="1428876B" w:rsidR="00A149AB" w:rsidRPr="00113A3B" w:rsidRDefault="00A149AB" w:rsidP="00A149AB">
      <w:pPr>
        <w:widowControl w:val="0"/>
        <w:numPr>
          <w:ilvl w:val="0"/>
          <w:numId w:val="3"/>
        </w:numPr>
        <w:suppressAutoHyphens/>
        <w:overflowPunct/>
        <w:autoSpaceDE/>
        <w:autoSpaceDN/>
        <w:adjustRightInd/>
        <w:spacing w:before="60" w:line="276" w:lineRule="auto"/>
        <w:ind w:left="993" w:hanging="284"/>
        <w:contextualSpacing/>
        <w:jc w:val="both"/>
        <w:rPr>
          <w:rFonts w:eastAsia="Calibri"/>
          <w:color w:val="000000" w:themeColor="text1"/>
          <w:sz w:val="24"/>
          <w:szCs w:val="22"/>
        </w:rPr>
      </w:pPr>
      <w:r w:rsidRPr="00113A3B">
        <w:rPr>
          <w:rFonts w:eastAsia="Calibri"/>
          <w:color w:val="000000" w:themeColor="text1"/>
          <w:sz w:val="24"/>
          <w:szCs w:val="22"/>
        </w:rPr>
        <w:t>DN150 ≤ 1</w:t>
      </w:r>
      <w:r w:rsidR="0099223E">
        <w:rPr>
          <w:rFonts w:eastAsia="Calibri"/>
          <w:color w:val="000000" w:themeColor="text1"/>
          <w:sz w:val="24"/>
          <w:szCs w:val="22"/>
        </w:rPr>
        <w:t>6</w:t>
      </w:r>
      <w:r w:rsidRPr="00113A3B">
        <w:rPr>
          <w:rFonts w:eastAsia="Calibri"/>
          <w:color w:val="000000" w:themeColor="text1"/>
          <w:sz w:val="24"/>
          <w:szCs w:val="22"/>
        </w:rPr>
        <w:t>0 m</w:t>
      </w:r>
      <w:r w:rsidRPr="00113A3B">
        <w:rPr>
          <w:rFonts w:eastAsia="Calibri"/>
          <w:color w:val="000000" w:themeColor="text1"/>
          <w:sz w:val="24"/>
          <w:szCs w:val="22"/>
          <w:vertAlign w:val="superscript"/>
        </w:rPr>
        <w:t>3</w:t>
      </w:r>
      <w:r w:rsidRPr="00113A3B">
        <w:rPr>
          <w:rFonts w:eastAsia="Calibri"/>
          <w:color w:val="000000" w:themeColor="text1"/>
          <w:sz w:val="24"/>
          <w:szCs w:val="22"/>
        </w:rPr>
        <w:t>/h;</w:t>
      </w:r>
    </w:p>
    <w:p w14:paraId="66C11E8A"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Metrologinė tikslumo klasė (R= Q</w:t>
      </w:r>
      <w:r w:rsidRPr="00113A3B">
        <w:rPr>
          <w:bCs/>
          <w:color w:val="000000" w:themeColor="text1"/>
          <w:sz w:val="24"/>
          <w:szCs w:val="24"/>
          <w:vertAlign w:val="subscript"/>
          <w:lang w:eastAsia="ar-SA"/>
        </w:rPr>
        <w:t>3</w:t>
      </w:r>
      <w:r w:rsidRPr="00113A3B">
        <w:rPr>
          <w:bCs/>
          <w:color w:val="000000" w:themeColor="text1"/>
          <w:sz w:val="24"/>
          <w:szCs w:val="24"/>
          <w:lang w:eastAsia="ar-SA"/>
        </w:rPr>
        <w:t>/Q</w:t>
      </w:r>
      <w:r w:rsidRPr="00113A3B">
        <w:rPr>
          <w:bCs/>
          <w:color w:val="000000" w:themeColor="text1"/>
          <w:sz w:val="24"/>
          <w:szCs w:val="24"/>
          <w:vertAlign w:val="subscript"/>
          <w:lang w:eastAsia="ar-SA"/>
        </w:rPr>
        <w:t>1</w:t>
      </w:r>
      <w:r w:rsidRPr="00113A3B">
        <w:rPr>
          <w:bCs/>
          <w:color w:val="000000" w:themeColor="text1"/>
          <w:sz w:val="24"/>
          <w:szCs w:val="24"/>
          <w:lang w:eastAsia="ar-SA"/>
        </w:rPr>
        <w:t xml:space="preserve">) („B“ klasės atitikmuo): </w:t>
      </w:r>
    </w:p>
    <w:p w14:paraId="19BD7A7D" w14:textId="77777777" w:rsidR="00A149AB" w:rsidRPr="00113A3B" w:rsidRDefault="00A149AB" w:rsidP="00A149AB">
      <w:pPr>
        <w:widowControl w:val="0"/>
        <w:numPr>
          <w:ilvl w:val="0"/>
          <w:numId w:val="4"/>
        </w:numPr>
        <w:suppressAutoHyphens/>
        <w:overflowPunct/>
        <w:autoSpaceDE/>
        <w:autoSpaceDN/>
        <w:adjustRightInd/>
        <w:spacing w:before="60"/>
        <w:jc w:val="both"/>
        <w:outlineLvl w:val="1"/>
        <w:rPr>
          <w:bCs/>
          <w:color w:val="000000" w:themeColor="text1"/>
          <w:sz w:val="24"/>
          <w:szCs w:val="24"/>
          <w:lang w:eastAsia="ar-SA"/>
        </w:rPr>
      </w:pPr>
      <w:r w:rsidRPr="00113A3B">
        <w:rPr>
          <w:bCs/>
          <w:color w:val="000000" w:themeColor="text1"/>
          <w:sz w:val="24"/>
          <w:szCs w:val="24"/>
          <w:lang w:eastAsia="ar-SA"/>
        </w:rPr>
        <w:t>horizontalioje padėtyje - ne blogesnė nei R630;</w:t>
      </w:r>
    </w:p>
    <w:p w14:paraId="1510C589"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Prijungimas – flanšinis</w:t>
      </w:r>
    </w:p>
    <w:p w14:paraId="3F76CE1E"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Montuojamas horizontaliai;</w:t>
      </w:r>
    </w:p>
    <w:p w14:paraId="4BCE3B53"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sz w:val="24"/>
          <w:szCs w:val="24"/>
          <w:lang w:eastAsia="ar-SA"/>
        </w:rPr>
      </w:pPr>
      <w:r w:rsidRPr="00113A3B">
        <w:rPr>
          <w:bCs/>
          <w:sz w:val="24"/>
          <w:szCs w:val="24"/>
          <w:lang w:eastAsia="ar-SA"/>
        </w:rPr>
        <w:t>Didžiausia matuojamo vandens temperatūra  ≤ +50° C;</w:t>
      </w:r>
    </w:p>
    <w:p w14:paraId="41C6C49B" w14:textId="77777777" w:rsidR="00A149AB" w:rsidRPr="00113A3B" w:rsidRDefault="00A149AB" w:rsidP="00A149AB">
      <w:pPr>
        <w:widowControl w:val="0"/>
        <w:numPr>
          <w:ilvl w:val="1"/>
          <w:numId w:val="1"/>
        </w:numPr>
        <w:suppressAutoHyphens/>
        <w:overflowPunct/>
        <w:autoSpaceDE/>
        <w:autoSpaceDN/>
        <w:adjustRightInd/>
        <w:spacing w:before="60"/>
        <w:ind w:left="578" w:hanging="578"/>
        <w:jc w:val="both"/>
        <w:outlineLvl w:val="1"/>
        <w:rPr>
          <w:bCs/>
          <w:color w:val="000000" w:themeColor="text1"/>
          <w:sz w:val="24"/>
          <w:szCs w:val="24"/>
          <w:lang w:eastAsia="ar-SA"/>
        </w:rPr>
      </w:pPr>
      <w:r w:rsidRPr="00113A3B">
        <w:rPr>
          <w:bCs/>
          <w:color w:val="000000" w:themeColor="text1"/>
          <w:sz w:val="24"/>
          <w:szCs w:val="24"/>
          <w:lang w:eastAsia="ar-SA"/>
        </w:rPr>
        <w:t>Skaičiavimo mechanizmo skalė – ne mažiau kaip 5 skaitmenų. Skaičiai aiškiai ir suprantamai įskaitomi.</w:t>
      </w:r>
    </w:p>
    <w:p w14:paraId="63F463C4" w14:textId="77777777" w:rsidR="008C2AB8" w:rsidRPr="00113A3B" w:rsidRDefault="008C2AB8"/>
    <w:sectPr w:rsidR="008C2AB8" w:rsidRPr="00113A3B" w:rsidSect="00D164F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39E"/>
    <w:multiLevelType w:val="hybridMultilevel"/>
    <w:tmpl w:val="17BAAC26"/>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 w15:restartNumberingAfterBreak="0">
    <w:nsid w:val="33E220FA"/>
    <w:multiLevelType w:val="multilevel"/>
    <w:tmpl w:val="6E2AB96E"/>
    <w:lvl w:ilvl="0">
      <w:start w:val="1"/>
      <w:numFmt w:val="decimal"/>
      <w:lvlText w:val="%1"/>
      <w:lvlJc w:val="left"/>
      <w:pPr>
        <w:ind w:left="432" w:hanging="432"/>
      </w:pPr>
    </w:lvl>
    <w:lvl w:ilvl="1">
      <w:start w:val="1"/>
      <w:numFmt w:val="decimal"/>
      <w:lvlText w:val="%1.%2"/>
      <w:lvlJc w:val="left"/>
      <w:pPr>
        <w:ind w:left="859" w:hanging="576"/>
      </w:pPr>
      <w:rPr>
        <w:b w:val="0"/>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B8362AB"/>
    <w:multiLevelType w:val="hybridMultilevel"/>
    <w:tmpl w:val="15B89814"/>
    <w:lvl w:ilvl="0" w:tplc="04270001">
      <w:start w:val="1"/>
      <w:numFmt w:val="bullet"/>
      <w:lvlText w:val=""/>
      <w:lvlJc w:val="left"/>
      <w:pPr>
        <w:ind w:left="1365" w:hanging="360"/>
      </w:pPr>
      <w:rPr>
        <w:rFonts w:ascii="Symbol" w:hAnsi="Symbol" w:hint="default"/>
      </w:rPr>
    </w:lvl>
    <w:lvl w:ilvl="1" w:tplc="04270003" w:tentative="1">
      <w:start w:val="1"/>
      <w:numFmt w:val="bullet"/>
      <w:lvlText w:val="o"/>
      <w:lvlJc w:val="left"/>
      <w:pPr>
        <w:ind w:left="2085" w:hanging="360"/>
      </w:pPr>
      <w:rPr>
        <w:rFonts w:ascii="Courier New" w:hAnsi="Courier New" w:cs="Courier New" w:hint="default"/>
      </w:rPr>
    </w:lvl>
    <w:lvl w:ilvl="2" w:tplc="04270005" w:tentative="1">
      <w:start w:val="1"/>
      <w:numFmt w:val="bullet"/>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cs="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cs="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53FF28B9"/>
    <w:multiLevelType w:val="hybridMultilevel"/>
    <w:tmpl w:val="1C6EEB8C"/>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cs="Times New Roman" w:hint="default"/>
      </w:rPr>
    </w:lvl>
    <w:lvl w:ilvl="1" w:tplc="04270003" w:tentative="1">
      <w:start w:val="1"/>
      <w:numFmt w:val="bullet"/>
      <w:lvlText w:val="o"/>
      <w:lvlJc w:val="left"/>
      <w:pPr>
        <w:ind w:left="1718" w:hanging="360"/>
      </w:pPr>
      <w:rPr>
        <w:rFonts w:ascii="Courier New" w:hAnsi="Courier New" w:cs="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cs="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cs="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5" w15:restartNumberingAfterBreak="0">
    <w:nsid w:val="61635918"/>
    <w:multiLevelType w:val="hybridMultilevel"/>
    <w:tmpl w:val="639CF680"/>
    <w:lvl w:ilvl="0" w:tplc="200E2F5C">
      <w:numFmt w:val="bullet"/>
      <w:lvlText w:val="–"/>
      <w:lvlJc w:val="left"/>
      <w:pPr>
        <w:ind w:left="2738" w:hanging="360"/>
      </w:pPr>
      <w:rPr>
        <w:rFonts w:ascii="Times New Roman" w:eastAsia="Times New Roman"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num w:numId="1" w16cid:durableId="1430158783">
    <w:abstractNumId w:val="1"/>
  </w:num>
  <w:num w:numId="2" w16cid:durableId="371810871">
    <w:abstractNumId w:val="4"/>
  </w:num>
  <w:num w:numId="3" w16cid:durableId="101726452">
    <w:abstractNumId w:val="5"/>
  </w:num>
  <w:num w:numId="4" w16cid:durableId="1091318731">
    <w:abstractNumId w:val="2"/>
  </w:num>
  <w:num w:numId="5" w16cid:durableId="1824153181">
    <w:abstractNumId w:val="0"/>
  </w:num>
  <w:num w:numId="6" w16cid:durableId="22800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AB"/>
    <w:rsid w:val="00095365"/>
    <w:rsid w:val="00113A3B"/>
    <w:rsid w:val="00350117"/>
    <w:rsid w:val="003D0A9B"/>
    <w:rsid w:val="00493F8D"/>
    <w:rsid w:val="00634E26"/>
    <w:rsid w:val="00677DAA"/>
    <w:rsid w:val="00860D1D"/>
    <w:rsid w:val="008B3C7C"/>
    <w:rsid w:val="008C2AB8"/>
    <w:rsid w:val="009109C6"/>
    <w:rsid w:val="009231C3"/>
    <w:rsid w:val="0099223E"/>
    <w:rsid w:val="00A149AB"/>
    <w:rsid w:val="00B22894"/>
    <w:rsid w:val="00BE2734"/>
    <w:rsid w:val="00BE5A44"/>
    <w:rsid w:val="00D164FE"/>
    <w:rsid w:val="00D24F2B"/>
    <w:rsid w:val="00D36BEC"/>
    <w:rsid w:val="00D8112E"/>
    <w:rsid w:val="00DD5872"/>
    <w:rsid w:val="00F0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CBCB"/>
  <w15:chartTrackingRefBased/>
  <w15:docId w15:val="{EBF12EE5-56EB-45A4-9A3D-5C93541D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9AB"/>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A149AB"/>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NoSpacingChar">
    <w:name w:val="No Spacing Char"/>
    <w:link w:val="NoSpacing"/>
    <w:uiPriority w:val="99"/>
    <w:locked/>
    <w:rsid w:val="00A149A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055529">
      <w:bodyDiv w:val="1"/>
      <w:marLeft w:val="0"/>
      <w:marRight w:val="0"/>
      <w:marTop w:val="0"/>
      <w:marBottom w:val="0"/>
      <w:divBdr>
        <w:top w:val="none" w:sz="0" w:space="0" w:color="auto"/>
        <w:left w:val="none" w:sz="0" w:space="0" w:color="auto"/>
        <w:bottom w:val="none" w:sz="0" w:space="0" w:color="auto"/>
        <w:right w:val="none" w:sz="0" w:space="0" w:color="auto"/>
      </w:divBdr>
    </w:div>
    <w:div w:id="12166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5289</Words>
  <Characters>3016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c:creator>
  <cp:lastModifiedBy>Jolita Pukelienė</cp:lastModifiedBy>
  <cp:revision>2</cp:revision>
  <cp:lastPrinted>2024-12-13T12:52:00Z</cp:lastPrinted>
  <dcterms:created xsi:type="dcterms:W3CDTF">2024-12-26T19:35:00Z</dcterms:created>
  <dcterms:modified xsi:type="dcterms:W3CDTF">2024-12-26T19:35:00Z</dcterms:modified>
</cp:coreProperties>
</file>