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FD4E" w14:textId="77777777" w:rsidR="00543EF0" w:rsidRDefault="00543EF0">
      <w:pPr>
        <w:spacing w:after="0" w:line="240" w:lineRule="auto"/>
        <w:jc w:val="both"/>
        <w:rPr>
          <w:rFonts w:eastAsia="Times New Roman"/>
          <w:sz w:val="22"/>
        </w:rPr>
      </w:pPr>
    </w:p>
    <w:p w14:paraId="7C0E7F16" w14:textId="77777777" w:rsidR="00543EF0" w:rsidRDefault="00543EF0">
      <w:pPr>
        <w:spacing w:after="0" w:line="240" w:lineRule="auto"/>
        <w:jc w:val="center"/>
      </w:pPr>
    </w:p>
    <w:p w14:paraId="532E6275" w14:textId="77777777" w:rsidR="00543EF0" w:rsidRDefault="00000000">
      <w:pPr>
        <w:ind w:left="1134" w:right="567"/>
        <w:jc w:val="center"/>
        <w:rPr>
          <w:b/>
          <w:bCs/>
          <w:sz w:val="22"/>
        </w:rPr>
      </w:pPr>
      <w:r>
        <w:rPr>
          <w:b/>
          <w:bCs/>
          <w:sz w:val="22"/>
        </w:rPr>
        <w:t>TECHNINĖ SPECIFIKACIJA</w:t>
      </w:r>
    </w:p>
    <w:p w14:paraId="3583F8E6" w14:textId="77777777" w:rsidR="00543EF0" w:rsidRDefault="00000000">
      <w:pPr>
        <w:spacing w:after="0" w:line="240" w:lineRule="auto"/>
        <w:jc w:val="center"/>
        <w:rPr>
          <w:rFonts w:eastAsia="Times New Roman"/>
          <w:sz w:val="22"/>
        </w:rPr>
      </w:pPr>
      <w:r>
        <w:rPr>
          <w:b/>
          <w:bCs/>
          <w:sz w:val="22"/>
        </w:rPr>
        <w:t>Endoskopinė įranga ( kolonoskopijai, gastroskopijai, ir endoskopijai )</w:t>
      </w:r>
    </w:p>
    <w:p w14:paraId="22F05397" w14:textId="77777777" w:rsidR="00543EF0" w:rsidRDefault="00000000">
      <w:pPr>
        <w:spacing w:after="0" w:line="240" w:lineRule="auto"/>
        <w:jc w:val="center"/>
        <w:rPr>
          <w:rFonts w:eastAsia="Times New Roman"/>
          <w:sz w:val="22"/>
        </w:rPr>
      </w:pPr>
      <w:r>
        <w:rPr>
          <w:b/>
          <w:bCs/>
          <w:sz w:val="22"/>
        </w:rPr>
        <w:t>Kartu su dirbtinio intelekto  procesoriumi</w:t>
      </w:r>
    </w:p>
    <w:p w14:paraId="78C39EFE" w14:textId="77777777" w:rsidR="00543EF0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 vnt.</w:t>
      </w:r>
    </w:p>
    <w:p w14:paraId="03B77FFF" w14:textId="77777777" w:rsidR="00543EF0" w:rsidRDefault="00543EF0">
      <w:pPr>
        <w:spacing w:after="0" w:line="240" w:lineRule="auto"/>
        <w:jc w:val="both"/>
        <w:rPr>
          <w:rFonts w:eastAsia="Times New Roman"/>
          <w:sz w:val="22"/>
        </w:rPr>
      </w:pPr>
    </w:p>
    <w:p w14:paraId="31B607B8" w14:textId="77777777" w:rsidR="00543EF0" w:rsidRDefault="00543EF0">
      <w:pPr>
        <w:spacing w:after="0" w:line="240" w:lineRule="auto"/>
        <w:jc w:val="both"/>
        <w:rPr>
          <w:rFonts w:eastAsia="Times New Roman"/>
          <w:sz w:val="22"/>
        </w:rPr>
      </w:pPr>
    </w:p>
    <w:p w14:paraId="2F52EC85" w14:textId="77777777" w:rsidR="00543EF0" w:rsidRDefault="00543EF0">
      <w:pPr>
        <w:spacing w:after="0" w:line="240" w:lineRule="auto"/>
        <w:jc w:val="both"/>
        <w:rPr>
          <w:rFonts w:eastAsia="Times New Roman"/>
          <w:sz w:val="22"/>
        </w:rPr>
      </w:pPr>
    </w:p>
    <w:p w14:paraId="1B487985" w14:textId="77777777" w:rsidR="00543EF0" w:rsidRDefault="00543EF0">
      <w:pPr>
        <w:spacing w:after="0" w:line="240" w:lineRule="auto"/>
        <w:jc w:val="both"/>
        <w:rPr>
          <w:rFonts w:eastAsia="Times New Roman"/>
          <w:sz w:val="22"/>
        </w:rPr>
      </w:pPr>
    </w:p>
    <w:p w14:paraId="466A9691" w14:textId="77777777" w:rsidR="00543EF0" w:rsidRDefault="00543EF0">
      <w:pPr>
        <w:spacing w:after="0" w:line="240" w:lineRule="auto"/>
        <w:ind w:firstLine="1298"/>
        <w:jc w:val="both"/>
        <w:rPr>
          <w:rFonts w:eastAsia="Times New Roman"/>
          <w:sz w:val="22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510"/>
        <w:gridCol w:w="1715"/>
        <w:gridCol w:w="5398"/>
        <w:gridCol w:w="2004"/>
      </w:tblGrid>
      <w:tr w:rsidR="00543EF0" w14:paraId="0F6A6E0B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1BCF" w14:textId="77777777" w:rsidR="00543EF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Eil.</w:t>
            </w:r>
          </w:p>
          <w:p w14:paraId="7E7A9396" w14:textId="77777777" w:rsidR="00543EF0" w:rsidRDefault="00000000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Nr.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D4F6" w14:textId="77777777" w:rsidR="00543EF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Parametrai (specifikacija)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A853" w14:textId="77777777" w:rsidR="00543EF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Reikalaujamos parametrų reikšmės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285" w14:textId="77777777" w:rsidR="00543EF0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 w:rsidR="00543EF0" w14:paraId="0C9B2972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588B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76FB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Aukštos raiškos monitorius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54A7" w14:textId="77777777" w:rsidR="00543EF0" w:rsidRDefault="00000000">
            <w:pPr>
              <w:pStyle w:val="ListParagraph"/>
              <w:numPr>
                <w:ilvl w:val="1"/>
                <w:numId w:val="2"/>
              </w:numPr>
              <w:snapToGrid w:val="0"/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LED pašvietimo technologija;</w:t>
            </w:r>
          </w:p>
          <w:p w14:paraId="354E44F7" w14:textId="77777777" w:rsidR="00543EF0" w:rsidRDefault="00000000">
            <w:pPr>
              <w:pStyle w:val="ListParagraph"/>
              <w:numPr>
                <w:ilvl w:val="1"/>
                <w:numId w:val="2"/>
              </w:numPr>
              <w:snapToGrid w:val="0"/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Šviesumas ≥ 700 cd/m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6B87759" w14:textId="77777777" w:rsidR="00543EF0" w:rsidRDefault="00000000">
            <w:pPr>
              <w:pStyle w:val="ListParagraph"/>
              <w:numPr>
                <w:ilvl w:val="1"/>
                <w:numId w:val="2"/>
              </w:numPr>
              <w:snapToGrid w:val="0"/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Ekrano įstrižainė ≥ 31 colio;</w:t>
            </w:r>
          </w:p>
          <w:p w14:paraId="3DC74CFA" w14:textId="77777777" w:rsidR="00543EF0" w:rsidRDefault="00000000">
            <w:pPr>
              <w:pStyle w:val="ListParagraph"/>
              <w:numPr>
                <w:ilvl w:val="1"/>
                <w:numId w:val="2"/>
              </w:numPr>
              <w:snapToGrid w:val="0"/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Raiška ≥ (3840 x 2160) taškų;</w:t>
            </w:r>
          </w:p>
          <w:p w14:paraId="21E0DCC7" w14:textId="77777777" w:rsidR="00543EF0" w:rsidRDefault="00000000">
            <w:pPr>
              <w:pStyle w:val="ListParagraph"/>
              <w:numPr>
                <w:ilvl w:val="1"/>
                <w:numId w:val="2"/>
              </w:numPr>
              <w:snapToGrid w:val="0"/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Įvesties jungčių tipai:</w:t>
            </w:r>
          </w:p>
          <w:p w14:paraId="4A827C7C" w14:textId="77777777" w:rsidR="00543EF0" w:rsidRDefault="00000000">
            <w:pPr>
              <w:pStyle w:val="ListParagraph"/>
              <w:numPr>
                <w:ilvl w:val="1"/>
                <w:numId w:val="9"/>
              </w:numPr>
              <w:snapToGrid w:val="0"/>
              <w:ind w:left="511" w:hanging="5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 1 x DVI arba 3G-SDI;</w:t>
            </w:r>
          </w:p>
          <w:p w14:paraId="0AEE71C0" w14:textId="77777777" w:rsidR="00543EF0" w:rsidRDefault="00000000">
            <w:pPr>
              <w:pStyle w:val="ListParagraph"/>
              <w:numPr>
                <w:ilvl w:val="0"/>
                <w:numId w:val="9"/>
              </w:numPr>
              <w:snapToGrid w:val="0"/>
              <w:ind w:left="511" w:hanging="51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Medicininės paskirties.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77E9" w14:textId="77777777" w:rsidR="00543EF0" w:rsidRDefault="00543EF0">
            <w:pPr>
              <w:snapToGrid w:val="0"/>
              <w:spacing w:after="0" w:line="240" w:lineRule="auto"/>
              <w:rPr>
                <w:rFonts w:eastAsia="Times New Roman"/>
                <w:bCs/>
                <w:i/>
                <w:iCs/>
                <w:sz w:val="22"/>
              </w:rPr>
            </w:pPr>
          </w:p>
        </w:tc>
      </w:tr>
      <w:tr w:rsidR="00543EF0" w14:paraId="337BC70E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C15F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33DF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Vaizdo procesorius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476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Integruotas arba atskiras LED šviesos šaltinis;</w:t>
            </w:r>
          </w:p>
          <w:p w14:paraId="184D35DA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Endoskopas prie vaizdo procesoriaus jungiamas viena jungtimi;</w:t>
            </w:r>
          </w:p>
          <w:p w14:paraId="65179DA5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DVI-D arba 3G-SDI tipo arba lygiavertė jungtis;</w:t>
            </w:r>
          </w:p>
          <w:p w14:paraId="5607BEA6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Galimybė išsaugoti nuotraukas USB tipo nešiojamame atminties įtaise;</w:t>
            </w:r>
          </w:p>
          <w:p w14:paraId="0229BBE0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Suderinamumas:</w:t>
            </w:r>
          </w:p>
          <w:p w14:paraId="1619447D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Gastroskopai su optinio priartinimo „zoom“ funkcija;</w:t>
            </w:r>
          </w:p>
          <w:p w14:paraId="62652728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Kolonoskopai su optinio priartinimo „zoom“ funkcija;</w:t>
            </w:r>
          </w:p>
          <w:p w14:paraId="5D9C1FC4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Enteroskopai su balionu dilatacijai;</w:t>
            </w:r>
          </w:p>
          <w:p w14:paraId="497B942B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Chromoendoskopijos režimai:</w:t>
            </w:r>
          </w:p>
          <w:p w14:paraId="24F01A07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Raudonos spalvos režimas, padidinantis spalvų kontrastą, kurio metu lengviau pastebėti gleivinės uždegimą (kitus pažeidimus) ir jo ribas;</w:t>
            </w:r>
          </w:p>
          <w:p w14:paraId="2A23414E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Mėlynos spalvos režimas, padidinantis spalvų kontrastą, skirtas išryškinti mikro kraujagyslių tinklą bei gleivinės paviršiaus struktūras;</w:t>
            </w:r>
          </w:p>
          <w:p w14:paraId="258D211C" w14:textId="77777777" w:rsidR="00543EF0" w:rsidRDefault="00000000">
            <w:pPr>
              <w:pStyle w:val="ListParagraph"/>
              <w:numPr>
                <w:ilvl w:val="0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Dirbtinio intelekto modulis:</w:t>
            </w:r>
          </w:p>
          <w:p w14:paraId="323BE57F" w14:textId="77777777" w:rsidR="00543EF0" w:rsidRDefault="00000000">
            <w:pPr>
              <w:pStyle w:val="ListParagraph"/>
              <w:numPr>
                <w:ilvl w:val="1"/>
                <w:numId w:val="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bookmarkStart w:id="0" w:name="_Hlk168409898"/>
            <w:r>
              <w:rPr>
                <w:rFonts w:ascii="Times New Roman" w:hAnsi="Times New Roman" w:cs="Times New Roman"/>
                <w:sz w:val="22"/>
                <w:szCs w:val="22"/>
              </w:rPr>
              <w:t>Polipų aptikimo funkcija realiu laiku - paremta dirbtinio intelekto technologija</w:t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(sistema endoskopinio vaizdo monitoriuje pažymi zonas/vietas, kuriose rasti polipai).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0710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7CFF62D1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408D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A3E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Gastroskopas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9F21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Vaizdo sensoriaus tipas CMOS;</w:t>
            </w:r>
          </w:p>
          <w:p w14:paraId="09259054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Endoskopas prie sistemos jungiasi viena jungtimi;</w:t>
            </w:r>
          </w:p>
          <w:p w14:paraId="011EAA1B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Matymo kampas ≥ 140°;</w:t>
            </w:r>
          </w:p>
          <w:p w14:paraId="10707B25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Regėjimo lauko gylis ne siauresnėse ribose kaip 2-100 mm;</w:t>
            </w:r>
          </w:p>
          <w:p w14:paraId="4630E9CC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Lenkimo kampai:</w:t>
            </w:r>
          </w:p>
          <w:p w14:paraId="5D8614A8" w14:textId="77777777" w:rsidR="00543EF0" w:rsidRDefault="00000000">
            <w:pPr>
              <w:pStyle w:val="ListParagraph"/>
              <w:numPr>
                <w:ilvl w:val="1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aukštyn/žemyn ≥ 210° / ≥ 90°;</w:t>
            </w:r>
          </w:p>
          <w:p w14:paraId="7BD35595" w14:textId="77777777" w:rsidR="00543EF0" w:rsidRDefault="00000000">
            <w:pPr>
              <w:pStyle w:val="ListParagraph"/>
              <w:numPr>
                <w:ilvl w:val="1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dešinėn/kairėn ≥100°/ ≥ 100°;</w:t>
            </w:r>
          </w:p>
          <w:p w14:paraId="75872C30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Įvedamosios dalies diametras ≤ 9,9 mm;</w:t>
            </w:r>
          </w:p>
          <w:p w14:paraId="5DB71F67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Instrumentinio kanalo diametras ≥ 2,8 mm;</w:t>
            </w:r>
          </w:p>
          <w:p w14:paraId="553C96E5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Darbinis ilgis 1050 mm ± 50 mm;</w:t>
            </w:r>
          </w:p>
          <w:p w14:paraId="1075BF4A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Su oro/vandens kanalu;</w:t>
            </w:r>
          </w:p>
          <w:p w14:paraId="1038232C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Su papildomu vandens („Jet“) kanalu;</w:t>
            </w:r>
          </w:p>
          <w:p w14:paraId="54AA05AE" w14:textId="77777777" w:rsidR="00543EF0" w:rsidRDefault="00000000">
            <w:pPr>
              <w:pStyle w:val="ListParagraph"/>
              <w:numPr>
                <w:ilvl w:val="0"/>
                <w:numId w:val="5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Ergonomiška („ErgoGrip“ arba „G7 Grip“ arba lygiavertė) rankena.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D4FB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6B7200B4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09F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F7F9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Kolonoskopas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012B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Vaizdo sensoriaus tipas CMOS;</w:t>
            </w:r>
          </w:p>
          <w:p w14:paraId="7C80B62B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Endoskopas prie sistemos jungiasi viena jungtimi;</w:t>
            </w:r>
          </w:p>
          <w:p w14:paraId="70D990DF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Matymo kampas ≥ 160°;</w:t>
            </w:r>
          </w:p>
          <w:p w14:paraId="6597A196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Regėjimo lauko gylis ne siauresnėse ribose kaip 2-100 mm;</w:t>
            </w:r>
          </w:p>
          <w:p w14:paraId="051EEAF6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Lenkimo kampai:</w:t>
            </w:r>
          </w:p>
          <w:p w14:paraId="0E288F53" w14:textId="77777777" w:rsidR="00543EF0" w:rsidRDefault="00000000">
            <w:pPr>
              <w:pStyle w:val="ListParagraph"/>
              <w:numPr>
                <w:ilvl w:val="1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aukštyn/žemyn ≥ 180° / ≥ 180°;</w:t>
            </w:r>
          </w:p>
          <w:p w14:paraId="450F2038" w14:textId="77777777" w:rsidR="00543EF0" w:rsidRDefault="00000000">
            <w:pPr>
              <w:pStyle w:val="ListParagraph"/>
              <w:numPr>
                <w:ilvl w:val="1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dešinėn/kairėn ≥160°/ ≥ 160°;</w:t>
            </w:r>
          </w:p>
          <w:p w14:paraId="7053DF9B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Įvedamosios dalies diametras ≤ 13,2 mm;</w:t>
            </w:r>
          </w:p>
          <w:p w14:paraId="5CB6204A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Instrumentinio kanalo diametras ≥ 3,7 mm;</w:t>
            </w:r>
          </w:p>
          <w:p w14:paraId="52018EC6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Darbinis ilgis 1690 mm ± 50 mm;</w:t>
            </w:r>
          </w:p>
          <w:p w14:paraId="20CF1E3E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Su oro/vandens kanalu;</w:t>
            </w:r>
          </w:p>
          <w:p w14:paraId="44C801F8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Su papildomu vandens („Jet“) padavimo kanalu;</w:t>
            </w:r>
          </w:p>
          <w:p w14:paraId="480071F1" w14:textId="77777777" w:rsidR="00543EF0" w:rsidRDefault="00000000">
            <w:pPr>
              <w:pStyle w:val="ListParagraph"/>
              <w:numPr>
                <w:ilvl w:val="0"/>
                <w:numId w:val="6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Ergonomiška („ErgoGrip“ arba „G7 Grip“ arba lygiavertė) rankena.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0523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72944526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F64D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3A7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Irigacinė pompa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69E7" w14:textId="77777777" w:rsidR="00543EF0" w:rsidRDefault="00000000">
            <w:pPr>
              <w:pStyle w:val="ListParagraph"/>
              <w:numPr>
                <w:ilvl w:val="0"/>
                <w:numId w:val="7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Peristaltinio (ratukinio) tipo;</w:t>
            </w:r>
          </w:p>
          <w:p w14:paraId="64767CB0" w14:textId="77777777" w:rsidR="00543EF0" w:rsidRDefault="00000000">
            <w:pPr>
              <w:pStyle w:val="ListParagraph"/>
              <w:numPr>
                <w:ilvl w:val="0"/>
                <w:numId w:val="7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Reguliuojamas vandens srautas;</w:t>
            </w:r>
          </w:p>
          <w:p w14:paraId="309A4780" w14:textId="77777777" w:rsidR="00543EF0" w:rsidRDefault="00000000">
            <w:pPr>
              <w:pStyle w:val="ListParagraph"/>
              <w:numPr>
                <w:ilvl w:val="0"/>
                <w:numId w:val="7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Naudojimui su daugkartiniais ir vienkartiniais žarnelių rinkiniais;</w:t>
            </w:r>
          </w:p>
          <w:p w14:paraId="29B5D1FE" w14:textId="77777777" w:rsidR="00543EF0" w:rsidRDefault="00000000">
            <w:pPr>
              <w:pStyle w:val="ListParagraph"/>
              <w:numPr>
                <w:ilvl w:val="0"/>
                <w:numId w:val="7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Komplekte: kojinis jungiklis – 1 vnt., autoklavuojama vandens talpa – 1 vnt.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49B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01B7536A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0A6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53C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Endoskopinis siurblys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8BFA" w14:textId="77777777" w:rsidR="00543EF0" w:rsidRDefault="00000000">
            <w:pPr>
              <w:pStyle w:val="ListParagraph"/>
              <w:numPr>
                <w:ilvl w:val="0"/>
                <w:numId w:val="12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Didžiausias siurbimo srautas ≥ 40 l/min;</w:t>
            </w:r>
          </w:p>
          <w:p w14:paraId="4F95ACBE" w14:textId="77777777" w:rsidR="00543EF0" w:rsidRDefault="00000000">
            <w:pPr>
              <w:pStyle w:val="ListParagraph"/>
              <w:numPr>
                <w:ilvl w:val="0"/>
                <w:numId w:val="12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Vakuumas ≥ 90 kPa;</w:t>
            </w:r>
          </w:p>
          <w:p w14:paraId="3C10D455" w14:textId="77777777" w:rsidR="00543EF0" w:rsidRDefault="00000000">
            <w:pPr>
              <w:pStyle w:val="ListParagraph"/>
              <w:numPr>
                <w:ilvl w:val="0"/>
                <w:numId w:val="12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Autoklavuojamas indas skysčiams ≥ 1 l talpos.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9C84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03CA25F3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CCDE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45CE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Elektrochirurginis įrenginys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C2A3" w14:textId="77777777" w:rsidR="00543EF0" w:rsidRDefault="00000000">
            <w:pPr>
              <w:pStyle w:val="ListParagraph"/>
              <w:numPr>
                <w:ilvl w:val="0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Monopolinio pjovimo režimas:</w:t>
            </w:r>
          </w:p>
          <w:p w14:paraId="69548FAD" w14:textId="77777777" w:rsidR="00543EF0" w:rsidRDefault="00000000">
            <w:pPr>
              <w:numPr>
                <w:ilvl w:val="1"/>
                <w:numId w:val="13"/>
              </w:numPr>
              <w:tabs>
                <w:tab w:val="left" w:pos="246"/>
              </w:tabs>
              <w:spacing w:after="0" w:line="240" w:lineRule="auto"/>
              <w:ind w:left="511" w:hanging="511"/>
              <w:jc w:val="both"/>
              <w:rPr>
                <w:sz w:val="22"/>
              </w:rPr>
            </w:pPr>
            <w:r>
              <w:rPr>
                <w:sz w:val="22"/>
              </w:rPr>
              <w:t>Ne mažiau 3 (trijų) hemostazės efektų;</w:t>
            </w:r>
          </w:p>
          <w:p w14:paraId="6C18BCFB" w14:textId="77777777" w:rsidR="00543EF0" w:rsidRDefault="00000000">
            <w:pPr>
              <w:numPr>
                <w:ilvl w:val="1"/>
                <w:numId w:val="13"/>
              </w:numPr>
              <w:tabs>
                <w:tab w:val="left" w:pos="246"/>
              </w:tabs>
              <w:spacing w:after="0" w:line="240" w:lineRule="auto"/>
              <w:ind w:left="511" w:hanging="511"/>
              <w:jc w:val="both"/>
              <w:rPr>
                <w:sz w:val="22"/>
              </w:rPr>
            </w:pPr>
            <w:r>
              <w:rPr>
                <w:sz w:val="22"/>
              </w:rPr>
              <w:t>Maksimali galia – ne mažiau 120 W;</w:t>
            </w:r>
          </w:p>
          <w:p w14:paraId="0C16E0EC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pikine galios sistema arba greitąja kibirkščių kontrolės sistema, arba lygiaverte sistema;</w:t>
            </w:r>
          </w:p>
          <w:p w14:paraId="64BF7B66" w14:textId="77777777" w:rsidR="00543EF0" w:rsidRDefault="00000000">
            <w:pPr>
              <w:pStyle w:val="ListParagraph"/>
              <w:numPr>
                <w:ilvl w:val="0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Monopolinio pjovimo režimas, skirtas endoskopinėms intervencijoms:</w:t>
            </w:r>
          </w:p>
          <w:p w14:paraId="20EDE4B4" w14:textId="77777777" w:rsidR="00543EF0" w:rsidRDefault="00000000">
            <w:pPr>
              <w:pStyle w:val="ListParagraph"/>
              <w:numPr>
                <w:ilvl w:val="1"/>
                <w:numId w:val="13"/>
              </w:numPr>
              <w:tabs>
                <w:tab w:val="left" w:pos="246"/>
              </w:tabs>
              <w:ind w:left="511" w:hanging="511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Susidedantis iš besikeičiančių pjovimo ir koaguliavimo etapų;</w:t>
            </w:r>
          </w:p>
          <w:p w14:paraId="616B8F67" w14:textId="77777777" w:rsidR="00543EF0" w:rsidRDefault="00000000">
            <w:pPr>
              <w:pStyle w:val="ListParagraph"/>
              <w:numPr>
                <w:ilvl w:val="1"/>
                <w:numId w:val="13"/>
              </w:numPr>
              <w:tabs>
                <w:tab w:val="left" w:pos="246"/>
              </w:tabs>
              <w:ind w:left="511" w:hanging="511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 automatine pikinės įtampos reguliavimo sistema arba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greitąja kibirkščių kontrolės sistema, arba lygiaverte sistema.</w:t>
            </w:r>
          </w:p>
          <w:p w14:paraId="76693D3A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Maksimali galia – ne mažiau 120 W;</w:t>
            </w:r>
          </w:p>
          <w:p w14:paraId="3E5EDFF8" w14:textId="77777777" w:rsidR="00543EF0" w:rsidRDefault="00000000">
            <w:pPr>
              <w:pStyle w:val="ListParagraph"/>
              <w:numPr>
                <w:ilvl w:val="0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Monopolinis „minkšto” koaguliavimo režimas:</w:t>
            </w:r>
          </w:p>
          <w:p w14:paraId="58C2F759" w14:textId="77777777" w:rsidR="00543EF0" w:rsidRDefault="00000000">
            <w:pPr>
              <w:pStyle w:val="ListParagraph"/>
              <w:numPr>
                <w:ilvl w:val="1"/>
                <w:numId w:val="13"/>
              </w:numPr>
              <w:tabs>
                <w:tab w:val="left" w:pos="246"/>
              </w:tabs>
              <w:ind w:left="511" w:hanging="511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3 hemostazės efektų;</w:t>
            </w:r>
          </w:p>
          <w:p w14:paraId="4A97EB65" w14:textId="77777777" w:rsidR="00543EF0" w:rsidRDefault="00000000">
            <w:pPr>
              <w:pStyle w:val="ListParagraph"/>
              <w:numPr>
                <w:ilvl w:val="1"/>
                <w:numId w:val="13"/>
              </w:numPr>
              <w:tabs>
                <w:tab w:val="left" w:pos="246"/>
              </w:tabs>
              <w:ind w:left="511" w:hanging="511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Maksimali galia: ne mažiau 120 W;</w:t>
            </w:r>
          </w:p>
          <w:p w14:paraId="412E6845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 automatiniu pikinės įtampos reguliavimu arba monopolinė koaguliacija, negeneruojant kibirkščių, galinčių paveikti giliuosius audinius;</w:t>
            </w:r>
          </w:p>
          <w:p w14:paraId="2C62EC18" w14:textId="77777777" w:rsidR="00543EF0" w:rsidRDefault="00000000">
            <w:pPr>
              <w:pStyle w:val="ListParagraph"/>
              <w:numPr>
                <w:ilvl w:val="0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Bipolinis „minkšto” koaguliavimo režimas:</w:t>
            </w:r>
          </w:p>
          <w:p w14:paraId="6A082411" w14:textId="77777777" w:rsidR="00543EF0" w:rsidRDefault="00000000">
            <w:pPr>
              <w:pStyle w:val="ListParagraph"/>
              <w:numPr>
                <w:ilvl w:val="1"/>
                <w:numId w:val="13"/>
              </w:numPr>
              <w:tabs>
                <w:tab w:val="left" w:pos="246"/>
              </w:tabs>
              <w:ind w:left="511" w:hanging="511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3 hemostazės efektų;</w:t>
            </w:r>
          </w:p>
          <w:p w14:paraId="555C87BA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Maksimali galia – ne mažiau 120 W;</w:t>
            </w:r>
          </w:p>
          <w:p w14:paraId="59CFC575" w14:textId="77777777" w:rsidR="00543EF0" w:rsidRDefault="00000000">
            <w:pPr>
              <w:pStyle w:val="ListParagraph"/>
              <w:numPr>
                <w:ilvl w:val="0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Komplekte:</w:t>
            </w:r>
          </w:p>
          <w:p w14:paraId="12D70002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Kojinis jungiklis ≥ 1 vnt.;</w:t>
            </w:r>
          </w:p>
          <w:p w14:paraId="5D2812C8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Vienkartinis neutralus paciento elektrodas ≥ 100 vnt.; </w:t>
            </w:r>
          </w:p>
          <w:p w14:paraId="65657C7D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Laidas neutralaus paciento elektrodo pajungimui ≥ 1 vnt.;</w:t>
            </w:r>
          </w:p>
          <w:p w14:paraId="0165AE97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Monopolinis laidas endoskopinių priedų pajungimui ≥ 2 vnt;</w:t>
            </w:r>
          </w:p>
          <w:p w14:paraId="34E78EE7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Biopsinės žnyplės gastroskopui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 20 vnt.;</w:t>
            </w:r>
          </w:p>
          <w:p w14:paraId="326208AA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Biopsinės žnyplės kolonoskopui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 20 vnt.;</w:t>
            </w:r>
          </w:p>
          <w:p w14:paraId="75F33171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Injekcinė adata gastroskopui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 10 vnt.;</w:t>
            </w:r>
          </w:p>
          <w:p w14:paraId="0DBCAFC8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Injekcinė adata kolonoskopui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 10 vnt.;</w:t>
            </w:r>
          </w:p>
          <w:p w14:paraId="1AB040EF" w14:textId="77777777" w:rsidR="00543EF0" w:rsidRDefault="00000000">
            <w:pPr>
              <w:pStyle w:val="ListParagraph"/>
              <w:numPr>
                <w:ilvl w:val="1"/>
                <w:numId w:val="13"/>
              </w:numPr>
              <w:ind w:left="511" w:hanging="51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Kilpos polipektomijai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≥ 30 vnt.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9EB" w14:textId="77777777" w:rsidR="00543EF0" w:rsidRDefault="00543EF0">
            <w:pPr>
              <w:spacing w:after="0" w:line="240" w:lineRule="auto"/>
              <w:ind w:left="458" w:hanging="458"/>
              <w:rPr>
                <w:rFonts w:eastAsia="Times New Roman"/>
                <w:bCs/>
                <w:sz w:val="22"/>
              </w:rPr>
            </w:pPr>
          </w:p>
        </w:tc>
      </w:tr>
      <w:tr w:rsidR="00543EF0" w14:paraId="79813E45" w14:textId="77777777">
        <w:trPr>
          <w:trHeight w:val="2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8C34" w14:textId="77777777" w:rsidR="00543EF0" w:rsidRDefault="00543E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982F" w14:textId="77777777" w:rsidR="00543EF0" w:rsidRDefault="0000000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Vežimėlis endoskopinei įrangai – 1 vnt.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0F20" w14:textId="77777777" w:rsidR="00543EF0" w:rsidRDefault="00000000">
            <w:pPr>
              <w:pStyle w:val="ListParagraph"/>
              <w:numPr>
                <w:ilvl w:val="1"/>
                <w:numId w:val="8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 2 lentynos;</w:t>
            </w:r>
          </w:p>
          <w:p w14:paraId="6C3D2679" w14:textId="77777777" w:rsidR="00543EF0" w:rsidRDefault="00000000">
            <w:pPr>
              <w:pStyle w:val="ListParagraph"/>
              <w:numPr>
                <w:ilvl w:val="1"/>
                <w:numId w:val="8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 1 stalčius;</w:t>
            </w:r>
          </w:p>
          <w:p w14:paraId="00F9E6B9" w14:textId="77777777" w:rsidR="00543EF0" w:rsidRDefault="00000000">
            <w:pPr>
              <w:pStyle w:val="ListParagraph"/>
              <w:numPr>
                <w:ilvl w:val="1"/>
                <w:numId w:val="8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Skiriamasis transformatorius;</w:t>
            </w:r>
          </w:p>
          <w:p w14:paraId="0E14F6F1" w14:textId="77777777" w:rsidR="00543EF0" w:rsidRDefault="00000000">
            <w:pPr>
              <w:pStyle w:val="ListParagraph"/>
              <w:numPr>
                <w:ilvl w:val="1"/>
                <w:numId w:val="8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Laikiklis endoskopui pakabinti;</w:t>
            </w:r>
          </w:p>
          <w:p w14:paraId="555223B6" w14:textId="77777777" w:rsidR="00543EF0" w:rsidRDefault="00000000">
            <w:pPr>
              <w:pStyle w:val="ListParagraph"/>
              <w:numPr>
                <w:ilvl w:val="1"/>
                <w:numId w:val="8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Komplekte:</w:t>
            </w:r>
          </w:p>
          <w:p w14:paraId="4B30F03F" w14:textId="77777777" w:rsidR="00543EF0" w:rsidRDefault="00000000">
            <w:pPr>
              <w:pStyle w:val="ListParagraph"/>
              <w:numPr>
                <w:ilvl w:val="1"/>
                <w:numId w:val="11"/>
              </w:numPr>
              <w:ind w:left="511" w:hanging="5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artikuliuojama alkūnė monitoriui pakabinti.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B11" w14:textId="77777777" w:rsidR="00543EF0" w:rsidRDefault="00543EF0">
            <w:pPr>
              <w:spacing w:after="0" w:line="240" w:lineRule="auto"/>
              <w:rPr>
                <w:rFonts w:eastAsia="Times New Roman"/>
                <w:bCs/>
                <w:sz w:val="22"/>
              </w:rPr>
            </w:pPr>
          </w:p>
        </w:tc>
      </w:tr>
    </w:tbl>
    <w:p w14:paraId="798276DA" w14:textId="4BEB9C1A" w:rsidR="00543EF0" w:rsidRDefault="00543EF0">
      <w:pPr>
        <w:spacing w:after="0" w:line="240" w:lineRule="auto"/>
        <w:rPr>
          <w:rFonts w:eastAsia="Times New Roman"/>
          <w:sz w:val="22"/>
        </w:rPr>
      </w:pPr>
      <w:bookmarkStart w:id="1" w:name="_Toc60525491"/>
      <w:bookmarkStart w:id="2" w:name="_Toc47844937"/>
      <w:bookmarkEnd w:id="1"/>
      <w:bookmarkEnd w:id="2"/>
    </w:p>
    <w:sectPr w:rsidR="00543EF0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ED7"/>
    <w:multiLevelType w:val="multilevel"/>
    <w:tmpl w:val="74901BD6"/>
    <w:lvl w:ilvl="0">
      <w:start w:val="1"/>
      <w:numFmt w:val="decimal"/>
      <w:lvlText w:val="%1."/>
      <w:lvlJc w:val="left"/>
      <w:pPr>
        <w:tabs>
          <w:tab w:val="num" w:pos="0"/>
        </w:tabs>
        <w:ind w:left="87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31" w:hanging="360"/>
      </w:pPr>
      <w:rPr>
        <w:rFonts w:ascii="Times New Roman" w:hAnsi="Times New Roman" w:cs="Times New Roman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51" w:hanging="720"/>
      </w:pPr>
      <w:rPr>
        <w:color w:val="00B05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11" w:hanging="720"/>
      </w:pPr>
      <w:rPr>
        <w:color w:val="00B05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031" w:hanging="1080"/>
      </w:pPr>
      <w:rPr>
        <w:color w:val="00B05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391" w:hanging="1080"/>
      </w:pPr>
      <w:rPr>
        <w:color w:val="00B05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111" w:hanging="1440"/>
      </w:pPr>
      <w:rPr>
        <w:color w:val="00B05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471" w:hanging="1440"/>
      </w:pPr>
      <w:rPr>
        <w:color w:val="00B05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191" w:hanging="1800"/>
      </w:pPr>
      <w:rPr>
        <w:color w:val="00B050"/>
        <w:sz w:val="24"/>
      </w:rPr>
    </w:lvl>
  </w:abstractNum>
  <w:abstractNum w:abstractNumId="1" w15:restartNumberingAfterBreak="0">
    <w:nsid w:val="0E452A7E"/>
    <w:multiLevelType w:val="multilevel"/>
    <w:tmpl w:val="B88ECA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397594"/>
    <w:multiLevelType w:val="multilevel"/>
    <w:tmpl w:val="F17A7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2B1A51DA"/>
    <w:multiLevelType w:val="multilevel"/>
    <w:tmpl w:val="CCC40F0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1800"/>
      </w:pPr>
    </w:lvl>
  </w:abstractNum>
  <w:abstractNum w:abstractNumId="4" w15:restartNumberingAfterBreak="0">
    <w:nsid w:val="3BA26690"/>
    <w:multiLevelType w:val="multilevel"/>
    <w:tmpl w:val="F08A962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413021E6"/>
    <w:multiLevelType w:val="multilevel"/>
    <w:tmpl w:val="364087D2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/>
      </w:rPr>
    </w:lvl>
  </w:abstractNum>
  <w:abstractNum w:abstractNumId="6" w15:restartNumberingAfterBreak="0">
    <w:nsid w:val="423E1039"/>
    <w:multiLevelType w:val="multilevel"/>
    <w:tmpl w:val="03A672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663B3533"/>
    <w:multiLevelType w:val="multilevel"/>
    <w:tmpl w:val="527243BA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8" w15:restartNumberingAfterBreak="0">
    <w:nsid w:val="673C3271"/>
    <w:multiLevelType w:val="multilevel"/>
    <w:tmpl w:val="AD841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8C7CA0"/>
    <w:multiLevelType w:val="multilevel"/>
    <w:tmpl w:val="9DB81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Zero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7A6263F4"/>
    <w:multiLevelType w:val="multilevel"/>
    <w:tmpl w:val="9EBE6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Zero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7D592234"/>
    <w:multiLevelType w:val="multilevel"/>
    <w:tmpl w:val="DB9A4472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4" w:hanging="180"/>
      </w:pPr>
    </w:lvl>
  </w:abstractNum>
  <w:abstractNum w:abstractNumId="12" w15:restartNumberingAfterBreak="0">
    <w:nsid w:val="7E5F62F1"/>
    <w:multiLevelType w:val="multilevel"/>
    <w:tmpl w:val="2A9272E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1412043176">
    <w:abstractNumId w:val="7"/>
  </w:num>
  <w:num w:numId="2" w16cid:durableId="296767069">
    <w:abstractNumId w:val="6"/>
  </w:num>
  <w:num w:numId="3" w16cid:durableId="1921406737">
    <w:abstractNumId w:val="2"/>
  </w:num>
  <w:num w:numId="4" w16cid:durableId="1003824486">
    <w:abstractNumId w:val="12"/>
  </w:num>
  <w:num w:numId="5" w16cid:durableId="1395809804">
    <w:abstractNumId w:val="10"/>
  </w:num>
  <w:num w:numId="6" w16cid:durableId="101267889">
    <w:abstractNumId w:val="9"/>
  </w:num>
  <w:num w:numId="7" w16cid:durableId="1235359055">
    <w:abstractNumId w:val="1"/>
  </w:num>
  <w:num w:numId="8" w16cid:durableId="946077799">
    <w:abstractNumId w:val="11"/>
  </w:num>
  <w:num w:numId="9" w16cid:durableId="1174103848">
    <w:abstractNumId w:val="4"/>
  </w:num>
  <w:num w:numId="10" w16cid:durableId="1864631188">
    <w:abstractNumId w:val="5"/>
  </w:num>
  <w:num w:numId="11" w16cid:durableId="1374771735">
    <w:abstractNumId w:val="3"/>
  </w:num>
  <w:num w:numId="12" w16cid:durableId="1391225953">
    <w:abstractNumId w:val="8"/>
  </w:num>
  <w:num w:numId="13" w16cid:durableId="38117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0"/>
    <w:rsid w:val="000E37CE"/>
    <w:rsid w:val="00543EF0"/>
    <w:rsid w:val="00B73FE1"/>
    <w:rsid w:val="00B90D5F"/>
    <w:rsid w:val="00E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FA03"/>
  <w15:docId w15:val="{F469BF09-59FA-4BBA-B785-551B6C3E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8C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61FAB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61FAB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hAnsi="Calibri"/>
      <w:szCs w:val="20"/>
    </w:rPr>
  </w:style>
  <w:style w:type="paragraph" w:styleId="Heading3">
    <w:name w:val="heading 3"/>
    <w:basedOn w:val="Normal"/>
    <w:next w:val="Normal"/>
    <w:link w:val="Heading3Char"/>
    <w:qFormat/>
    <w:rsid w:val="00A61F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hAnsi="Calibri"/>
      <w:szCs w:val="20"/>
    </w:rPr>
  </w:style>
  <w:style w:type="paragraph" w:styleId="Heading4">
    <w:name w:val="heading 4"/>
    <w:basedOn w:val="Normal"/>
    <w:next w:val="Normal"/>
    <w:link w:val="Heading4Char"/>
    <w:qFormat/>
    <w:rsid w:val="00A61FAB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hAnsi="Calibri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A61FAB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hAnsi="Calibri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A61FAB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hAnsi="Calibri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A61FAB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hAnsi="Calibri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A61FAB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hAnsi="Calibri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A61FAB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hAnsi="Calibri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qFormat/>
    <w:locked/>
    <w:rsid w:val="00FF42AB"/>
    <w:rPr>
      <w:rFonts w:ascii="Times New Roman" w:eastAsia="Times New Roman" w:hAnsi="Times New Roman" w:cs="Times New Roman"/>
      <w:sz w:val="24"/>
    </w:rPr>
  </w:style>
  <w:style w:type="character" w:customStyle="1" w:styleId="Tablecaption">
    <w:name w:val="Table caption_"/>
    <w:basedOn w:val="DefaultParagraphFont"/>
    <w:link w:val="Tablecaption0"/>
    <w:qFormat/>
    <w:rsid w:val="00D64388"/>
    <w:rPr>
      <w:rFonts w:ascii="Times New Roman" w:eastAsia="Times New Roman" w:hAnsi="Times New Roman" w:cs="Times New Roman"/>
      <w:u w:val="single"/>
    </w:rPr>
  </w:style>
  <w:style w:type="character" w:customStyle="1" w:styleId="Other">
    <w:name w:val="Other_"/>
    <w:basedOn w:val="DefaultParagraphFont"/>
    <w:link w:val="Other0"/>
    <w:qFormat/>
    <w:rsid w:val="00D64388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73E2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273E2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23C49"/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23C49"/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link w:val="ListParagraph"/>
    <w:qFormat/>
    <w:locked/>
    <w:rsid w:val="007549C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2479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A61FAB"/>
    <w:rPr>
      <w:rFonts w:ascii="Calibri" w:eastAsia="Calibri" w:hAnsi="Calibri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A61FAB"/>
    <w:rPr>
      <w:rFonts w:ascii="Calibri" w:eastAsia="Calibri" w:hAnsi="Calibri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A61FAB"/>
    <w:rPr>
      <w:rFonts w:ascii="Calibri" w:eastAsia="Calibri" w:hAnsi="Calibri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A61FAB"/>
    <w:rPr>
      <w:rFonts w:ascii="Calibri" w:eastAsia="Calibri" w:hAnsi="Calibri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A61FAB"/>
    <w:rPr>
      <w:rFonts w:ascii="Calibri" w:eastAsia="Calibri" w:hAnsi="Calibri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A61FAB"/>
    <w:rPr>
      <w:rFonts w:ascii="Calibri" w:eastAsia="Calibri" w:hAnsi="Calibri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A61FAB"/>
    <w:rPr>
      <w:rFonts w:ascii="Calibri" w:eastAsia="Calibri" w:hAnsi="Calibri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qFormat/>
    <w:rsid w:val="00A61FAB"/>
    <w:rPr>
      <w:rFonts w:ascii="Calibri" w:eastAsia="Calibri" w:hAnsi="Calibri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A61FAB"/>
    <w:rPr>
      <w:rFonts w:ascii="Calibri" w:eastAsia="Calibri" w:hAnsi="Calibri" w:cs="Times New Roman"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A61FAB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kaiiai2lygisChar">
    <w:name w:val="Skaičiai_2 lygis Char"/>
    <w:basedOn w:val="DefaultParagraphFont"/>
    <w:link w:val="Skaiiai2lygis"/>
    <w:qFormat/>
    <w:locked/>
    <w:rsid w:val="00A61FAB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InternetLink">
    <w:name w:val="Internet Link"/>
    <w:basedOn w:val="DefaultParagraphFont"/>
    <w:uiPriority w:val="99"/>
    <w:unhideWhenUsed/>
    <w:qFormat/>
    <w:rsid w:val="00290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90214"/>
    <w:rPr>
      <w:color w:val="605E5C"/>
      <w:shd w:val="clear" w:color="auto" w:fill="E1DFDD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NoSpacingChar"/>
    <w:uiPriority w:val="1"/>
    <w:qFormat/>
    <w:rsid w:val="00415B8C"/>
    <w:rPr>
      <w:rFonts w:ascii="Times New Roman" w:eastAsia="Times New Roman" w:hAnsi="Times New Roman" w:cs="Times New Roman"/>
      <w:sz w:val="24"/>
    </w:rPr>
  </w:style>
  <w:style w:type="paragraph" w:customStyle="1" w:styleId="Body2">
    <w:name w:val="Body 2"/>
    <w:qFormat/>
    <w:rsid w:val="001975BE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Tablecaption0">
    <w:name w:val="Table caption"/>
    <w:basedOn w:val="Normal"/>
    <w:link w:val="Tablecaption"/>
    <w:qFormat/>
    <w:rsid w:val="00D64388"/>
    <w:pPr>
      <w:widowControl w:val="0"/>
      <w:spacing w:after="0" w:line="240" w:lineRule="auto"/>
      <w:jc w:val="center"/>
    </w:pPr>
    <w:rPr>
      <w:rFonts w:eastAsia="Times New Roman"/>
      <w:sz w:val="22"/>
      <w:u w:val="single"/>
    </w:rPr>
  </w:style>
  <w:style w:type="paragraph" w:customStyle="1" w:styleId="Other0">
    <w:name w:val="Other"/>
    <w:basedOn w:val="Normal"/>
    <w:link w:val="Other"/>
    <w:qFormat/>
    <w:rsid w:val="00D64388"/>
    <w:pPr>
      <w:widowControl w:val="0"/>
      <w:spacing w:after="0" w:line="240" w:lineRule="auto"/>
    </w:pPr>
    <w:rPr>
      <w:rFonts w:eastAsia="Times New Roman"/>
      <w:sz w:val="22"/>
    </w:rPr>
  </w:style>
  <w:style w:type="paragraph" w:styleId="Revision">
    <w:name w:val="Revision"/>
    <w:uiPriority w:val="99"/>
    <w:semiHidden/>
    <w:qFormat/>
    <w:rsid w:val="00037AF0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73E24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23C4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23C4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7549CD"/>
    <w:pPr>
      <w:spacing w:after="0" w:line="240" w:lineRule="auto"/>
      <w:ind w:left="720"/>
      <w:contextualSpacing/>
    </w:pPr>
    <w:rPr>
      <w:rFonts w:asciiTheme="minorHAnsi" w:hAnsiTheme="minorHAnsi" w:cstheme="min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47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1FAB"/>
    <w:pPr>
      <w:spacing w:after="240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Skaiiai2lygis">
    <w:name w:val="Skaičiai_2 lygis"/>
    <w:basedOn w:val="Normal"/>
    <w:link w:val="Skaiiai2lygisChar"/>
    <w:qFormat/>
    <w:rsid w:val="00A61FAB"/>
    <w:pPr>
      <w:numPr>
        <w:ilvl w:val="1"/>
        <w:numId w:val="10"/>
      </w:numPr>
      <w:spacing w:after="0" w:line="240" w:lineRule="auto"/>
      <w:jc w:val="both"/>
    </w:pPr>
    <w:rPr>
      <w:rFonts w:eastAsia="Times New Roman"/>
      <w:color w:val="000000"/>
      <w:sz w:val="22"/>
      <w:lang w:val="en-US"/>
    </w:rPr>
  </w:style>
  <w:style w:type="table" w:styleId="TableGrid">
    <w:name w:val="Table Grid"/>
    <w:basedOn w:val="TableNormal"/>
    <w:uiPriority w:val="39"/>
    <w:rsid w:val="00DF0F1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0445-F857-43A7-9587-0C0D5D99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Daugytė</dc:creator>
  <dc:description/>
  <cp:lastModifiedBy>Brigita Šerkšnaitė</cp:lastModifiedBy>
  <cp:revision>2</cp:revision>
  <cp:lastPrinted>2025-04-11T07:52:00Z</cp:lastPrinted>
  <dcterms:created xsi:type="dcterms:W3CDTF">2026-01-06T12:06:00Z</dcterms:created>
  <dcterms:modified xsi:type="dcterms:W3CDTF">2026-01-06T12:06:00Z</dcterms:modified>
  <dc:language>lt-LT</dc:language>
</cp:coreProperties>
</file>