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103" w:rsidRPr="00E53103" w:rsidRDefault="00E53103" w:rsidP="00E53103">
      <w:pPr>
        <w:jc w:val="right"/>
        <w:rPr>
          <w:rFonts w:ascii="Times New Roman" w:hAnsi="Times New Roman" w:cs="Times New Roman"/>
          <w:sz w:val="20"/>
          <w:szCs w:val="20"/>
        </w:rPr>
      </w:pPr>
      <w:r w:rsidRPr="00E53103">
        <w:rPr>
          <w:rFonts w:ascii="Times New Roman" w:hAnsi="Times New Roman" w:cs="Times New Roman"/>
          <w:sz w:val="20"/>
          <w:szCs w:val="20"/>
        </w:rPr>
        <w:t>Protokolo 1 priedas</w:t>
      </w:r>
    </w:p>
    <w:p w:rsidR="00E53103" w:rsidRPr="00E53103" w:rsidRDefault="00E53103" w:rsidP="00E53103">
      <w:pPr>
        <w:jc w:val="center"/>
        <w:rPr>
          <w:rFonts w:ascii="Times New Roman" w:hAnsi="Times New Roman" w:cs="Times New Roman"/>
          <w:sz w:val="24"/>
          <w:szCs w:val="24"/>
        </w:rPr>
      </w:pPr>
      <w:r w:rsidRPr="00E53103">
        <w:rPr>
          <w:rFonts w:ascii="Times New Roman" w:hAnsi="Times New Roman" w:cs="Times New Roman"/>
          <w:sz w:val="24"/>
          <w:szCs w:val="24"/>
        </w:rPr>
        <w:t>VILNIAUS GEDIMINO TECHNIKOS UNIVERSITETAS</w:t>
      </w:r>
    </w:p>
    <w:p w:rsidR="00E53103" w:rsidRPr="00E53103" w:rsidRDefault="00E53103" w:rsidP="00E53103">
      <w:pPr>
        <w:spacing w:line="288" w:lineRule="auto"/>
        <w:jc w:val="center"/>
        <w:rPr>
          <w:rFonts w:ascii="Times New Roman" w:hAnsi="Times New Roman" w:cs="Times New Roman"/>
          <w:sz w:val="24"/>
          <w:szCs w:val="24"/>
        </w:rPr>
      </w:pPr>
      <w:r w:rsidRPr="00E53103">
        <w:rPr>
          <w:rFonts w:ascii="Times New Roman" w:hAnsi="Times New Roman" w:cs="Times New Roman"/>
          <w:sz w:val="24"/>
          <w:szCs w:val="24"/>
        </w:rPr>
        <w:t>VIEŠOJO PIRKIMO</w:t>
      </w:r>
    </w:p>
    <w:p w:rsidR="00E53103" w:rsidRDefault="00E53103" w:rsidP="00E53103">
      <w:pPr>
        <w:spacing w:line="288" w:lineRule="auto"/>
        <w:jc w:val="center"/>
        <w:rPr>
          <w:rFonts w:ascii="Times New Roman" w:hAnsi="Times New Roman" w:cs="Times New Roman"/>
          <w:sz w:val="24"/>
          <w:szCs w:val="24"/>
        </w:rPr>
      </w:pPr>
      <w:r w:rsidRPr="00E53103">
        <w:rPr>
          <w:rFonts w:ascii="Times New Roman" w:hAnsi="Times New Roman" w:cs="Times New Roman"/>
          <w:sz w:val="24"/>
          <w:szCs w:val="24"/>
        </w:rPr>
        <w:t>„NUOTEKŲ VALYMO SISTEMA SU PARAMETRŲ MATUOKLIAIS, ELEKTROS IR AUTOMATIKOS DALIMIS (TOLIAU – ĮRANGA) (CVP IS NR. 5940807) IR ŠIOS ĮRANGOS APTARNAVIMO IR PRIEŽIŪROS PASLAUGOS“</w:t>
      </w:r>
      <w:r>
        <w:rPr>
          <w:rFonts w:ascii="Times New Roman" w:hAnsi="Times New Roman" w:cs="Times New Roman"/>
          <w:sz w:val="24"/>
          <w:szCs w:val="24"/>
        </w:rPr>
        <w:t xml:space="preserve"> KOMISIJOS</w:t>
      </w:r>
    </w:p>
    <w:p w:rsidR="00E53103" w:rsidRDefault="00E53103" w:rsidP="00E53103">
      <w:pPr>
        <w:spacing w:line="288" w:lineRule="auto"/>
        <w:jc w:val="center"/>
        <w:rPr>
          <w:rFonts w:ascii="Times New Roman" w:hAnsi="Times New Roman" w:cs="Times New Roman"/>
          <w:sz w:val="24"/>
          <w:szCs w:val="24"/>
        </w:rPr>
      </w:pPr>
      <w:r>
        <w:rPr>
          <w:rFonts w:ascii="Times New Roman" w:hAnsi="Times New Roman" w:cs="Times New Roman"/>
          <w:sz w:val="24"/>
          <w:szCs w:val="24"/>
        </w:rPr>
        <w:t>PRANEŠIMAS</w:t>
      </w:r>
    </w:p>
    <w:p w:rsidR="00E53103" w:rsidRDefault="00E53103" w:rsidP="00E53103">
      <w:pPr>
        <w:spacing w:line="288" w:lineRule="auto"/>
        <w:jc w:val="center"/>
        <w:rPr>
          <w:rFonts w:ascii="Times New Roman" w:hAnsi="Times New Roman" w:cs="Times New Roman"/>
          <w:sz w:val="24"/>
          <w:szCs w:val="24"/>
        </w:rPr>
      </w:pPr>
      <w:r>
        <w:rPr>
          <w:rFonts w:ascii="Times New Roman" w:hAnsi="Times New Roman" w:cs="Times New Roman"/>
          <w:sz w:val="24"/>
          <w:szCs w:val="24"/>
        </w:rPr>
        <w:t>2026-01-06</w:t>
      </w:r>
    </w:p>
    <w:p w:rsidR="00E53103" w:rsidRPr="00E53103" w:rsidRDefault="00E53103" w:rsidP="00E53103">
      <w:pPr>
        <w:spacing w:line="288" w:lineRule="auto"/>
        <w:rPr>
          <w:rFonts w:ascii="Times New Roman" w:hAnsi="Times New Roman" w:cs="Times New Roman"/>
          <w:sz w:val="24"/>
          <w:szCs w:val="24"/>
        </w:rPr>
      </w:pPr>
      <w:r>
        <w:rPr>
          <w:rFonts w:ascii="Times New Roman" w:hAnsi="Times New Roman" w:cs="Times New Roman"/>
          <w:sz w:val="24"/>
          <w:szCs w:val="24"/>
        </w:rPr>
        <w:t>Dėl tiekėjų paklausimų:</w:t>
      </w:r>
    </w:p>
    <w:p w:rsidR="00E53103" w:rsidRDefault="00E53103" w:rsidP="00E53103">
      <w:pPr>
        <w:pStyle w:val="ListParagraph"/>
        <w:numPr>
          <w:ilvl w:val="0"/>
          <w:numId w:val="1"/>
        </w:numPr>
        <w:spacing w:after="160" w:line="259" w:lineRule="auto"/>
        <w:rPr>
          <w:kern w:val="2"/>
          <w:lang w:val="lt-LT"/>
        </w:rPr>
      </w:pPr>
      <w:r w:rsidRPr="005F28FB">
        <w:rPr>
          <w:kern w:val="2"/>
          <w:lang w:val="lt-LT"/>
        </w:rPr>
        <w:t>Prašome patikslinti, kokie mobilumo reikalavimai taikomi pirkimo objektui ir kokia apimtimi tiekėjas privalo juos užtikrinti?</w:t>
      </w:r>
    </w:p>
    <w:p w:rsidR="00E53103" w:rsidRDefault="00E53103" w:rsidP="00E53103">
      <w:pPr>
        <w:pStyle w:val="ListParagraph"/>
        <w:spacing w:after="160" w:line="259" w:lineRule="auto"/>
        <w:rPr>
          <w:kern w:val="2"/>
          <w:szCs w:val="24"/>
          <w:lang w:val="lt-LT"/>
        </w:rPr>
      </w:pPr>
      <w:r w:rsidRPr="005F28FB">
        <w:rPr>
          <w:kern w:val="2"/>
          <w:szCs w:val="24"/>
          <w:lang w:val="lt-LT"/>
        </w:rPr>
        <w:t>Atsakymas</w:t>
      </w:r>
      <w:r>
        <w:rPr>
          <w:kern w:val="2"/>
          <w:szCs w:val="24"/>
          <w:lang w:val="lt-LT"/>
        </w:rPr>
        <w:t>:</w:t>
      </w:r>
    </w:p>
    <w:p w:rsidR="00E53103" w:rsidRDefault="00E53103" w:rsidP="00E53103">
      <w:pPr>
        <w:pStyle w:val="ListParagraph"/>
        <w:spacing w:after="160" w:line="259" w:lineRule="auto"/>
        <w:rPr>
          <w:kern w:val="2"/>
          <w:szCs w:val="24"/>
          <w:lang w:val="lt-LT"/>
        </w:rPr>
      </w:pPr>
      <w:r w:rsidRPr="000F5443">
        <w:rPr>
          <w:kern w:val="2"/>
          <w:szCs w:val="24"/>
          <w:lang w:val="lt-LT"/>
        </w:rPr>
        <w:t>Techninės specifikacijos Bendrųjų reikalavimų 1 p. nurodyta, kad „Įranga turi būti mobili, kad ją galima būtų pervežti (įskaitant pakrovimą ir pan.), kaip vieną prietaisą (neskaitant pajungimų), kad galima naudoti kitoje vietoje, kurioje yra tinkamai paruošta vieta įrangos montavimui“. Patikslinama, kad atskirai būtų galimybė pervežti nuotekų biologinio valymo įrenginio korpusą su visomis jam priklausančiomis nuotekų valymo sistemos dalimis, namelį su visomis jam priklausančiomis nuotekų valymo sistemos dalimis ir dumblo tankintuvą su visomis jam priklausančiomis nuotekų valymo sistemos dalimis.</w:t>
      </w:r>
    </w:p>
    <w:p w:rsidR="00E53103" w:rsidRDefault="00E53103" w:rsidP="00E53103">
      <w:pPr>
        <w:pStyle w:val="ListParagraph"/>
        <w:spacing w:after="160" w:line="259" w:lineRule="auto"/>
        <w:rPr>
          <w:kern w:val="2"/>
          <w:szCs w:val="24"/>
          <w:lang w:val="lt-LT"/>
        </w:rPr>
      </w:pPr>
    </w:p>
    <w:p w:rsidR="00E53103" w:rsidRDefault="00E53103" w:rsidP="00E53103">
      <w:pPr>
        <w:pStyle w:val="ListParagraph"/>
        <w:numPr>
          <w:ilvl w:val="0"/>
          <w:numId w:val="1"/>
        </w:numPr>
        <w:spacing w:after="160" w:line="259" w:lineRule="auto"/>
        <w:rPr>
          <w:kern w:val="2"/>
          <w:lang w:val="lt-LT"/>
        </w:rPr>
      </w:pPr>
      <w:r w:rsidRPr="005F28FB">
        <w:rPr>
          <w:kern w:val="2"/>
          <w:lang w:val="lt-LT"/>
        </w:rPr>
        <w:t>Atsižvelgiant į pirkimo objekto aprašymą, bei reikalavimą užtikrinti azoto ir fosforo šalinimą iki LR ir ES teisės aktuose nustatytų ribinių verčių, pažymime, kad pirkimo dokumentuose nėra pateikti atitekančių nuotekų projektiniai parametrai ir numatoma taršos apkrova teršalais. Šie duomenys yra būtini, kad galėtume tinkamai parinkti ir pasiūlyti technologiškai pagrįstą Įrangos komplektą, kuris užtikrintų reikalaujamą biogeninių medžiagų (azoto ir fosforo) šalinimo efektyvumą, sistemos stabilumą ir patikimą veikimą bei leistų korektiškai pritaikyti automatizuoto valdymo logiką. Prašome pateikti trūkstamus duomenis (bent minimalią projektinę apimtį), įskaitant BDS₇ arba BDS₅ koncentraciją (mg/l), bendrojo azoto (Nᵇ) koncentraciją (mg/l), bendrojo fosforo (Pᵇ) koncentraciją (mg/l), numatomą paros taršos apkrovą (kg/para), jei ji buvo skaičiuota, taip pat pH reikšmių ribas (min. ir maks.) bei atitekančių nuotekų temperatūros ribas (min. ir maks.). Be šių įvesties parametrų Įrangos parinkimas negali būti laikomas techniškai, projektine ir funkcine prasme pagrįstu, todėl prašome pateikti nurodytus trūkstamus duomenis.</w:t>
      </w:r>
    </w:p>
    <w:p w:rsidR="00E53103" w:rsidRDefault="00E53103" w:rsidP="00E53103">
      <w:pPr>
        <w:pStyle w:val="ListParagraph"/>
        <w:spacing w:after="160" w:line="259" w:lineRule="auto"/>
        <w:rPr>
          <w:kern w:val="2"/>
          <w:szCs w:val="24"/>
          <w:lang w:val="lt-LT"/>
        </w:rPr>
      </w:pPr>
      <w:r w:rsidRPr="005F28FB">
        <w:rPr>
          <w:kern w:val="2"/>
          <w:szCs w:val="24"/>
          <w:lang w:val="lt-LT"/>
        </w:rPr>
        <w:t>Atsakymas</w:t>
      </w:r>
      <w:r>
        <w:rPr>
          <w:kern w:val="2"/>
          <w:szCs w:val="24"/>
          <w:lang w:val="lt-LT"/>
        </w:rPr>
        <w:t>:</w:t>
      </w:r>
    </w:p>
    <w:p w:rsidR="00E53103" w:rsidRDefault="00E53103" w:rsidP="00E53103">
      <w:pPr>
        <w:pStyle w:val="ListParagraph"/>
        <w:spacing w:after="160" w:line="259" w:lineRule="auto"/>
        <w:rPr>
          <w:kern w:val="2"/>
          <w:szCs w:val="24"/>
          <w:lang w:val="lt-LT"/>
        </w:rPr>
      </w:pPr>
      <w:r w:rsidRPr="000F5443">
        <w:rPr>
          <w:kern w:val="2"/>
          <w:szCs w:val="24"/>
          <w:lang w:val="lt-LT"/>
        </w:rPr>
        <w:t>Žiūrėti atsakymą į 24 klausimą.</w:t>
      </w:r>
    </w:p>
    <w:p w:rsidR="00E53103" w:rsidRPr="000F5443" w:rsidRDefault="00E53103" w:rsidP="00E53103">
      <w:pPr>
        <w:pStyle w:val="ListParagraph"/>
        <w:spacing w:after="160" w:line="259" w:lineRule="auto"/>
        <w:rPr>
          <w:kern w:val="2"/>
          <w:lang w:val="lt-LT"/>
        </w:rPr>
      </w:pPr>
      <w:r w:rsidRPr="000F5443">
        <w:rPr>
          <w:kern w:val="2"/>
          <w:szCs w:val="24"/>
          <w:lang w:val="lt-LT"/>
        </w:rPr>
        <w:t>Valomų nuotekų kokybė</w:t>
      </w:r>
    </w:p>
    <w:tbl>
      <w:tblPr>
        <w:tblW w:w="471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200"/>
        <w:gridCol w:w="1056"/>
      </w:tblGrid>
      <w:tr w:rsidR="00E53103" w:rsidRPr="000F5443" w:rsidTr="0004647B">
        <w:trPr>
          <w:trHeight w:val="292"/>
        </w:trPr>
        <w:tc>
          <w:tcPr>
            <w:tcW w:w="2552" w:type="dxa"/>
            <w:noWrap/>
            <w:vAlign w:val="bottom"/>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Parametras</w:t>
            </w:r>
          </w:p>
        </w:tc>
        <w:tc>
          <w:tcPr>
            <w:tcW w:w="1200" w:type="dxa"/>
            <w:noWrap/>
            <w:vAlign w:val="bottom"/>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Mato vnt.</w:t>
            </w:r>
          </w:p>
        </w:tc>
        <w:tc>
          <w:tcPr>
            <w:tcW w:w="967" w:type="dxa"/>
            <w:noWrap/>
            <w:vAlign w:val="bottom"/>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sz w:val="24"/>
                <w:szCs w:val="24"/>
                <w:lang w:eastAsia="lt-LT"/>
              </w:rPr>
              <w:t>Reikšmė</w:t>
            </w:r>
          </w:p>
        </w:tc>
      </w:tr>
      <w:tr w:rsidR="00E53103" w:rsidRPr="000F5443" w:rsidTr="0004647B">
        <w:trPr>
          <w:trHeight w:val="292"/>
        </w:trPr>
        <w:tc>
          <w:tcPr>
            <w:tcW w:w="2552" w:type="dxa"/>
            <w:noWrap/>
            <w:vAlign w:val="bottom"/>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ChDS</w:t>
            </w:r>
          </w:p>
        </w:tc>
        <w:tc>
          <w:tcPr>
            <w:tcW w:w="1200" w:type="dxa"/>
            <w:noWrap/>
            <w:vAlign w:val="bottom"/>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mg/l</w:t>
            </w:r>
          </w:p>
        </w:tc>
        <w:tc>
          <w:tcPr>
            <w:tcW w:w="967" w:type="dxa"/>
            <w:noWrap/>
            <w:vAlign w:val="bottom"/>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sz w:val="24"/>
                <w:szCs w:val="24"/>
                <w:lang w:eastAsia="lt-LT"/>
              </w:rPr>
              <w:t>675</w:t>
            </w:r>
          </w:p>
        </w:tc>
      </w:tr>
      <w:tr w:rsidR="00E53103" w:rsidRPr="000F5443" w:rsidTr="0004647B">
        <w:trPr>
          <w:trHeight w:val="292"/>
        </w:trPr>
        <w:tc>
          <w:tcPr>
            <w:tcW w:w="2552" w:type="dxa"/>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BDS</w:t>
            </w:r>
            <w:r w:rsidRPr="000F5443">
              <w:rPr>
                <w:rFonts w:ascii="Times New Roman" w:hAnsi="Times New Roman" w:cs="Times New Roman"/>
                <w:color w:val="000000"/>
                <w:sz w:val="24"/>
                <w:szCs w:val="24"/>
                <w:vertAlign w:val="subscript"/>
                <w:lang w:eastAsia="lt-LT"/>
              </w:rPr>
              <w:t>5</w:t>
            </w:r>
          </w:p>
        </w:tc>
        <w:tc>
          <w:tcPr>
            <w:tcW w:w="1200" w:type="dxa"/>
            <w:noWrap/>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mg/l</w:t>
            </w:r>
          </w:p>
        </w:tc>
        <w:tc>
          <w:tcPr>
            <w:tcW w:w="967" w:type="dxa"/>
            <w:noWrap/>
            <w:vAlign w:val="bottom"/>
            <w:hideMark/>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sz w:val="24"/>
                <w:szCs w:val="24"/>
                <w:lang w:eastAsia="lt-LT"/>
              </w:rPr>
              <w:t>338</w:t>
            </w:r>
          </w:p>
        </w:tc>
      </w:tr>
      <w:tr w:rsidR="00E53103" w:rsidRPr="000F5443" w:rsidTr="0004647B">
        <w:trPr>
          <w:trHeight w:val="292"/>
        </w:trPr>
        <w:tc>
          <w:tcPr>
            <w:tcW w:w="2552" w:type="dxa"/>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lastRenderedPageBreak/>
              <w:t>SM</w:t>
            </w:r>
          </w:p>
        </w:tc>
        <w:tc>
          <w:tcPr>
            <w:tcW w:w="1200" w:type="dxa"/>
            <w:noWrap/>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mg/l</w:t>
            </w:r>
          </w:p>
        </w:tc>
        <w:tc>
          <w:tcPr>
            <w:tcW w:w="967" w:type="dxa"/>
            <w:noWrap/>
            <w:vAlign w:val="bottom"/>
            <w:hideMark/>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sz w:val="24"/>
                <w:szCs w:val="24"/>
                <w:lang w:eastAsia="lt-LT"/>
              </w:rPr>
              <w:t>400</w:t>
            </w:r>
          </w:p>
        </w:tc>
      </w:tr>
      <w:tr w:rsidR="00E53103" w:rsidRPr="000F5443" w:rsidTr="0004647B">
        <w:trPr>
          <w:trHeight w:val="292"/>
        </w:trPr>
        <w:tc>
          <w:tcPr>
            <w:tcW w:w="2552" w:type="dxa"/>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N</w:t>
            </w:r>
            <w:r w:rsidRPr="000F5443">
              <w:rPr>
                <w:rFonts w:ascii="Times New Roman" w:hAnsi="Times New Roman" w:cs="Times New Roman"/>
                <w:color w:val="000000"/>
                <w:sz w:val="24"/>
                <w:szCs w:val="24"/>
                <w:vertAlign w:val="subscript"/>
                <w:lang w:eastAsia="lt-LT"/>
              </w:rPr>
              <w:t>b</w:t>
            </w:r>
          </w:p>
        </w:tc>
        <w:tc>
          <w:tcPr>
            <w:tcW w:w="1200" w:type="dxa"/>
            <w:noWrap/>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mg/l</w:t>
            </w:r>
          </w:p>
        </w:tc>
        <w:tc>
          <w:tcPr>
            <w:tcW w:w="967" w:type="dxa"/>
            <w:noWrap/>
            <w:vAlign w:val="bottom"/>
            <w:hideMark/>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sz w:val="24"/>
                <w:szCs w:val="24"/>
                <w:lang w:eastAsia="lt-LT"/>
              </w:rPr>
              <w:t>67,5</w:t>
            </w:r>
          </w:p>
        </w:tc>
      </w:tr>
      <w:tr w:rsidR="00E53103" w:rsidRPr="000F5443" w:rsidTr="0004647B">
        <w:trPr>
          <w:trHeight w:val="292"/>
        </w:trPr>
        <w:tc>
          <w:tcPr>
            <w:tcW w:w="2552" w:type="dxa"/>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NH</w:t>
            </w:r>
            <w:r w:rsidRPr="000F5443">
              <w:rPr>
                <w:rFonts w:ascii="Times New Roman" w:hAnsi="Times New Roman" w:cs="Times New Roman"/>
                <w:color w:val="000000"/>
                <w:sz w:val="24"/>
                <w:szCs w:val="24"/>
                <w:vertAlign w:val="subscript"/>
                <w:lang w:eastAsia="lt-LT"/>
              </w:rPr>
              <w:t>4</w:t>
            </w:r>
            <w:r w:rsidRPr="000F5443">
              <w:rPr>
                <w:rFonts w:ascii="Times New Roman" w:hAnsi="Times New Roman" w:cs="Times New Roman"/>
                <w:color w:val="000000"/>
                <w:sz w:val="24"/>
                <w:szCs w:val="24"/>
                <w:lang w:eastAsia="lt-LT"/>
              </w:rPr>
              <w:t>-N</w:t>
            </w:r>
          </w:p>
        </w:tc>
        <w:tc>
          <w:tcPr>
            <w:tcW w:w="1200" w:type="dxa"/>
            <w:noWrap/>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mg/l</w:t>
            </w:r>
          </w:p>
        </w:tc>
        <w:tc>
          <w:tcPr>
            <w:tcW w:w="967" w:type="dxa"/>
            <w:noWrap/>
            <w:vAlign w:val="bottom"/>
            <w:hideMark/>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sz w:val="24"/>
                <w:szCs w:val="24"/>
                <w:lang w:eastAsia="lt-LT"/>
              </w:rPr>
              <w:t>47,5</w:t>
            </w:r>
          </w:p>
        </w:tc>
      </w:tr>
      <w:tr w:rsidR="00E53103" w:rsidRPr="000F5443" w:rsidTr="0004647B">
        <w:trPr>
          <w:trHeight w:val="292"/>
        </w:trPr>
        <w:tc>
          <w:tcPr>
            <w:tcW w:w="2552" w:type="dxa"/>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P</w:t>
            </w:r>
            <w:r w:rsidRPr="000F5443">
              <w:rPr>
                <w:rFonts w:ascii="Times New Roman" w:hAnsi="Times New Roman" w:cs="Times New Roman"/>
                <w:color w:val="000000"/>
                <w:sz w:val="24"/>
                <w:szCs w:val="24"/>
                <w:vertAlign w:val="subscript"/>
                <w:lang w:eastAsia="lt-LT"/>
              </w:rPr>
              <w:t>b</w:t>
            </w:r>
          </w:p>
        </w:tc>
        <w:tc>
          <w:tcPr>
            <w:tcW w:w="1200" w:type="dxa"/>
            <w:noWrap/>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mg/l</w:t>
            </w:r>
          </w:p>
        </w:tc>
        <w:tc>
          <w:tcPr>
            <w:tcW w:w="967" w:type="dxa"/>
            <w:noWrap/>
            <w:vAlign w:val="bottom"/>
            <w:hideMark/>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sz w:val="24"/>
                <w:szCs w:val="24"/>
                <w:lang w:eastAsia="lt-LT"/>
              </w:rPr>
              <w:t>15,3</w:t>
            </w:r>
          </w:p>
        </w:tc>
      </w:tr>
      <w:tr w:rsidR="00E53103" w:rsidRPr="000F5443" w:rsidTr="0004647B">
        <w:trPr>
          <w:trHeight w:val="292"/>
        </w:trPr>
        <w:tc>
          <w:tcPr>
            <w:tcW w:w="2552" w:type="dxa"/>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ChDS</w:t>
            </w:r>
          </w:p>
        </w:tc>
        <w:tc>
          <w:tcPr>
            <w:tcW w:w="1200" w:type="dxa"/>
            <w:noWrap/>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kg/d</w:t>
            </w:r>
          </w:p>
        </w:tc>
        <w:tc>
          <w:tcPr>
            <w:tcW w:w="967" w:type="dxa"/>
            <w:noWrap/>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kern w:val="2"/>
                <w:sz w:val="24"/>
                <w:szCs w:val="24"/>
              </w:rPr>
              <w:t>5,4</w:t>
            </w:r>
          </w:p>
        </w:tc>
      </w:tr>
      <w:tr w:rsidR="00E53103" w:rsidRPr="000F5443" w:rsidTr="0004647B">
        <w:trPr>
          <w:trHeight w:val="292"/>
        </w:trPr>
        <w:tc>
          <w:tcPr>
            <w:tcW w:w="2552" w:type="dxa"/>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BDS</w:t>
            </w:r>
            <w:r w:rsidRPr="000F5443">
              <w:rPr>
                <w:rFonts w:ascii="Times New Roman" w:hAnsi="Times New Roman" w:cs="Times New Roman"/>
                <w:color w:val="000000"/>
                <w:sz w:val="24"/>
                <w:szCs w:val="24"/>
                <w:vertAlign w:val="subscript"/>
                <w:lang w:eastAsia="lt-LT"/>
              </w:rPr>
              <w:t>5</w:t>
            </w:r>
          </w:p>
        </w:tc>
        <w:tc>
          <w:tcPr>
            <w:tcW w:w="1200" w:type="dxa"/>
            <w:noWrap/>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kg/d</w:t>
            </w:r>
          </w:p>
        </w:tc>
        <w:tc>
          <w:tcPr>
            <w:tcW w:w="967" w:type="dxa"/>
            <w:noWrap/>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kern w:val="2"/>
                <w:sz w:val="24"/>
                <w:szCs w:val="24"/>
              </w:rPr>
              <w:t>2,7</w:t>
            </w:r>
          </w:p>
        </w:tc>
      </w:tr>
      <w:tr w:rsidR="00E53103" w:rsidRPr="000F5443" w:rsidTr="0004647B">
        <w:trPr>
          <w:trHeight w:val="292"/>
        </w:trPr>
        <w:tc>
          <w:tcPr>
            <w:tcW w:w="2552" w:type="dxa"/>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SM</w:t>
            </w:r>
          </w:p>
        </w:tc>
        <w:tc>
          <w:tcPr>
            <w:tcW w:w="1200" w:type="dxa"/>
            <w:noWrap/>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kg/d</w:t>
            </w:r>
          </w:p>
        </w:tc>
        <w:tc>
          <w:tcPr>
            <w:tcW w:w="967" w:type="dxa"/>
            <w:noWrap/>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kern w:val="2"/>
                <w:sz w:val="24"/>
                <w:szCs w:val="24"/>
              </w:rPr>
              <w:t>3,20</w:t>
            </w:r>
          </w:p>
        </w:tc>
      </w:tr>
      <w:tr w:rsidR="00E53103" w:rsidRPr="000F5443" w:rsidTr="0004647B">
        <w:trPr>
          <w:trHeight w:val="292"/>
        </w:trPr>
        <w:tc>
          <w:tcPr>
            <w:tcW w:w="2552" w:type="dxa"/>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N</w:t>
            </w:r>
            <w:r w:rsidRPr="000F5443">
              <w:rPr>
                <w:rFonts w:ascii="Times New Roman" w:hAnsi="Times New Roman" w:cs="Times New Roman"/>
                <w:color w:val="000000"/>
                <w:sz w:val="24"/>
                <w:szCs w:val="24"/>
                <w:vertAlign w:val="subscript"/>
                <w:lang w:eastAsia="lt-LT"/>
              </w:rPr>
              <w:t>b</w:t>
            </w:r>
          </w:p>
        </w:tc>
        <w:tc>
          <w:tcPr>
            <w:tcW w:w="1200" w:type="dxa"/>
            <w:noWrap/>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kg/d</w:t>
            </w:r>
          </w:p>
        </w:tc>
        <w:tc>
          <w:tcPr>
            <w:tcW w:w="967" w:type="dxa"/>
            <w:noWrap/>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kern w:val="2"/>
                <w:sz w:val="24"/>
                <w:szCs w:val="24"/>
              </w:rPr>
              <w:t>0,54</w:t>
            </w:r>
          </w:p>
        </w:tc>
      </w:tr>
      <w:tr w:rsidR="00E53103" w:rsidRPr="000F5443" w:rsidTr="0004647B">
        <w:trPr>
          <w:trHeight w:val="292"/>
        </w:trPr>
        <w:tc>
          <w:tcPr>
            <w:tcW w:w="2552" w:type="dxa"/>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NH</w:t>
            </w:r>
            <w:r w:rsidRPr="000F5443">
              <w:rPr>
                <w:rFonts w:ascii="Times New Roman" w:hAnsi="Times New Roman" w:cs="Times New Roman"/>
                <w:color w:val="000000"/>
                <w:sz w:val="24"/>
                <w:szCs w:val="24"/>
                <w:vertAlign w:val="subscript"/>
                <w:lang w:eastAsia="lt-LT"/>
              </w:rPr>
              <w:t>4</w:t>
            </w:r>
            <w:r w:rsidRPr="000F5443">
              <w:rPr>
                <w:rFonts w:ascii="Times New Roman" w:hAnsi="Times New Roman" w:cs="Times New Roman"/>
                <w:color w:val="000000"/>
                <w:sz w:val="24"/>
                <w:szCs w:val="24"/>
                <w:lang w:eastAsia="lt-LT"/>
              </w:rPr>
              <w:t>-N</w:t>
            </w:r>
          </w:p>
        </w:tc>
        <w:tc>
          <w:tcPr>
            <w:tcW w:w="1200" w:type="dxa"/>
            <w:noWrap/>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kg/d</w:t>
            </w:r>
          </w:p>
        </w:tc>
        <w:tc>
          <w:tcPr>
            <w:tcW w:w="967" w:type="dxa"/>
            <w:noWrap/>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kern w:val="2"/>
                <w:sz w:val="24"/>
                <w:szCs w:val="24"/>
              </w:rPr>
              <w:t>0,38</w:t>
            </w:r>
          </w:p>
        </w:tc>
      </w:tr>
      <w:tr w:rsidR="00E53103" w:rsidRPr="000F5443" w:rsidTr="0004647B">
        <w:trPr>
          <w:trHeight w:val="292"/>
        </w:trPr>
        <w:tc>
          <w:tcPr>
            <w:tcW w:w="2552" w:type="dxa"/>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P</w:t>
            </w:r>
            <w:r w:rsidRPr="000F5443">
              <w:rPr>
                <w:rFonts w:ascii="Times New Roman" w:hAnsi="Times New Roman" w:cs="Times New Roman"/>
                <w:color w:val="000000"/>
                <w:sz w:val="24"/>
                <w:szCs w:val="24"/>
                <w:vertAlign w:val="subscript"/>
                <w:lang w:eastAsia="lt-LT"/>
              </w:rPr>
              <w:t>b</w:t>
            </w:r>
          </w:p>
        </w:tc>
        <w:tc>
          <w:tcPr>
            <w:tcW w:w="1200" w:type="dxa"/>
            <w:noWrap/>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kg/d</w:t>
            </w:r>
          </w:p>
        </w:tc>
        <w:tc>
          <w:tcPr>
            <w:tcW w:w="967" w:type="dxa"/>
            <w:noWrap/>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kern w:val="2"/>
                <w:sz w:val="24"/>
                <w:szCs w:val="24"/>
              </w:rPr>
              <w:t>0,122</w:t>
            </w:r>
          </w:p>
        </w:tc>
      </w:tr>
      <w:tr w:rsidR="00E53103" w:rsidRPr="000F5443" w:rsidTr="0004647B">
        <w:trPr>
          <w:trHeight w:val="292"/>
        </w:trPr>
        <w:tc>
          <w:tcPr>
            <w:tcW w:w="2552" w:type="dxa"/>
            <w:noWrap/>
            <w:vAlign w:val="bottom"/>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pH</w:t>
            </w:r>
          </w:p>
        </w:tc>
        <w:tc>
          <w:tcPr>
            <w:tcW w:w="1200" w:type="dxa"/>
            <w:noWrap/>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w:t>
            </w:r>
          </w:p>
        </w:tc>
        <w:tc>
          <w:tcPr>
            <w:tcW w:w="967" w:type="dxa"/>
            <w:noWrap/>
          </w:tcPr>
          <w:p w:rsidR="00E53103" w:rsidRPr="000F5443" w:rsidRDefault="00E53103" w:rsidP="0004647B">
            <w:pPr>
              <w:jc w:val="right"/>
              <w:rPr>
                <w:rFonts w:ascii="Times New Roman" w:hAnsi="Times New Roman" w:cs="Times New Roman"/>
                <w:kern w:val="2"/>
                <w:sz w:val="24"/>
                <w:szCs w:val="24"/>
              </w:rPr>
            </w:pPr>
            <w:r w:rsidRPr="000F5443">
              <w:rPr>
                <w:rFonts w:ascii="Times New Roman" w:hAnsi="Times New Roman" w:cs="Times New Roman"/>
                <w:kern w:val="2"/>
                <w:sz w:val="24"/>
                <w:szCs w:val="24"/>
              </w:rPr>
              <w:t>6,5–8,5</w:t>
            </w:r>
          </w:p>
        </w:tc>
      </w:tr>
      <w:tr w:rsidR="00E53103" w:rsidRPr="000F5443" w:rsidTr="0004647B">
        <w:trPr>
          <w:trHeight w:val="292"/>
        </w:trPr>
        <w:tc>
          <w:tcPr>
            <w:tcW w:w="2552" w:type="dxa"/>
            <w:noWrap/>
            <w:vAlign w:val="bottom"/>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Nuotekų temperatūra</w:t>
            </w:r>
          </w:p>
        </w:tc>
        <w:tc>
          <w:tcPr>
            <w:tcW w:w="1200" w:type="dxa"/>
            <w:noWrap/>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°C</w:t>
            </w:r>
          </w:p>
        </w:tc>
        <w:tc>
          <w:tcPr>
            <w:tcW w:w="967" w:type="dxa"/>
            <w:noWrap/>
          </w:tcPr>
          <w:p w:rsidR="00E53103" w:rsidRPr="000F5443" w:rsidRDefault="00E53103" w:rsidP="0004647B">
            <w:pPr>
              <w:jc w:val="right"/>
              <w:rPr>
                <w:rFonts w:ascii="Times New Roman" w:hAnsi="Times New Roman" w:cs="Times New Roman"/>
                <w:kern w:val="2"/>
                <w:sz w:val="24"/>
                <w:szCs w:val="24"/>
              </w:rPr>
            </w:pPr>
            <w:r w:rsidRPr="000F5443">
              <w:rPr>
                <w:rFonts w:ascii="Times New Roman" w:hAnsi="Times New Roman" w:cs="Times New Roman"/>
                <w:kern w:val="2"/>
                <w:sz w:val="24"/>
                <w:szCs w:val="24"/>
              </w:rPr>
              <w:t>10–20</w:t>
            </w:r>
          </w:p>
        </w:tc>
      </w:tr>
    </w:tbl>
    <w:p w:rsidR="00E53103" w:rsidRPr="000F5443" w:rsidRDefault="00E53103" w:rsidP="00E53103">
      <w:pPr>
        <w:ind w:left="1080"/>
        <w:contextualSpacing/>
        <w:jc w:val="both"/>
        <w:rPr>
          <w:rFonts w:ascii="Times New Roman" w:hAnsi="Times New Roman" w:cs="Times New Roman"/>
          <w:kern w:val="2"/>
          <w:sz w:val="24"/>
          <w:szCs w:val="24"/>
        </w:rPr>
      </w:pPr>
    </w:p>
    <w:p w:rsidR="00E53103" w:rsidRDefault="00E53103" w:rsidP="00E53103">
      <w:pPr>
        <w:numPr>
          <w:ilvl w:val="0"/>
          <w:numId w:val="1"/>
        </w:numPr>
        <w:contextualSpacing/>
        <w:jc w:val="both"/>
        <w:rPr>
          <w:kern w:val="2"/>
        </w:rPr>
      </w:pPr>
      <w:r w:rsidRPr="000F5443">
        <w:rPr>
          <w:rFonts w:ascii="Times New Roman" w:hAnsi="Times New Roman" w:cs="Times New Roman"/>
          <w:kern w:val="2"/>
          <w:sz w:val="24"/>
          <w:szCs w:val="24"/>
        </w:rPr>
        <w:t>Atsižvelgiant į pirkimo objekto aprašymą ir siekiant tinkamai parinkti mobilią nuotekų valymo sistemą bei užtikrinti jos stabilų ir projektine prasme pagrįstą hidraulinį veikimą, pažymime, kad pirkimo dokumentuose nėra pateikti esminiai hidrauliniai (srauto) įvesties parametrai. Prašome pateikti trūkstamus duomenis, įskaitant nuotekų vidutinį paros debitą (m³/para), nuotekų didžiausią valandos debitą sausuoju metų laikotarpiu (m³/val.) ir nuotekų didžiausią valandos debitą lietinguoju metų laikotarpiu (m³/val.). Šie parametrai yra būtini siekiant teisingai įvertinti sistemos našumą. Prašome pateikti nurodytus trūkstamus duomenis.</w:t>
      </w:r>
    </w:p>
    <w:p w:rsidR="00E53103" w:rsidRDefault="00E53103" w:rsidP="00E53103">
      <w:pPr>
        <w:ind w:left="720"/>
        <w:contextualSpacing/>
        <w:jc w:val="both"/>
        <w:rPr>
          <w:kern w:val="2"/>
        </w:rPr>
      </w:pPr>
      <w:r w:rsidRPr="000F5443">
        <w:rPr>
          <w:rFonts w:ascii="Times New Roman" w:hAnsi="Times New Roman" w:cs="Times New Roman"/>
          <w:kern w:val="2"/>
          <w:sz w:val="24"/>
          <w:szCs w:val="24"/>
        </w:rPr>
        <w:t>Atsakymas</w:t>
      </w:r>
      <w:r>
        <w:rPr>
          <w:kern w:val="2"/>
        </w:rPr>
        <w:t xml:space="preserve">: </w:t>
      </w:r>
    </w:p>
    <w:p w:rsidR="00E53103" w:rsidRDefault="00E53103" w:rsidP="00E53103">
      <w:pPr>
        <w:ind w:left="720"/>
        <w:contextualSpacing/>
        <w:jc w:val="both"/>
        <w:rPr>
          <w:kern w:val="2"/>
        </w:rPr>
      </w:pPr>
      <w:r w:rsidRPr="000F5443">
        <w:rPr>
          <w:rFonts w:ascii="Times New Roman" w:hAnsi="Times New Roman" w:cs="Times New Roman"/>
          <w:kern w:val="2"/>
          <w:sz w:val="24"/>
          <w:szCs w:val="24"/>
        </w:rPr>
        <w:t>Žiūrėti atsakymą į 24 klausimą.</w:t>
      </w:r>
    </w:p>
    <w:p w:rsidR="00E53103" w:rsidRPr="000F5443" w:rsidRDefault="00E53103" w:rsidP="00E53103">
      <w:pPr>
        <w:ind w:left="72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Nuotekų debitai</w:t>
      </w:r>
    </w:p>
    <w:tbl>
      <w:tblPr>
        <w:tblW w:w="4678" w:type="dxa"/>
        <w:tblInd w:w="1129" w:type="dxa"/>
        <w:tblLook w:val="04A0" w:firstRow="1" w:lastRow="0" w:firstColumn="1" w:lastColumn="0" w:noHBand="0" w:noVBand="1"/>
      </w:tblPr>
      <w:tblGrid>
        <w:gridCol w:w="2410"/>
        <w:gridCol w:w="1200"/>
        <w:gridCol w:w="1068"/>
      </w:tblGrid>
      <w:tr w:rsidR="00E53103" w:rsidRPr="000F5443" w:rsidTr="0004647B">
        <w:trPr>
          <w:trHeight w:val="292"/>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Parametras</w:t>
            </w:r>
          </w:p>
        </w:tc>
        <w:tc>
          <w:tcPr>
            <w:tcW w:w="1200" w:type="dxa"/>
            <w:tcBorders>
              <w:top w:val="single" w:sz="4" w:space="0" w:color="auto"/>
              <w:left w:val="nil"/>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Mato vnt.</w:t>
            </w:r>
          </w:p>
        </w:tc>
        <w:tc>
          <w:tcPr>
            <w:tcW w:w="1068" w:type="dxa"/>
            <w:tcBorders>
              <w:top w:val="single" w:sz="4" w:space="0" w:color="auto"/>
              <w:left w:val="nil"/>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sz w:val="24"/>
                <w:szCs w:val="24"/>
                <w:lang w:eastAsia="lt-LT"/>
              </w:rPr>
              <w:t>Reikšmė</w:t>
            </w:r>
          </w:p>
        </w:tc>
      </w:tr>
      <w:tr w:rsidR="00E53103" w:rsidRPr="000F5443" w:rsidTr="0004647B">
        <w:trPr>
          <w:trHeight w:val="343"/>
        </w:trPr>
        <w:tc>
          <w:tcPr>
            <w:tcW w:w="2410" w:type="dxa"/>
            <w:tcBorders>
              <w:top w:val="nil"/>
              <w:left w:val="single" w:sz="4" w:space="0" w:color="auto"/>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Q (d.vid.)</w:t>
            </w:r>
          </w:p>
        </w:tc>
        <w:tc>
          <w:tcPr>
            <w:tcW w:w="1200" w:type="dxa"/>
            <w:tcBorders>
              <w:top w:val="nil"/>
              <w:left w:val="nil"/>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w:t>
            </w:r>
            <w:r w:rsidRPr="000F5443">
              <w:rPr>
                <w:rFonts w:ascii="Times New Roman" w:hAnsi="Times New Roman" w:cs="Times New Roman"/>
                <w:color w:val="000000"/>
                <w:sz w:val="24"/>
                <w:szCs w:val="24"/>
                <w:vertAlign w:val="superscript"/>
                <w:lang w:eastAsia="lt-LT"/>
              </w:rPr>
              <w:t>3</w:t>
            </w:r>
            <w:r w:rsidRPr="000F5443">
              <w:rPr>
                <w:rFonts w:ascii="Times New Roman" w:hAnsi="Times New Roman" w:cs="Times New Roman"/>
                <w:color w:val="000000"/>
                <w:sz w:val="24"/>
                <w:szCs w:val="24"/>
                <w:lang w:eastAsia="lt-LT"/>
              </w:rPr>
              <w:t>/d</w:t>
            </w:r>
          </w:p>
        </w:tc>
        <w:tc>
          <w:tcPr>
            <w:tcW w:w="1068" w:type="dxa"/>
            <w:tcBorders>
              <w:top w:val="nil"/>
              <w:left w:val="nil"/>
              <w:bottom w:val="single" w:sz="4" w:space="0" w:color="000000"/>
              <w:right w:val="single" w:sz="4" w:space="0" w:color="000000"/>
            </w:tcBorders>
            <w:noWrap/>
            <w:vAlign w:val="bottom"/>
            <w:hideMark/>
          </w:tcPr>
          <w:p w:rsidR="00E53103" w:rsidRPr="000F5443" w:rsidRDefault="00E53103" w:rsidP="0004647B">
            <w:pPr>
              <w:jc w:val="right"/>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8,0</w:t>
            </w:r>
          </w:p>
        </w:tc>
      </w:tr>
      <w:tr w:rsidR="00E53103" w:rsidRPr="000F5443" w:rsidTr="0004647B">
        <w:trPr>
          <w:trHeight w:val="292"/>
        </w:trPr>
        <w:tc>
          <w:tcPr>
            <w:tcW w:w="2410" w:type="dxa"/>
            <w:tcBorders>
              <w:top w:val="nil"/>
              <w:left w:val="single" w:sz="4" w:space="0" w:color="auto"/>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Q (d.max)</w:t>
            </w:r>
          </w:p>
        </w:tc>
        <w:tc>
          <w:tcPr>
            <w:tcW w:w="1200" w:type="dxa"/>
            <w:tcBorders>
              <w:top w:val="nil"/>
              <w:left w:val="nil"/>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w:t>
            </w:r>
            <w:r w:rsidRPr="000F5443">
              <w:rPr>
                <w:rFonts w:ascii="Times New Roman" w:hAnsi="Times New Roman" w:cs="Times New Roman"/>
                <w:color w:val="000000"/>
                <w:sz w:val="24"/>
                <w:szCs w:val="24"/>
                <w:vertAlign w:val="superscript"/>
                <w:lang w:eastAsia="lt-LT"/>
              </w:rPr>
              <w:t>3</w:t>
            </w:r>
            <w:r w:rsidRPr="000F5443">
              <w:rPr>
                <w:rFonts w:ascii="Times New Roman" w:hAnsi="Times New Roman" w:cs="Times New Roman"/>
                <w:color w:val="000000"/>
                <w:sz w:val="24"/>
                <w:szCs w:val="24"/>
                <w:lang w:eastAsia="lt-LT"/>
              </w:rPr>
              <w:t>/d</w:t>
            </w:r>
          </w:p>
        </w:tc>
        <w:tc>
          <w:tcPr>
            <w:tcW w:w="1068" w:type="dxa"/>
            <w:tcBorders>
              <w:top w:val="nil"/>
              <w:left w:val="nil"/>
              <w:bottom w:val="single" w:sz="4" w:space="0" w:color="000000"/>
              <w:right w:val="single" w:sz="4" w:space="0" w:color="000000"/>
            </w:tcBorders>
            <w:noWrap/>
            <w:vAlign w:val="bottom"/>
            <w:hideMark/>
          </w:tcPr>
          <w:p w:rsidR="00E53103" w:rsidRPr="000F5443" w:rsidRDefault="00E53103" w:rsidP="0004647B">
            <w:pPr>
              <w:jc w:val="right"/>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10,4</w:t>
            </w:r>
          </w:p>
        </w:tc>
      </w:tr>
      <w:tr w:rsidR="00E53103" w:rsidRPr="000F5443" w:rsidTr="0004647B">
        <w:trPr>
          <w:trHeight w:val="292"/>
        </w:trPr>
        <w:tc>
          <w:tcPr>
            <w:tcW w:w="2410" w:type="dxa"/>
            <w:tcBorders>
              <w:top w:val="nil"/>
              <w:left w:val="single" w:sz="4" w:space="0" w:color="auto"/>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Q (h.vid.)</w:t>
            </w:r>
          </w:p>
        </w:tc>
        <w:tc>
          <w:tcPr>
            <w:tcW w:w="1200" w:type="dxa"/>
            <w:tcBorders>
              <w:top w:val="nil"/>
              <w:left w:val="nil"/>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w:t>
            </w:r>
            <w:r w:rsidRPr="000F5443">
              <w:rPr>
                <w:rFonts w:ascii="Times New Roman" w:hAnsi="Times New Roman" w:cs="Times New Roman"/>
                <w:color w:val="000000"/>
                <w:sz w:val="24"/>
                <w:szCs w:val="24"/>
                <w:vertAlign w:val="superscript"/>
                <w:lang w:eastAsia="lt-LT"/>
              </w:rPr>
              <w:t>3</w:t>
            </w:r>
            <w:r w:rsidRPr="000F5443">
              <w:rPr>
                <w:rFonts w:ascii="Times New Roman" w:hAnsi="Times New Roman" w:cs="Times New Roman"/>
                <w:color w:val="000000"/>
                <w:sz w:val="24"/>
                <w:szCs w:val="24"/>
                <w:lang w:eastAsia="lt-LT"/>
              </w:rPr>
              <w:t>/h</w:t>
            </w:r>
          </w:p>
        </w:tc>
        <w:tc>
          <w:tcPr>
            <w:tcW w:w="1068" w:type="dxa"/>
            <w:tcBorders>
              <w:top w:val="nil"/>
              <w:left w:val="nil"/>
              <w:bottom w:val="single" w:sz="4" w:space="0" w:color="000000"/>
              <w:right w:val="single" w:sz="4" w:space="0" w:color="000000"/>
            </w:tcBorders>
            <w:noWrap/>
            <w:vAlign w:val="bottom"/>
            <w:hideMark/>
          </w:tcPr>
          <w:p w:rsidR="00E53103" w:rsidRPr="000F5443" w:rsidRDefault="00E53103" w:rsidP="0004647B">
            <w:pPr>
              <w:jc w:val="right"/>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0,333</w:t>
            </w:r>
          </w:p>
        </w:tc>
      </w:tr>
      <w:tr w:rsidR="00E53103" w:rsidRPr="000F5443" w:rsidTr="0004647B">
        <w:trPr>
          <w:trHeight w:val="292"/>
        </w:trPr>
        <w:tc>
          <w:tcPr>
            <w:tcW w:w="2410" w:type="dxa"/>
            <w:tcBorders>
              <w:top w:val="nil"/>
              <w:left w:val="single" w:sz="4" w:space="0" w:color="auto"/>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Q (vid.)</w:t>
            </w:r>
          </w:p>
        </w:tc>
        <w:tc>
          <w:tcPr>
            <w:tcW w:w="1200" w:type="dxa"/>
            <w:tcBorders>
              <w:top w:val="nil"/>
              <w:left w:val="nil"/>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l/s</w:t>
            </w:r>
          </w:p>
        </w:tc>
        <w:tc>
          <w:tcPr>
            <w:tcW w:w="1068" w:type="dxa"/>
            <w:tcBorders>
              <w:top w:val="nil"/>
              <w:left w:val="nil"/>
              <w:bottom w:val="single" w:sz="4" w:space="0" w:color="000000"/>
              <w:right w:val="single" w:sz="4" w:space="0" w:color="000000"/>
            </w:tcBorders>
            <w:noWrap/>
            <w:vAlign w:val="bottom"/>
            <w:hideMark/>
          </w:tcPr>
          <w:p w:rsidR="00E53103" w:rsidRPr="000F5443" w:rsidRDefault="00E53103" w:rsidP="0004647B">
            <w:pPr>
              <w:jc w:val="right"/>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0,093</w:t>
            </w:r>
          </w:p>
        </w:tc>
      </w:tr>
      <w:tr w:rsidR="00E53103" w:rsidRPr="000F5443" w:rsidTr="0004647B">
        <w:trPr>
          <w:trHeight w:val="292"/>
        </w:trPr>
        <w:tc>
          <w:tcPr>
            <w:tcW w:w="2410" w:type="dxa"/>
            <w:tcBorders>
              <w:top w:val="nil"/>
              <w:left w:val="single" w:sz="4" w:space="0" w:color="auto"/>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Q (h.max)</w:t>
            </w:r>
          </w:p>
        </w:tc>
        <w:tc>
          <w:tcPr>
            <w:tcW w:w="1200" w:type="dxa"/>
            <w:tcBorders>
              <w:top w:val="nil"/>
              <w:left w:val="nil"/>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w:t>
            </w:r>
            <w:r w:rsidRPr="000F5443">
              <w:rPr>
                <w:rFonts w:ascii="Times New Roman" w:hAnsi="Times New Roman" w:cs="Times New Roman"/>
                <w:color w:val="000000"/>
                <w:sz w:val="24"/>
                <w:szCs w:val="24"/>
                <w:vertAlign w:val="superscript"/>
                <w:lang w:eastAsia="lt-LT"/>
              </w:rPr>
              <w:t>3</w:t>
            </w:r>
            <w:r w:rsidRPr="000F5443">
              <w:rPr>
                <w:rFonts w:ascii="Times New Roman" w:hAnsi="Times New Roman" w:cs="Times New Roman"/>
                <w:color w:val="000000"/>
                <w:sz w:val="24"/>
                <w:szCs w:val="24"/>
                <w:lang w:eastAsia="lt-LT"/>
              </w:rPr>
              <w:t>/h</w:t>
            </w:r>
          </w:p>
        </w:tc>
        <w:tc>
          <w:tcPr>
            <w:tcW w:w="1068" w:type="dxa"/>
            <w:tcBorders>
              <w:top w:val="nil"/>
              <w:left w:val="nil"/>
              <w:bottom w:val="single" w:sz="4" w:space="0" w:color="000000"/>
              <w:right w:val="single" w:sz="4" w:space="0" w:color="000000"/>
            </w:tcBorders>
            <w:noWrap/>
            <w:vAlign w:val="bottom"/>
            <w:hideMark/>
          </w:tcPr>
          <w:p w:rsidR="00E53103" w:rsidRPr="000F5443" w:rsidRDefault="00E53103" w:rsidP="0004647B">
            <w:pPr>
              <w:jc w:val="right"/>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1,43</w:t>
            </w:r>
          </w:p>
        </w:tc>
      </w:tr>
      <w:tr w:rsidR="00E53103" w:rsidRPr="000F5443" w:rsidTr="0004647B">
        <w:trPr>
          <w:trHeight w:val="292"/>
        </w:trPr>
        <w:tc>
          <w:tcPr>
            <w:tcW w:w="2410" w:type="dxa"/>
            <w:tcBorders>
              <w:top w:val="nil"/>
              <w:left w:val="single" w:sz="4" w:space="0" w:color="auto"/>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Q (h.max, liet)</w:t>
            </w:r>
          </w:p>
        </w:tc>
        <w:tc>
          <w:tcPr>
            <w:tcW w:w="1200" w:type="dxa"/>
            <w:tcBorders>
              <w:top w:val="nil"/>
              <w:left w:val="nil"/>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w:t>
            </w:r>
            <w:r w:rsidRPr="000F5443">
              <w:rPr>
                <w:rFonts w:ascii="Times New Roman" w:hAnsi="Times New Roman" w:cs="Times New Roman"/>
                <w:color w:val="000000"/>
                <w:sz w:val="24"/>
                <w:szCs w:val="24"/>
                <w:vertAlign w:val="superscript"/>
                <w:lang w:eastAsia="lt-LT"/>
              </w:rPr>
              <w:t>3</w:t>
            </w:r>
            <w:r w:rsidRPr="000F5443">
              <w:rPr>
                <w:rFonts w:ascii="Times New Roman" w:hAnsi="Times New Roman" w:cs="Times New Roman"/>
                <w:color w:val="000000"/>
                <w:sz w:val="24"/>
                <w:szCs w:val="24"/>
                <w:lang w:eastAsia="lt-LT"/>
              </w:rPr>
              <w:t>/h</w:t>
            </w:r>
          </w:p>
        </w:tc>
        <w:tc>
          <w:tcPr>
            <w:tcW w:w="1068" w:type="dxa"/>
            <w:tcBorders>
              <w:top w:val="nil"/>
              <w:left w:val="nil"/>
              <w:bottom w:val="single" w:sz="4" w:space="0" w:color="000000"/>
              <w:right w:val="single" w:sz="4" w:space="0" w:color="000000"/>
            </w:tcBorders>
            <w:noWrap/>
            <w:vAlign w:val="bottom"/>
            <w:hideMark/>
          </w:tcPr>
          <w:p w:rsidR="00E53103" w:rsidRPr="000F5443" w:rsidRDefault="00E53103" w:rsidP="0004647B">
            <w:pPr>
              <w:jc w:val="right"/>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2,0</w:t>
            </w:r>
          </w:p>
        </w:tc>
      </w:tr>
      <w:tr w:rsidR="00E53103" w:rsidRPr="000F5443" w:rsidTr="0004647B">
        <w:trPr>
          <w:trHeight w:val="292"/>
        </w:trPr>
        <w:tc>
          <w:tcPr>
            <w:tcW w:w="2410" w:type="dxa"/>
            <w:tcBorders>
              <w:top w:val="nil"/>
              <w:left w:val="single" w:sz="4" w:space="0" w:color="auto"/>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Q (h.min)</w:t>
            </w:r>
          </w:p>
        </w:tc>
        <w:tc>
          <w:tcPr>
            <w:tcW w:w="1200" w:type="dxa"/>
            <w:tcBorders>
              <w:top w:val="nil"/>
              <w:left w:val="nil"/>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w:t>
            </w:r>
            <w:r w:rsidRPr="000F5443">
              <w:rPr>
                <w:rFonts w:ascii="Times New Roman" w:hAnsi="Times New Roman" w:cs="Times New Roman"/>
                <w:color w:val="000000"/>
                <w:sz w:val="24"/>
                <w:szCs w:val="24"/>
                <w:vertAlign w:val="superscript"/>
                <w:lang w:eastAsia="lt-LT"/>
              </w:rPr>
              <w:t>3</w:t>
            </w:r>
            <w:r w:rsidRPr="000F5443">
              <w:rPr>
                <w:rFonts w:ascii="Times New Roman" w:hAnsi="Times New Roman" w:cs="Times New Roman"/>
                <w:color w:val="000000"/>
                <w:sz w:val="24"/>
                <w:szCs w:val="24"/>
                <w:lang w:eastAsia="lt-LT"/>
              </w:rPr>
              <w:t>/h</w:t>
            </w:r>
          </w:p>
        </w:tc>
        <w:tc>
          <w:tcPr>
            <w:tcW w:w="1068" w:type="dxa"/>
            <w:tcBorders>
              <w:top w:val="nil"/>
              <w:left w:val="nil"/>
              <w:bottom w:val="single" w:sz="4" w:space="0" w:color="000000"/>
              <w:right w:val="single" w:sz="4" w:space="0" w:color="000000"/>
            </w:tcBorders>
            <w:noWrap/>
            <w:vAlign w:val="bottom"/>
            <w:hideMark/>
          </w:tcPr>
          <w:p w:rsidR="00E53103" w:rsidRPr="000F5443" w:rsidRDefault="00E53103" w:rsidP="0004647B">
            <w:pPr>
              <w:jc w:val="right"/>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0,083</w:t>
            </w:r>
          </w:p>
        </w:tc>
      </w:tr>
      <w:tr w:rsidR="00E53103" w:rsidRPr="000F5443" w:rsidTr="0004647B">
        <w:trPr>
          <w:trHeight w:val="292"/>
        </w:trPr>
        <w:tc>
          <w:tcPr>
            <w:tcW w:w="2410" w:type="dxa"/>
            <w:tcBorders>
              <w:top w:val="nil"/>
              <w:left w:val="single" w:sz="4" w:space="0" w:color="auto"/>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GE</w:t>
            </w:r>
          </w:p>
        </w:tc>
        <w:tc>
          <w:tcPr>
            <w:tcW w:w="1200" w:type="dxa"/>
            <w:tcBorders>
              <w:top w:val="nil"/>
              <w:left w:val="nil"/>
              <w:bottom w:val="single" w:sz="4" w:space="0" w:color="auto"/>
              <w:right w:val="single" w:sz="4" w:space="0" w:color="auto"/>
            </w:tcBorders>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gyv.</w:t>
            </w:r>
          </w:p>
        </w:tc>
        <w:tc>
          <w:tcPr>
            <w:tcW w:w="1068" w:type="dxa"/>
            <w:tcBorders>
              <w:top w:val="nil"/>
              <w:left w:val="nil"/>
              <w:bottom w:val="single" w:sz="4" w:space="0" w:color="auto"/>
              <w:right w:val="single" w:sz="4" w:space="0" w:color="auto"/>
            </w:tcBorders>
            <w:noWrap/>
            <w:vAlign w:val="bottom"/>
            <w:hideMark/>
          </w:tcPr>
          <w:p w:rsidR="00E53103" w:rsidRPr="000F5443" w:rsidRDefault="00E53103" w:rsidP="0004647B">
            <w:pPr>
              <w:jc w:val="right"/>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45</w:t>
            </w:r>
          </w:p>
        </w:tc>
      </w:tr>
    </w:tbl>
    <w:p w:rsidR="00E53103" w:rsidRPr="000F5443" w:rsidRDefault="00E53103" w:rsidP="00E53103">
      <w:pPr>
        <w:ind w:left="1080"/>
        <w:contextualSpacing/>
        <w:jc w:val="both"/>
        <w:rPr>
          <w:rFonts w:ascii="Times New Roman" w:hAnsi="Times New Roman" w:cs="Times New Roman"/>
          <w:kern w:val="2"/>
          <w:sz w:val="24"/>
          <w:szCs w:val="24"/>
        </w:rPr>
      </w:pPr>
    </w:p>
    <w:p w:rsidR="00E53103" w:rsidRDefault="00E53103" w:rsidP="00E53103">
      <w:pPr>
        <w:numPr>
          <w:ilvl w:val="0"/>
          <w:numId w:val="1"/>
        </w:numPr>
        <w:contextualSpacing/>
        <w:jc w:val="both"/>
        <w:rPr>
          <w:kern w:val="2"/>
        </w:rPr>
      </w:pPr>
      <w:r w:rsidRPr="000F5443">
        <w:rPr>
          <w:rFonts w:ascii="Times New Roman" w:hAnsi="Times New Roman" w:cs="Times New Roman"/>
          <w:kern w:val="2"/>
          <w:sz w:val="24"/>
          <w:szCs w:val="24"/>
        </w:rPr>
        <w:t>Prašome apibūdinti ir nurodyti objekto paskirtį ir veiklos pobūdį, generuojantį nuotekas.</w:t>
      </w:r>
    </w:p>
    <w:p w:rsidR="00E53103" w:rsidRDefault="00E53103" w:rsidP="00E53103">
      <w:pPr>
        <w:ind w:left="720"/>
        <w:contextualSpacing/>
        <w:jc w:val="both"/>
        <w:rPr>
          <w:kern w:val="2"/>
        </w:rPr>
      </w:pPr>
      <w:r w:rsidRPr="000F5443">
        <w:rPr>
          <w:rFonts w:ascii="Times New Roman" w:hAnsi="Times New Roman" w:cs="Times New Roman"/>
          <w:kern w:val="2"/>
          <w:sz w:val="24"/>
          <w:szCs w:val="24"/>
        </w:rPr>
        <w:lastRenderedPageBreak/>
        <w:t>Atsakymas</w:t>
      </w:r>
      <w:r>
        <w:rPr>
          <w:kern w:val="2"/>
        </w:rPr>
        <w:t>:</w:t>
      </w:r>
    </w:p>
    <w:p w:rsidR="00E53103" w:rsidRPr="000F5443" w:rsidRDefault="00E53103" w:rsidP="00E53103">
      <w:pPr>
        <w:ind w:left="72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Maišiagalos miestelio komunalinės nuotekos.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Default="00E53103" w:rsidP="00E53103">
      <w:pPr>
        <w:numPr>
          <w:ilvl w:val="0"/>
          <w:numId w:val="1"/>
        </w:numPr>
        <w:contextualSpacing/>
        <w:jc w:val="both"/>
        <w:rPr>
          <w:kern w:val="2"/>
        </w:rPr>
      </w:pPr>
      <w:r w:rsidRPr="000F5443">
        <w:rPr>
          <w:rFonts w:ascii="Times New Roman" w:hAnsi="Times New Roman" w:cs="Times New Roman"/>
          <w:kern w:val="2"/>
          <w:sz w:val="24"/>
          <w:szCs w:val="24"/>
        </w:rPr>
        <w:t>Atsižvelgiant į pirkimo dokumentuose nurodytą reikalavimą, kad nuotekų valymo įranga turi užtikrinti azoto ir fosforo šalinimą iki LR ir ES teisės aktuose nustatytų ribų, pažymime, kad ši sąvoka yra per plati ir nepakankamai apibrėžta, nes tiek Lietuvoje, tiek ES taikomi skirtingi išvalymo reikalavimai, kurie priklauso nuo konkrečios situacijos, nuotekų kilmės, taršos apkrovos, aglomeracijos dydžio, išleidimo į aplinką sąlygų ir kitų projektinių prielaidų. Siekiant pasiūlyti techniškai ir projektine prasme pagrįstą sprendimą, prašome tiksliai nurodyti, iki kokių koncentracijų turi būti pasiekti išvalymo rodikliai pagal šiuos parametrus: BDS₇ (mg/l), skendinčios medžiagos (SM, mg/l), bendrasis azotas (Nᵇ, mg/l) ir bendrasis fosforas (Pᵇ, mg/l). Be aiškiai įvardintų tikslinių išvalymo verčių, įrangos parinkimas ir technologinio proceso efektyvumo užtikrinimas negali būti laikomi funkcine ir projektine prasme pagrįstais, todėl prašome pateikti tikslias reikalaujamas išvalymo rodiklių reikšmes.</w:t>
      </w:r>
    </w:p>
    <w:p w:rsidR="00E53103" w:rsidRDefault="00E53103" w:rsidP="00E53103">
      <w:pPr>
        <w:ind w:left="720"/>
        <w:contextualSpacing/>
        <w:jc w:val="both"/>
        <w:rPr>
          <w:kern w:val="2"/>
        </w:rPr>
      </w:pPr>
      <w:r w:rsidRPr="000F5443">
        <w:rPr>
          <w:rFonts w:ascii="Times New Roman" w:hAnsi="Times New Roman" w:cs="Times New Roman"/>
          <w:kern w:val="2"/>
          <w:sz w:val="24"/>
          <w:szCs w:val="24"/>
        </w:rPr>
        <w:t>Atsakymas</w:t>
      </w:r>
      <w:r>
        <w:rPr>
          <w:kern w:val="2"/>
        </w:rPr>
        <w:t>:</w:t>
      </w:r>
    </w:p>
    <w:p w:rsidR="00E53103" w:rsidRDefault="00E53103" w:rsidP="00E53103">
      <w:pPr>
        <w:ind w:left="720"/>
        <w:contextualSpacing/>
        <w:jc w:val="both"/>
        <w:rPr>
          <w:kern w:val="2"/>
        </w:rPr>
      </w:pPr>
      <w:r w:rsidRPr="000F5443">
        <w:rPr>
          <w:rFonts w:ascii="Times New Roman" w:hAnsi="Times New Roman" w:cs="Times New Roman"/>
          <w:kern w:val="2"/>
          <w:sz w:val="24"/>
          <w:szCs w:val="24"/>
        </w:rPr>
        <w:t>Žiūrėti atsakymą į 24 klausimą.</w:t>
      </w:r>
    </w:p>
    <w:p w:rsidR="00E53103" w:rsidRPr="000F5443" w:rsidRDefault="00E53103" w:rsidP="00E53103">
      <w:pPr>
        <w:ind w:left="72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Valytų nuotekų kokybė</w:t>
      </w:r>
    </w:p>
    <w:tbl>
      <w:tblPr>
        <w:tblW w:w="471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200"/>
        <w:gridCol w:w="1056"/>
      </w:tblGrid>
      <w:tr w:rsidR="00E53103" w:rsidRPr="000F5443" w:rsidTr="0004647B">
        <w:trPr>
          <w:trHeight w:val="292"/>
          <w:tblHeader/>
        </w:trPr>
        <w:tc>
          <w:tcPr>
            <w:tcW w:w="2552" w:type="dxa"/>
            <w:noWrap/>
            <w:vAlign w:val="bottom"/>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Parametras</w:t>
            </w:r>
          </w:p>
        </w:tc>
        <w:tc>
          <w:tcPr>
            <w:tcW w:w="1200" w:type="dxa"/>
            <w:noWrap/>
            <w:vAlign w:val="bottom"/>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Mato vnt.</w:t>
            </w:r>
          </w:p>
        </w:tc>
        <w:tc>
          <w:tcPr>
            <w:tcW w:w="967" w:type="dxa"/>
            <w:noWrap/>
            <w:vAlign w:val="bottom"/>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sz w:val="24"/>
                <w:szCs w:val="24"/>
                <w:lang w:eastAsia="lt-LT"/>
              </w:rPr>
              <w:t>Reikšmė</w:t>
            </w:r>
          </w:p>
        </w:tc>
      </w:tr>
      <w:tr w:rsidR="00E53103" w:rsidRPr="000F5443" w:rsidTr="0004647B">
        <w:trPr>
          <w:trHeight w:val="292"/>
        </w:trPr>
        <w:tc>
          <w:tcPr>
            <w:tcW w:w="2552" w:type="dxa"/>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BDS</w:t>
            </w:r>
            <w:r w:rsidRPr="000F5443">
              <w:rPr>
                <w:rFonts w:ascii="Times New Roman" w:hAnsi="Times New Roman" w:cs="Times New Roman"/>
                <w:color w:val="000000"/>
                <w:sz w:val="24"/>
                <w:szCs w:val="24"/>
                <w:vertAlign w:val="subscript"/>
                <w:lang w:eastAsia="lt-LT"/>
              </w:rPr>
              <w:t>5</w:t>
            </w:r>
          </w:p>
        </w:tc>
        <w:tc>
          <w:tcPr>
            <w:tcW w:w="1200" w:type="dxa"/>
            <w:noWrap/>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mg/l</w:t>
            </w:r>
          </w:p>
        </w:tc>
        <w:tc>
          <w:tcPr>
            <w:tcW w:w="967" w:type="dxa"/>
            <w:noWrap/>
            <w:vAlign w:val="bottom"/>
            <w:hideMark/>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sz w:val="24"/>
                <w:szCs w:val="24"/>
                <w:lang w:eastAsia="lt-LT"/>
              </w:rPr>
              <w:t>25</w:t>
            </w:r>
          </w:p>
        </w:tc>
      </w:tr>
      <w:tr w:rsidR="00E53103" w:rsidRPr="000F5443" w:rsidTr="0004647B">
        <w:trPr>
          <w:trHeight w:val="292"/>
        </w:trPr>
        <w:tc>
          <w:tcPr>
            <w:tcW w:w="2552" w:type="dxa"/>
            <w:noWrap/>
            <w:vAlign w:val="bottom"/>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BDS</w:t>
            </w:r>
            <w:r w:rsidRPr="000F5443">
              <w:rPr>
                <w:rFonts w:ascii="Times New Roman" w:hAnsi="Times New Roman" w:cs="Times New Roman"/>
                <w:color w:val="000000"/>
                <w:sz w:val="24"/>
                <w:szCs w:val="24"/>
                <w:vertAlign w:val="subscript"/>
                <w:lang w:eastAsia="lt-LT"/>
              </w:rPr>
              <w:t>7</w:t>
            </w:r>
          </w:p>
        </w:tc>
        <w:tc>
          <w:tcPr>
            <w:tcW w:w="1200" w:type="dxa"/>
            <w:noWrap/>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mg/l</w:t>
            </w:r>
          </w:p>
        </w:tc>
        <w:tc>
          <w:tcPr>
            <w:tcW w:w="967" w:type="dxa"/>
            <w:noWrap/>
            <w:vAlign w:val="bottom"/>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sz w:val="24"/>
                <w:szCs w:val="24"/>
                <w:lang w:eastAsia="lt-LT"/>
              </w:rPr>
              <w:t>29</w:t>
            </w:r>
          </w:p>
        </w:tc>
      </w:tr>
      <w:tr w:rsidR="00E53103" w:rsidRPr="000F5443" w:rsidTr="0004647B">
        <w:trPr>
          <w:trHeight w:val="292"/>
        </w:trPr>
        <w:tc>
          <w:tcPr>
            <w:tcW w:w="2552" w:type="dxa"/>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SM</w:t>
            </w:r>
          </w:p>
        </w:tc>
        <w:tc>
          <w:tcPr>
            <w:tcW w:w="1200" w:type="dxa"/>
            <w:noWrap/>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mg/l</w:t>
            </w:r>
          </w:p>
        </w:tc>
        <w:tc>
          <w:tcPr>
            <w:tcW w:w="967" w:type="dxa"/>
            <w:noWrap/>
            <w:vAlign w:val="bottom"/>
            <w:hideMark/>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sz w:val="24"/>
                <w:szCs w:val="24"/>
                <w:lang w:eastAsia="lt-LT"/>
              </w:rPr>
              <w:t>25</w:t>
            </w:r>
          </w:p>
        </w:tc>
      </w:tr>
      <w:tr w:rsidR="00E53103" w:rsidRPr="000F5443" w:rsidTr="0004647B">
        <w:trPr>
          <w:trHeight w:val="292"/>
        </w:trPr>
        <w:tc>
          <w:tcPr>
            <w:tcW w:w="2552" w:type="dxa"/>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N</w:t>
            </w:r>
            <w:r w:rsidRPr="000F5443">
              <w:rPr>
                <w:rFonts w:ascii="Times New Roman" w:hAnsi="Times New Roman" w:cs="Times New Roman"/>
                <w:color w:val="000000"/>
                <w:sz w:val="24"/>
                <w:szCs w:val="24"/>
                <w:vertAlign w:val="subscript"/>
                <w:lang w:eastAsia="lt-LT"/>
              </w:rPr>
              <w:t>b</w:t>
            </w:r>
          </w:p>
        </w:tc>
        <w:tc>
          <w:tcPr>
            <w:tcW w:w="1200" w:type="dxa"/>
            <w:noWrap/>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mg/l</w:t>
            </w:r>
          </w:p>
        </w:tc>
        <w:tc>
          <w:tcPr>
            <w:tcW w:w="967" w:type="dxa"/>
            <w:noWrap/>
            <w:vAlign w:val="bottom"/>
            <w:hideMark/>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sz w:val="24"/>
                <w:szCs w:val="24"/>
                <w:lang w:eastAsia="lt-LT"/>
              </w:rPr>
              <w:t>10</w:t>
            </w:r>
          </w:p>
        </w:tc>
      </w:tr>
      <w:tr w:rsidR="00E53103" w:rsidRPr="000F5443" w:rsidTr="0004647B">
        <w:trPr>
          <w:trHeight w:val="292"/>
        </w:trPr>
        <w:tc>
          <w:tcPr>
            <w:tcW w:w="2552" w:type="dxa"/>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NH</w:t>
            </w:r>
            <w:r w:rsidRPr="000F5443">
              <w:rPr>
                <w:rFonts w:ascii="Times New Roman" w:hAnsi="Times New Roman" w:cs="Times New Roman"/>
                <w:color w:val="000000"/>
                <w:sz w:val="24"/>
                <w:szCs w:val="24"/>
                <w:vertAlign w:val="subscript"/>
                <w:lang w:eastAsia="lt-LT"/>
              </w:rPr>
              <w:t>4</w:t>
            </w:r>
            <w:r w:rsidRPr="000F5443">
              <w:rPr>
                <w:rFonts w:ascii="Times New Roman" w:hAnsi="Times New Roman" w:cs="Times New Roman"/>
                <w:color w:val="000000"/>
                <w:sz w:val="24"/>
                <w:szCs w:val="24"/>
                <w:lang w:eastAsia="lt-LT"/>
              </w:rPr>
              <w:t>-N</w:t>
            </w:r>
          </w:p>
        </w:tc>
        <w:tc>
          <w:tcPr>
            <w:tcW w:w="1200" w:type="dxa"/>
            <w:noWrap/>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mg/l</w:t>
            </w:r>
          </w:p>
        </w:tc>
        <w:tc>
          <w:tcPr>
            <w:tcW w:w="967" w:type="dxa"/>
            <w:noWrap/>
            <w:vAlign w:val="bottom"/>
            <w:hideMark/>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sz w:val="24"/>
                <w:szCs w:val="24"/>
                <w:lang w:eastAsia="lt-LT"/>
              </w:rPr>
              <w:t>0,5</w:t>
            </w:r>
          </w:p>
        </w:tc>
      </w:tr>
      <w:tr w:rsidR="00E53103" w:rsidRPr="000F5443" w:rsidTr="0004647B">
        <w:trPr>
          <w:trHeight w:val="292"/>
        </w:trPr>
        <w:tc>
          <w:tcPr>
            <w:tcW w:w="2552" w:type="dxa"/>
            <w:noWrap/>
            <w:vAlign w:val="bottom"/>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NO</w:t>
            </w:r>
            <w:r w:rsidRPr="000F5443">
              <w:rPr>
                <w:rFonts w:ascii="Times New Roman" w:hAnsi="Times New Roman" w:cs="Times New Roman"/>
                <w:color w:val="000000"/>
                <w:sz w:val="24"/>
                <w:szCs w:val="24"/>
                <w:vertAlign w:val="subscript"/>
                <w:lang w:eastAsia="lt-LT"/>
              </w:rPr>
              <w:t>3</w:t>
            </w:r>
            <w:r w:rsidRPr="000F5443">
              <w:rPr>
                <w:rFonts w:ascii="Times New Roman" w:hAnsi="Times New Roman" w:cs="Times New Roman"/>
                <w:color w:val="000000"/>
                <w:sz w:val="24"/>
                <w:szCs w:val="24"/>
                <w:lang w:eastAsia="lt-LT"/>
              </w:rPr>
              <w:t>-N</w:t>
            </w:r>
          </w:p>
        </w:tc>
        <w:tc>
          <w:tcPr>
            <w:tcW w:w="1200" w:type="dxa"/>
            <w:noWrap/>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mg/l</w:t>
            </w:r>
          </w:p>
        </w:tc>
        <w:tc>
          <w:tcPr>
            <w:tcW w:w="967" w:type="dxa"/>
            <w:noWrap/>
            <w:vAlign w:val="bottom"/>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sz w:val="24"/>
                <w:szCs w:val="24"/>
                <w:lang w:eastAsia="lt-LT"/>
              </w:rPr>
              <w:t>7,5</w:t>
            </w:r>
          </w:p>
        </w:tc>
      </w:tr>
      <w:tr w:rsidR="00E53103" w:rsidRPr="000F5443" w:rsidTr="0004647B">
        <w:trPr>
          <w:trHeight w:val="292"/>
        </w:trPr>
        <w:tc>
          <w:tcPr>
            <w:tcW w:w="2552" w:type="dxa"/>
            <w:noWrap/>
            <w:vAlign w:val="bottom"/>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N</w:t>
            </w:r>
            <w:r w:rsidRPr="000F5443">
              <w:rPr>
                <w:rFonts w:ascii="Times New Roman" w:hAnsi="Times New Roman" w:cs="Times New Roman"/>
                <w:color w:val="000000"/>
                <w:sz w:val="24"/>
                <w:szCs w:val="24"/>
                <w:vertAlign w:val="subscript"/>
                <w:lang w:eastAsia="lt-LT"/>
              </w:rPr>
              <w:t>org.</w:t>
            </w:r>
          </w:p>
        </w:tc>
        <w:tc>
          <w:tcPr>
            <w:tcW w:w="1200" w:type="dxa"/>
            <w:noWrap/>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mg/l</w:t>
            </w:r>
          </w:p>
        </w:tc>
        <w:tc>
          <w:tcPr>
            <w:tcW w:w="967" w:type="dxa"/>
            <w:noWrap/>
            <w:vAlign w:val="bottom"/>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sz w:val="24"/>
                <w:szCs w:val="24"/>
                <w:lang w:eastAsia="lt-LT"/>
              </w:rPr>
              <w:t>2,0</w:t>
            </w:r>
          </w:p>
        </w:tc>
      </w:tr>
      <w:tr w:rsidR="00E53103" w:rsidRPr="000F5443" w:rsidTr="0004647B">
        <w:trPr>
          <w:trHeight w:val="292"/>
        </w:trPr>
        <w:tc>
          <w:tcPr>
            <w:tcW w:w="2552" w:type="dxa"/>
            <w:noWrap/>
            <w:vAlign w:val="bottom"/>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P</w:t>
            </w:r>
            <w:r w:rsidRPr="000F5443">
              <w:rPr>
                <w:rFonts w:ascii="Times New Roman" w:hAnsi="Times New Roman" w:cs="Times New Roman"/>
                <w:color w:val="000000"/>
                <w:sz w:val="24"/>
                <w:szCs w:val="24"/>
                <w:vertAlign w:val="subscript"/>
                <w:lang w:eastAsia="lt-LT"/>
              </w:rPr>
              <w:t>b</w:t>
            </w:r>
          </w:p>
        </w:tc>
        <w:tc>
          <w:tcPr>
            <w:tcW w:w="1200" w:type="dxa"/>
            <w:noWrap/>
            <w:hideMark/>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mg/l</w:t>
            </w:r>
          </w:p>
        </w:tc>
        <w:tc>
          <w:tcPr>
            <w:tcW w:w="967" w:type="dxa"/>
            <w:noWrap/>
            <w:vAlign w:val="bottom"/>
            <w:hideMark/>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sz w:val="24"/>
                <w:szCs w:val="24"/>
                <w:lang w:eastAsia="lt-LT"/>
              </w:rPr>
              <w:t>2,0</w:t>
            </w:r>
          </w:p>
        </w:tc>
      </w:tr>
      <w:tr w:rsidR="00E53103" w:rsidRPr="000F5443" w:rsidTr="0004647B">
        <w:trPr>
          <w:trHeight w:val="292"/>
        </w:trPr>
        <w:tc>
          <w:tcPr>
            <w:tcW w:w="2552" w:type="dxa"/>
            <w:noWrap/>
            <w:vAlign w:val="bottom"/>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PO</w:t>
            </w:r>
            <w:r w:rsidRPr="000F5443">
              <w:rPr>
                <w:rFonts w:ascii="Times New Roman" w:hAnsi="Times New Roman" w:cs="Times New Roman"/>
                <w:color w:val="000000"/>
                <w:sz w:val="24"/>
                <w:szCs w:val="24"/>
                <w:vertAlign w:val="subscript"/>
                <w:lang w:eastAsia="lt-LT"/>
              </w:rPr>
              <w:t>4</w:t>
            </w:r>
            <w:r w:rsidRPr="000F5443">
              <w:rPr>
                <w:rFonts w:ascii="Times New Roman" w:hAnsi="Times New Roman" w:cs="Times New Roman"/>
                <w:color w:val="000000"/>
                <w:sz w:val="24"/>
                <w:szCs w:val="24"/>
                <w:lang w:eastAsia="lt-LT"/>
              </w:rPr>
              <w:t>-P</w:t>
            </w:r>
          </w:p>
        </w:tc>
        <w:tc>
          <w:tcPr>
            <w:tcW w:w="1200" w:type="dxa"/>
            <w:noWrap/>
          </w:tcPr>
          <w:p w:rsidR="00E53103" w:rsidRPr="000F5443" w:rsidRDefault="00E53103" w:rsidP="0004647B">
            <w:pPr>
              <w:rPr>
                <w:rFonts w:ascii="Times New Roman" w:hAnsi="Times New Roman" w:cs="Times New Roman"/>
                <w:color w:val="000000"/>
                <w:sz w:val="24"/>
                <w:szCs w:val="24"/>
                <w:lang w:eastAsia="lt-LT"/>
              </w:rPr>
            </w:pPr>
            <w:r w:rsidRPr="000F5443">
              <w:rPr>
                <w:rFonts w:ascii="Times New Roman" w:hAnsi="Times New Roman" w:cs="Times New Roman"/>
                <w:color w:val="000000"/>
                <w:sz w:val="24"/>
                <w:szCs w:val="24"/>
                <w:lang w:eastAsia="lt-LT"/>
              </w:rPr>
              <w:t>mg/l</w:t>
            </w:r>
          </w:p>
        </w:tc>
        <w:tc>
          <w:tcPr>
            <w:tcW w:w="967" w:type="dxa"/>
            <w:noWrap/>
            <w:vAlign w:val="bottom"/>
          </w:tcPr>
          <w:p w:rsidR="00E53103" w:rsidRPr="000F5443" w:rsidRDefault="00E53103" w:rsidP="0004647B">
            <w:pPr>
              <w:jc w:val="right"/>
              <w:rPr>
                <w:rFonts w:ascii="Times New Roman" w:hAnsi="Times New Roman" w:cs="Times New Roman"/>
                <w:sz w:val="24"/>
                <w:szCs w:val="24"/>
                <w:lang w:eastAsia="lt-LT"/>
              </w:rPr>
            </w:pPr>
            <w:r w:rsidRPr="000F5443">
              <w:rPr>
                <w:rFonts w:ascii="Times New Roman" w:hAnsi="Times New Roman" w:cs="Times New Roman"/>
                <w:sz w:val="24"/>
                <w:szCs w:val="24"/>
                <w:lang w:eastAsia="lt-LT"/>
              </w:rPr>
              <w:t>1,4</w:t>
            </w:r>
          </w:p>
        </w:tc>
      </w:tr>
    </w:tbl>
    <w:p w:rsidR="00E53103" w:rsidRPr="000F5443" w:rsidRDefault="00E53103" w:rsidP="00E53103">
      <w:pPr>
        <w:ind w:left="1080"/>
        <w:contextualSpacing/>
        <w:jc w:val="both"/>
        <w:rPr>
          <w:rFonts w:ascii="Times New Roman" w:hAnsi="Times New Roman" w:cs="Times New Roman"/>
          <w:kern w:val="2"/>
          <w:sz w:val="24"/>
          <w:szCs w:val="24"/>
        </w:rPr>
      </w:pPr>
    </w:p>
    <w:p w:rsidR="00E53103" w:rsidRDefault="00E53103" w:rsidP="00E53103">
      <w:pPr>
        <w:numPr>
          <w:ilvl w:val="0"/>
          <w:numId w:val="1"/>
        </w:numPr>
        <w:contextualSpacing/>
        <w:jc w:val="both"/>
        <w:rPr>
          <w:kern w:val="2"/>
        </w:rPr>
      </w:pPr>
      <w:r w:rsidRPr="000F5443">
        <w:rPr>
          <w:rFonts w:ascii="Times New Roman" w:hAnsi="Times New Roman" w:cs="Times New Roman"/>
          <w:kern w:val="2"/>
          <w:sz w:val="24"/>
          <w:szCs w:val="24"/>
        </w:rPr>
        <w:t>Atsižvelgiant į reikalavimą kartu su pasiūlymu pateikti laboratorinių tyrimų protokolus ar atitikties dokumentus, pažymime, kad nėra aišku, kas tiksliai bus vertinama ir pagal kokius kriterijus. Kadangi perkama mobili, nestandartinė nuotekų valymo sistema, o pirkimo dokumentuose nepateikti nei atitekančių nuotekų projektiniai parametrai, nei tiksliniai išvalymo rodikliai, nėra aišku, kokiomis sąlygomis atlikti laboratoriniai tyrimai bus laikomi tinkamais ir kaip bus vertinamas jų atitikimas realioms objekto sąlygoms, jei tyrimų protokoluose bandymų prielaidos gali skirtis nuo esamos situacijos. Prašome patikslinti, kokie konkretūs tyrimų vertinimo kriterijai ir palyginimo metodika bus taikomi, arba pagrįsti, kodėl tyrimų protokolai gali būti laikomi objektyviu ir lygiaverčiu įrodymu mobiliai sistemai, kai jos veikimo sąlygos pirkime nėra apibrėžtos.</w:t>
      </w:r>
    </w:p>
    <w:p w:rsidR="00E53103" w:rsidRDefault="00E53103" w:rsidP="00E53103">
      <w:pPr>
        <w:ind w:left="720"/>
        <w:contextualSpacing/>
        <w:jc w:val="both"/>
        <w:rPr>
          <w:kern w:val="2"/>
        </w:rPr>
      </w:pPr>
      <w:r w:rsidRPr="000F5443">
        <w:rPr>
          <w:rFonts w:ascii="Times New Roman" w:hAnsi="Times New Roman" w:cs="Times New Roman"/>
          <w:kern w:val="2"/>
          <w:sz w:val="24"/>
          <w:szCs w:val="24"/>
        </w:rPr>
        <w:t>Atsakymas</w:t>
      </w:r>
      <w:r>
        <w:rPr>
          <w:kern w:val="2"/>
        </w:rPr>
        <w:t>:</w:t>
      </w:r>
    </w:p>
    <w:p w:rsidR="00E53103" w:rsidRDefault="00E53103" w:rsidP="00E53103">
      <w:pPr>
        <w:ind w:left="720"/>
        <w:contextualSpacing/>
        <w:jc w:val="both"/>
        <w:rPr>
          <w:kern w:val="2"/>
        </w:rPr>
      </w:pPr>
      <w:r w:rsidRPr="000F5443">
        <w:rPr>
          <w:rFonts w:ascii="Times New Roman" w:hAnsi="Times New Roman" w:cs="Times New Roman"/>
          <w:kern w:val="2"/>
          <w:sz w:val="24"/>
          <w:szCs w:val="24"/>
        </w:rPr>
        <w:t>Žiūrėti atsakymą į 24 klausimą.</w:t>
      </w:r>
    </w:p>
    <w:p w:rsidR="00E53103" w:rsidRPr="000F5443" w:rsidRDefault="00E53103" w:rsidP="00E53103">
      <w:pPr>
        <w:ind w:left="72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lastRenderedPageBreak/>
        <w:t>Atkreiptinas dėmesys, kad tiekėjas neprivalo teikti laboratorinių tyrimų protokolus arba EN sertifikatus, o gali pateikti arba eksploatacinių savybių deklaracijas, arba Nuotekų valymo įrenginių taikymo reglamento laikymosi deklaraciją.</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Default="00E53103" w:rsidP="00E53103">
      <w:pPr>
        <w:numPr>
          <w:ilvl w:val="0"/>
          <w:numId w:val="1"/>
        </w:numPr>
        <w:contextualSpacing/>
        <w:jc w:val="both"/>
        <w:rPr>
          <w:kern w:val="2"/>
        </w:rPr>
      </w:pPr>
      <w:r w:rsidRPr="000F5443">
        <w:rPr>
          <w:rFonts w:ascii="Times New Roman" w:hAnsi="Times New Roman" w:cs="Times New Roman"/>
          <w:kern w:val="2"/>
          <w:sz w:val="24"/>
          <w:szCs w:val="24"/>
        </w:rPr>
        <w:t>Prašome patikslinti, ar tiekėjo pasiūlyme turi būti įvertintas ir į kainą įtrauktas projektinės dokumentacijos rengimas, įskaitant technologinės dalies sprendinių parinkimo pagrindimą, hidraulinius ir taršos skaičiavimus, brėžinius, pajungimo schemas bei kitą projektinę medžiagą, reikalingą Įrangos mobilumui, montavimui ir išvalymo efektyvumui pagrįsti, ar projektinę dokumentaciją numato parengti pati perkančioji organizacija.</w:t>
      </w:r>
    </w:p>
    <w:p w:rsidR="00E53103" w:rsidRDefault="00E53103" w:rsidP="00E53103">
      <w:pPr>
        <w:ind w:left="720"/>
        <w:contextualSpacing/>
        <w:jc w:val="both"/>
        <w:rPr>
          <w:kern w:val="2"/>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72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Tiekėjo pasiūlyme turi būti įvertintas ir į kainą įtrauktas Nuotekų valymo sistemos aprašymas, techninė specifikacija, brėžiniai, įskaitant montavimui reikalingi brėžiniai, žiniaraštis.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Default="00E53103" w:rsidP="00E53103">
      <w:pPr>
        <w:numPr>
          <w:ilvl w:val="0"/>
          <w:numId w:val="1"/>
        </w:numPr>
        <w:contextualSpacing/>
        <w:jc w:val="both"/>
        <w:rPr>
          <w:kern w:val="2"/>
        </w:rPr>
      </w:pPr>
      <w:r w:rsidRPr="000F5443">
        <w:rPr>
          <w:rFonts w:ascii="Times New Roman" w:hAnsi="Times New Roman" w:cs="Times New Roman"/>
          <w:kern w:val="2"/>
          <w:sz w:val="24"/>
          <w:szCs w:val="24"/>
        </w:rPr>
        <w:t>Jei projektinės dokumentacijos rengimas turi būti įvertintas tiekėjo pasiūlyme, prašome patikslinti, kokia apimtimi ją turi rengti tiekėjas, konkrečiai nurodant, ar tiekėjas privalo parengti tik bendras pajungimo ir montavimo schemas, ar pilną techninį projektą, įskaitant technologinius, hidraulinius ir taršos apkrovos skaičiavimus, brėžinius, elektros ir automatikos dalies schemas, SCADA architektūros aprašą bei kitus dokumentus, reikalingus sistemos mobilumui, montavimui ir išvalymo efektyvumui pagrįsti.</w:t>
      </w:r>
    </w:p>
    <w:p w:rsidR="00E53103" w:rsidRDefault="00E53103" w:rsidP="00E53103">
      <w:pPr>
        <w:ind w:left="720"/>
        <w:contextualSpacing/>
        <w:jc w:val="both"/>
        <w:rPr>
          <w:kern w:val="2"/>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72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Tiekėjas privalo parengti bendrąsias pajungimo ir montavimo schemas, elektros ir automatikos dalies schemas, SCADA architektūros aprašą (pagal Užsakovo pateiktą informaciją) bei kitus dokumentus, reikalingus sistemos mobilumui ir montavimui pagrįsti. Taip pat žiūrėti atsakymą į 7 klausimą.</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Default="00E53103" w:rsidP="00E53103">
      <w:pPr>
        <w:numPr>
          <w:ilvl w:val="0"/>
          <w:numId w:val="1"/>
        </w:numPr>
        <w:contextualSpacing/>
        <w:jc w:val="both"/>
        <w:rPr>
          <w:kern w:val="2"/>
        </w:rPr>
      </w:pPr>
      <w:r w:rsidRPr="000F5443">
        <w:rPr>
          <w:rFonts w:ascii="Times New Roman" w:hAnsi="Times New Roman" w:cs="Times New Roman"/>
          <w:kern w:val="2"/>
          <w:sz w:val="24"/>
          <w:szCs w:val="24"/>
        </w:rPr>
        <w:t>Pirkimo sąlygoje nurodytas reikalavimas, kad Įrangos pristatymo, sumontavimo ir paruošimo darbui terminas turi būti ne ilgesnis kaip 4 mėnesiai nuo sutarties įsigaliojimo, tačiau pirkimas vyksta žiemos laikotarpiu, kai dėl nepalankių meteorologinių sąlygų (įšalo, sniego, žemos temperatūros, ribotų darbų lauke galimybių) montavimo ir pajungimo darbai objekto vietoje gali būti techniškai apriboti arba laikinai neįmanomi. Prašome patikslinti, ar žiemos meteosąlygos bus laikomos pateisinama priežastimi montavimo termino pratęsimui, jei taip – kokia tvarka ir kriterijais tai bus vertinama, ir ar PDD terminas gali būti koreguojamas dėl darbų sezoniškumo arba objektyviai nepalankių oro sąlygų.</w:t>
      </w:r>
    </w:p>
    <w:p w:rsidR="00E53103" w:rsidRDefault="00E53103" w:rsidP="00E53103">
      <w:pPr>
        <w:ind w:left="720"/>
        <w:contextualSpacing/>
        <w:jc w:val="both"/>
        <w:rPr>
          <w:kern w:val="2"/>
        </w:rPr>
      </w:pPr>
      <w:r w:rsidRPr="000F5443">
        <w:rPr>
          <w:rFonts w:ascii="Times New Roman" w:hAnsi="Times New Roman" w:cs="Times New Roman"/>
          <w:kern w:val="2"/>
          <w:sz w:val="24"/>
          <w:szCs w:val="24"/>
        </w:rPr>
        <w:t>Atsakymas</w:t>
      </w:r>
      <w:r>
        <w:rPr>
          <w:kern w:val="2"/>
        </w:rPr>
        <w:t xml:space="preserve">: </w:t>
      </w:r>
    </w:p>
    <w:p w:rsidR="00E53103" w:rsidRPr="000F5443" w:rsidRDefault="00E53103" w:rsidP="00E53103">
      <w:pPr>
        <w:ind w:left="72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Patikslinama, kad žiemos meteosąlygos nebus laikomos pateisinama priežastimi montavimo termino pratęsimui. PDD terminas gali būti koreguojamas dėl objektyviai nepalankių oro sąlygų.</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Default="00E53103" w:rsidP="00E53103">
      <w:pPr>
        <w:numPr>
          <w:ilvl w:val="0"/>
          <w:numId w:val="1"/>
        </w:numPr>
        <w:contextualSpacing/>
        <w:jc w:val="both"/>
        <w:rPr>
          <w:kern w:val="2"/>
        </w:rPr>
      </w:pPr>
      <w:r w:rsidRPr="000F5443">
        <w:rPr>
          <w:rFonts w:ascii="Times New Roman" w:hAnsi="Times New Roman" w:cs="Times New Roman"/>
          <w:kern w:val="2"/>
          <w:sz w:val="24"/>
          <w:szCs w:val="24"/>
        </w:rPr>
        <w:t xml:space="preserve">Vadovaujantis Nuotekų valymo įrenginių taikymo reglamento (D1-412) 27 punktu, kuriame aiškiai nustatyta, kad biologinio valymo įrenginių paleidimo-derinimo darbų trukmė negali būti ilgesnė kaip 4 mėnesiai, o dėl nepalankių oro sąlygų (kai dienos temperatūra &lt; +10 °C, o nakties &lt; 0 °C) šis laikotarpis gali būti pratęstas arba nukeltas iki 2 mėnesių, apie tai informavus užsakovą ir atsakingas institucijas, prašome patikslinti, ar teisingai suprantame, kad Įrangos paleidimo-derinimo darbų laikotarpis ir jo koregavimas dėl žiemos sezoniškumo bus vertinami ir vykdomi išimtinai pagal D1-412 reglamento 27 punkte nustatytą tvarką, nepriklausomai nuo sutartyje nurodyto bendro PDD termino, ir kad jokie kiti, papildomi ar </w:t>
      </w:r>
      <w:r w:rsidRPr="000F5443">
        <w:rPr>
          <w:rFonts w:ascii="Times New Roman" w:hAnsi="Times New Roman" w:cs="Times New Roman"/>
          <w:kern w:val="2"/>
          <w:sz w:val="24"/>
          <w:szCs w:val="24"/>
        </w:rPr>
        <w:lastRenderedPageBreak/>
        <w:t>alternatyvūs paleidimo-derinimo laikotarpio vertinimo kriterijai nebus taikomi. Prašome tai patvirtinti arba pateikti tikslų reglamentavimo pagrindimą, jei būtų numatoma kitaip.</w:t>
      </w:r>
    </w:p>
    <w:p w:rsidR="00E53103" w:rsidRDefault="00E53103" w:rsidP="00E53103">
      <w:pPr>
        <w:ind w:left="720"/>
        <w:contextualSpacing/>
        <w:jc w:val="both"/>
        <w:rPr>
          <w:kern w:val="2"/>
        </w:rPr>
      </w:pPr>
      <w:r w:rsidRPr="000F5443">
        <w:rPr>
          <w:rFonts w:ascii="Times New Roman" w:hAnsi="Times New Roman" w:cs="Times New Roman"/>
          <w:kern w:val="2"/>
          <w:sz w:val="24"/>
          <w:szCs w:val="24"/>
        </w:rPr>
        <w:t>Atsakymas</w:t>
      </w:r>
      <w:r>
        <w:rPr>
          <w:kern w:val="2"/>
        </w:rPr>
        <w:t xml:space="preserve">: </w:t>
      </w:r>
    </w:p>
    <w:p w:rsidR="00E53103" w:rsidRPr="000F5443" w:rsidRDefault="00E53103" w:rsidP="00E53103">
      <w:pPr>
        <w:ind w:left="72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Patikslinama, kad Įrangos paleidimo-derinimo darbų laikotarpis ir jo koregavimas dėl žiemos sezoniškumo bus vertinami ir vykdomi išimtinai pagal D1-412 reglamento 27 punkte nustatytą tvarką, nepriklausomai nuo sutartyje nurodyto bendro PDD termino, ir kad jokie kiti, papildomi ar alternatyvūs paleidimo-derinimo laikotarpio vertinimo kriterijai nebus taikomi.</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Default="00E53103" w:rsidP="00E53103">
      <w:pPr>
        <w:numPr>
          <w:ilvl w:val="0"/>
          <w:numId w:val="1"/>
        </w:numPr>
        <w:contextualSpacing/>
        <w:jc w:val="both"/>
        <w:rPr>
          <w:kern w:val="2"/>
        </w:rPr>
      </w:pPr>
      <w:r w:rsidRPr="000F5443">
        <w:rPr>
          <w:rFonts w:ascii="Times New Roman" w:hAnsi="Times New Roman" w:cs="Times New Roman"/>
          <w:kern w:val="2"/>
          <w:sz w:val="24"/>
          <w:szCs w:val="24"/>
        </w:rPr>
        <w:t>Atsižvelgiant į pirkimo sąlygą, kurioje nurodyta, kad Įrangos garantija pradedama skaičiuoti nuo Įrangos priėmimo-perdavimo pasirašymo dienos, pažymime, kad pirkimo dokumentuose nėra apibrėžta, kas konkrečiai bus laikoma šia data, turint omenyje, kad pirkimo objektas yra mobili, nestandartinė nuotekų valymo sistema, kuri apima ne tik fizinį Įrangos pristatymą, bet ir jos sumontavimą, pajungimą, automatikos, valdiklių ir SCADA programavimo darbus bei paleidimo-derinimo laikotarpį. Prašome patikslinti, ar „priėmimo-perdavimo pasirašymo diena“ bus laikoma Įrangos komplekto fizinio perdavimo objekto vietoje data, ar tik galutinė data, kai sistema yra pilnai sumontuota, pajungta ir technologiškai suderinta, įskaitant užbaigtus SCADA ir PLC programavimo darbus bei pasibaigusį paleidimo-derinimo laikotarpį pagal D1-412 reglamento 27 punktą. Prašome aiškiai apibrėžti šios datos nustatymo kriterijus, nes nuo jos tiesiogiai priklauso garantinio laikotarpio pradžia ir tiekėjo atsakomybių įsigaliojimo momentas.</w:t>
      </w:r>
    </w:p>
    <w:p w:rsidR="00E53103" w:rsidRDefault="00E53103" w:rsidP="00E53103">
      <w:pPr>
        <w:ind w:left="720"/>
        <w:contextualSpacing/>
        <w:jc w:val="both"/>
        <w:rPr>
          <w:kern w:val="2"/>
        </w:rPr>
      </w:pPr>
      <w:r w:rsidRPr="000F5443">
        <w:rPr>
          <w:rFonts w:ascii="Times New Roman" w:hAnsi="Times New Roman" w:cs="Times New Roman"/>
          <w:kern w:val="2"/>
          <w:sz w:val="24"/>
          <w:szCs w:val="24"/>
        </w:rPr>
        <w:t>Atsakymas</w:t>
      </w:r>
      <w:r>
        <w:rPr>
          <w:kern w:val="2"/>
        </w:rPr>
        <w:t xml:space="preserve">: </w:t>
      </w:r>
    </w:p>
    <w:p w:rsidR="00E53103" w:rsidRPr="000F5443" w:rsidRDefault="00E53103" w:rsidP="00E53103">
      <w:pPr>
        <w:ind w:left="720"/>
        <w:contextualSpacing/>
        <w:jc w:val="both"/>
        <w:rPr>
          <w:rFonts w:ascii="Times New Roman" w:hAnsi="Times New Roman" w:cs="Times New Roman"/>
          <w:kern w:val="2"/>
          <w:sz w:val="24"/>
          <w:szCs w:val="24"/>
        </w:rPr>
      </w:pPr>
      <w:r>
        <w:rPr>
          <w:kern w:val="2"/>
        </w:rPr>
        <w:t>P</w:t>
      </w:r>
      <w:r w:rsidRPr="000F5443">
        <w:rPr>
          <w:rFonts w:ascii="Times New Roman" w:hAnsi="Times New Roman" w:cs="Times New Roman"/>
          <w:kern w:val="2"/>
          <w:sz w:val="24"/>
          <w:szCs w:val="24"/>
        </w:rPr>
        <w:t>riėmimo-perdavimo pasirašymo diena bus laikoma galutinė data, kai sistema yra pilnai sumontuota, pajungta ir technologiškai suderinta, įskaitant užbaigtus SCADA ir PLC programavimo darbus.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Default="00E53103" w:rsidP="00E53103">
      <w:pPr>
        <w:numPr>
          <w:ilvl w:val="0"/>
          <w:numId w:val="1"/>
        </w:numPr>
        <w:contextualSpacing/>
        <w:jc w:val="both"/>
        <w:rPr>
          <w:kern w:val="2"/>
        </w:rPr>
      </w:pPr>
      <w:r w:rsidRPr="000F5443">
        <w:rPr>
          <w:rFonts w:ascii="Times New Roman" w:hAnsi="Times New Roman" w:cs="Times New Roman"/>
          <w:kern w:val="2"/>
          <w:sz w:val="24"/>
          <w:szCs w:val="24"/>
        </w:rPr>
        <w:t>Atsižvelgiant į 7 punkte nurodytą reikalavimą, kad tiekėjas turi savo lėšomis pajungti Įrangą prie elektros tinklų, pažymime, kad pirkimo dokumentuose nėra pateiktos elektros įvado ir maitinimo taško techninės prisijungimo sąlygos bei aiškiai apibrėžta darbų apimtis. Prašome tiksliai nurodyti Įrangos elektros prisijungimo vietą objekte ir esamas sąlygas tame taške, įskaitant bent minimalią informaciją apie įtampą, fazių skaičių, galios rezervą, Prašome pateikti aiškų apibrėžimą, kad būtų galima teisingai įvertinti elektros pajungimo sąlygas ir darbų apimtį pasiūlyme.</w:t>
      </w:r>
      <w:r>
        <w:rPr>
          <w:kern w:val="2"/>
        </w:rPr>
        <w:t xml:space="preserve"> </w:t>
      </w:r>
    </w:p>
    <w:p w:rsidR="00E53103" w:rsidRDefault="00E53103" w:rsidP="00E53103">
      <w:pPr>
        <w:ind w:left="720"/>
        <w:contextualSpacing/>
        <w:jc w:val="both"/>
        <w:rPr>
          <w:kern w:val="2"/>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72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Darbų apimtis: laikinas elektros padavimo linijos (iki 100 m) su mediniais stulpais (4,0 m.) montavimas, kabelinės linijos nutiesimas, užmaitinimas nuo esamo elektros skydo. Fazių skaičius yra 3, įtampa: 400 V, galios rezervas – pakankamas.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Default="00E53103" w:rsidP="00E53103">
      <w:pPr>
        <w:numPr>
          <w:ilvl w:val="0"/>
          <w:numId w:val="1"/>
        </w:numPr>
        <w:contextualSpacing/>
        <w:jc w:val="both"/>
        <w:rPr>
          <w:kern w:val="2"/>
        </w:rPr>
      </w:pPr>
      <w:r w:rsidRPr="000F5443">
        <w:rPr>
          <w:rFonts w:ascii="Times New Roman" w:hAnsi="Times New Roman" w:cs="Times New Roman"/>
          <w:kern w:val="2"/>
          <w:sz w:val="24"/>
          <w:szCs w:val="24"/>
        </w:rPr>
        <w:t>Atsižvelgiant į darbų apimtį ir planuojamus statinius, bei siekiant kuo tiksliau įvertinti tiekėjo atliekamų darbų apimtis, prašome pateikti inžinerinių tinklų planą, kuriame būtų pažymėti prisijungimo taškai bei statinių ar įrenginių montavimo vietos. Ši informacija būtina tam, kad tiekėjas galėtų teisingai įsivertinti darbų apimtį, medžiagų poreikį ir prisijungimo sąlygas bei pateikti tiksliai pagrįstą pasiūlymo kainą.</w:t>
      </w:r>
    </w:p>
    <w:p w:rsidR="00E53103" w:rsidRPr="000F5443" w:rsidRDefault="00E53103" w:rsidP="00E53103">
      <w:pPr>
        <w:ind w:left="72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Pateikiamas įrenginių išdėstymo planas</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noProof/>
          <w:kern w:val="2"/>
          <w:sz w:val="24"/>
          <w:szCs w:val="24"/>
          <w:lang w:eastAsia="lt-LT"/>
        </w:rPr>
        <w:lastRenderedPageBreak/>
        <w:drawing>
          <wp:inline distT="0" distB="0" distL="0" distR="0" wp14:anchorId="74A81558" wp14:editId="6F47C94D">
            <wp:extent cx="2838450" cy="3768145"/>
            <wp:effectExtent l="0" t="0" r="0" b="3810"/>
            <wp:docPr id="1" name="Picture 1" descr="Paveikslėlis, kuriame yra diagrama, tekstas, Techninis brėžinys, Planas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diagrama, tekstas, Techninis brėžinys, Planas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2103" cy="3772995"/>
                    </a:xfrm>
                    <a:prstGeom prst="rect">
                      <a:avLst/>
                    </a:prstGeom>
                    <a:noFill/>
                    <a:ln>
                      <a:noFill/>
                    </a:ln>
                  </pic:spPr>
                </pic:pic>
              </a:graphicData>
            </a:graphic>
          </wp:inline>
        </w:drawing>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Atsižvelgiant į 10.4 punkte nurodytą reikalavimą, kad darbai turi būti atliekami „nenutraukiant technologinio proceso“, pažymime, kad ši sąvoka nėra aiškiai apibrėžta ir gali būti interpretuojama skirtingai. Prašome patikslinti, kas konkrečiai šiame pirkime yra laikoma technologiniu procesu, kurio negalima nutraukti Įrangos montavimo darbų metu.</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Kadangi darbai bus atliekami iki technologinio proceso paleidimo, Techninių specifikacijų Bendrųjų reikalavimų 10.4 p. reikalavimas „... nenutraukdamas technologinio proceso ...“ yra neaktualus.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Atsižvelgiant į pirkimo sąlygoje nurodytą techninės dokumentacijos pateikimo reikalavimą, prašome patikslinti ir patvirtinti, ar šiame punkte išvardinti dokumentai (eksploatacijos instrukcijos, brėžiniai .dwg/.dwg, elektros schemos .dwg, tekstinė dalis .doc, pateikiama popieriuje, skaitmeniniu formatu ir USB/USB laikmenoje) yra pilna ir galutinė tiekėjo privaloma pateikti dokumentacijos apimtis, ir kad jokie papildomi techninės ar projektinės dokumentacijos dokumentai, nenurodyti šiame punkte, nebus reikalaujami ar vertinami kaip privalomi. Šis patvirtinimas būtinas, kad tiekėjas galėtų aiškiai įsivertinti dokumentacijos rengimo apimtį ir tinkamai suplanuoti pasiūlymą bei sutarties vykdymą.</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Žiūrėti atsakymą į 8 klausimą.</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 xml:space="preserve">Atsižvelgiant į 11.1–11.3 punktus, prašome patikslinti ir patvirtinti, ar teisingai suprantame, kad Įrangos aptarnavimo ir priežiūros paslaugos tiekėjo lėšomis teikiamos tik 6 mėnesius, kaip nurodyta 11.1 punkte, o 11.2 punkte minimas 12 mėn. laikotarpis taikomas tik medžiagų poreikio įvertinimui, bet ne pačių aptarnavimo darbų trukmei. Taip pat prašome aiškiai nurodyti, ar aptarnavimo periodiškumo reikalavimas (1 kartą kas 3 mėn.) turi būti skaičiuojamas pagal 6 mėn. aptarnavimo laikotarpį, ar pagal 12 mėn. medžiagų įskaičiavimo </w:t>
      </w:r>
      <w:r w:rsidRPr="000F5443">
        <w:rPr>
          <w:rFonts w:ascii="Times New Roman" w:hAnsi="Times New Roman" w:cs="Times New Roman"/>
          <w:kern w:val="2"/>
          <w:sz w:val="24"/>
          <w:szCs w:val="24"/>
        </w:rPr>
        <w:lastRenderedPageBreak/>
        <w:t>laikotarpį, nes šiuo metu punktai tarpusavyje prieštarauja ir neleidžia objektyviai įsivertinti tiekėjo atsakomybių apimties ir kaštų. Prašome patvirtinti tikslią taikomą tvarką, kad tiekėjo pasiūlymas būtų rengiamas be dviprasmybių ir neatitikimų.</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Įrangos aptarnavimo ir priežiūros paslaugos tiekėjo lėšomis teikiamos tik 6 mėnesius, kaip nurodyta 11.1 punkte, o 11.2 punkte minimas 12 mėn. laikotarpis taikomas tik medžiagų poreikio įvertinimui, bet ne pačių aptarnavimo darbų trukmei. Aptarnavimo periodiškumo reikalavimas (1 kartą kas 3 mėn.) turi būti skaičiuojamas pagal 6 mėn. aptarnavimo laikotarpį, t. y. turi būti atlikti mažiausiai 2 aptarnavimai per 6 mėn. laikotarpį.</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Atsižvelgiant į 12 punkte nurodytą reikalavimą pateikti Įrangos gamintojo įgaliojimą arba galiojančią aptarnavimo sutartį su kitu ūkio subjektu, pažymime, kad jei pats Tiekėjas pirkimo vykdymo metu dar neturi sudarytos sutarties su įrangos gamintoju ir nėra siūlomos Įrangos gamintojas, yra objektyviai neįmanoma turėti ir pateikti įgaliojimo dokumento, nes gamintojas įgaliojimą išduoda konkrečiam ūkio subjektui, su kuriuo yra realus teisinis ar komercinis ryšys. Taip pat pažymime, kad tiekėjas, dalyvaudamas pirkime, nėra tikras, kad jį laimės, todėl reikalauti, kad jis pirkimo etape savo lėšomis sudarytų aptarnavimo ar įgaliojimų sutartis, investuotų į įforminimus ar komercinius susitarimus, kurių gali niekada nepanaudoti dėl pralaimėto pirkimo, nėra nei logiška, nei ekonomiškai racionalu, nei atitinka proporcingumo principą. Tokios sutartys ar įgaliojimai yra prasmingi tik po pirkimo laimėjimo, kai atsiranda realus poreikis ir teisinis pagrindas jų sudarymui. Prašome pagrįsti, kokiu teisiniu ir projektiniu pagrindu šis reikalavimas laikomas proporcingu ir įgyvendinamu pirkimo etape, arba patikslinti, ar šis reikalavimas gali būti taikomas tik pirkimą laimėjusiam tiekėjui, o ne visiems pirkimo dalyviams, nes šiuo metu jis neatitinka nei racionalios rinkos praktikos, nei objektyvaus įgyvendinimo galimybės principų.</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Patikslinama, kad Techninės specifikacijos Bendrųjų reikalavimų 12 p. reikalavimas gali būti taikomas tik pirkimą laimėjusiam tiekėjui, o ne visiems pirkimo dalyviams.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Atsižvelgiant į 12 punkto reikalavimą pateikti dokumentus, įrodančius tiekėjo teisę aptarnauti Įrangą, norime pasitikslinti, ar perkančioji organizacija laikytų pakankamu įrodymu pirkimo etape pateiktą Įrangos gamintojo arba aptarnavimo partnerio ketinimų protokolą, kuris patvirtintų, kad konkursą laimėjus tiekėjui, gamintojas ar partneris įsipareigoja suteikti įgaliojimą arba sudaryti aptarnavimo sutartį. Prašome patvirtinti, ar ketinimų protokolas gali būti laikomas lygiaverčiu dokumentu pirkimo dalyvių kvalifikacijai pagrįsti šiame etape, arba aiškiai nurodyti, kokia alternatyvi įrodymo forma būtų priimtina, jei ketinimų protokolas nebūtų tinkamas.</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Pasitikslinama, kad perkančioji organizacija laikytų pakankamu įrodymu pirkimo etape pateiktą Įrangos gamintojo arba aptarnavimo partnerio ketinimų protokolą, kuris patvirtintų, kad konkursą laimėjus tiekėjui, gamintojas ar partneris įsipareigoja suteikti įgaliojimą arba sudaryti aptarnavimo sutartį. Patvirtinama, kad ketinimų protokolas gali būti laikomas lygiaverčiu dokumentu pirkimo dalyvių kvalifikacijai pagrįsti šiame etape.</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 xml:space="preserve">Pirkimo sąlygoje nurodyta sąvoka „nuotekų biologinio valymo įrenginio korpusas – 1 vnt.“, tačiau pažymime, kad pats korpusas nėra valymo įrenginys, nes biologinio nuotekų valymo įrenginį sudaro technologinių sprendinių visuma, įskaitant valymo proceso zonas, hidrauliką, </w:t>
      </w:r>
      <w:r w:rsidRPr="000F5443">
        <w:rPr>
          <w:rFonts w:ascii="Times New Roman" w:hAnsi="Times New Roman" w:cs="Times New Roman"/>
          <w:kern w:val="2"/>
          <w:sz w:val="24"/>
          <w:szCs w:val="24"/>
        </w:rPr>
        <w:lastRenderedPageBreak/>
        <w:t>aeraciją, matavimus, automatiką ir kitus funkcinius elementus, kurie kartu užtikrina išvalymo efektyvumą. Prašome patikslinti, ar galime „korpusą“ šiame pirkime vertinti kaip baigtinį produktą su pilnai integruotais ir užbaigtais technologiniais sprendiniais, t. y. ne tik fizinę talpą, bet visą valymo įrenginio technologinį modulį, kuris laikomas galutiniu, pripažinimui tinkamu naudoti ir garantijai taikyti, ar „korpusas“ bus vertinamas tik kaip atskira, neužbaigta fizinė dalis. Prašome aiškiai patvirtinti, kokia interpretacija bus laikoma teisinga, kad būtų išvengta dviprasmybių vertinant pasiūlymus.</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Korpusas yra vienas iš nuotekų valymo sistemos elementų. Reikalavimai korpusui pateikti Techninės specifikacijos Specialiųjų reikalavimų 1 p., pagal kuriuos ir bus vertinamas jo atitikimas reikalavimams.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Pirkimo sąlygoje nurodyta, kad korpuso skersmuo turi būti ne mažesnis kaip 2400 mm ir ne didesnis kaip 3500 mm, o ilgis, ne daugiau kaip 5000 mm, tačiau nėra pateiktas techninis ar projektinis pagrindimas, kuriuo remiantis nustatyti būtent šie matmenys. Prašome patikslinti, kokiu pagrindu nurodyti šie konkretūs gabaritų parametrai, ar jie nustatyti pagal objekto montavimo vietos apribojimus, technologinius skaičiavimus ar kitus norminius dokumentus. Jei matmenys nėra pagrįsti privalomomis techninėmis sąlygomis, prašome paaiškinti, ar gali būti priimtini ir kitokių proporcijų technologiniai moduliai, kurie atitinka valymo efektyvumo ir mobilumo reikalavimus, bet nepatenka į nurodytas matmenų ribas, nes be aiškaus pagrindimo ši sąlyga gali būti laikoma ribojančia konkurenciją ir neproporcinga pirkimo objektui. Prašome pateikti tikslią informaciją arba patvirtinti, kad leidžiami alternatyvūs matmenų sprendimai, jei jie techniškai pagrįsti ir atitinka funkcinius reikalavimus.</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Korpuso matmenų ribos nustatytos pagal objekto montavimo vietos apribojimus. Gelžbetoninės duobės matmenys, kurioje turės būti sumontuotas korpusas, pateikti Techninės specifikacijos Specialiųjų reikalavimų 1.3 p. Leidžiami alternatyvūs matmenų sprendimai, jei jie neviršija gelžbetoninės duobės matmenų ir korpusą bus galimybė pajungti prie nuotekų tiekimo ir šalinimo taškų.</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Sąlyga „korpuso medžiaga – stiklo plastas ar analogiška“ yra neapibrėžta, todėl prašome patikslinti, kas perkančiosios organizacijos bus laikoma analogiška medžiaga, ir pagal kokius kriterijus tai bus vertinama (mechaninis atsparumas, cheminis atsparumas, UV, ilgaamžiškumas, sandarumas ar kt.). Prašome taip pat patvirtinti, ar polipropilenas (PP), kaip chemiškai atspari, suvirinama ir sandari termoplastinė medžiaga, naudojama nuotekų įrenginių gamyboje, būtų laikomas analogišku/lygiaverčiu sprendimu stiklo plastui pagal šio pirkimo reikalavimus, ar jis nelaikomas analogiška medžiaga.</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Patvirtinama, kad polipropilenas (PP), kaip chemiškai atspari, suvirinama ir sandari termoplastinė medžiaga, naudojama nuotekų įrenginių gamyboje, būtų laikomas analogišku/lygiaverčiu sprendimu stiklo plastui. Korpusas gali būti pagamintas iš UV spinduliams atsparios medžiagos arba gali būti apsaugotas kitomis priemonėmis, jei toks poreikis būtų.</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 xml:space="preserve">Atsižvelgiant į pirkimo sąlygą, kurioje nurodyta, kad Įranga turi būti montuojama esamoje gelžbetoninėje duobėje, prašome patikslinti, ar teisingai suprantame, kad pagrindinė ir pirkime taikoma ribojanti techninė sąlyga valymo įrenginio gabaritams yra esamas </w:t>
      </w:r>
      <w:r w:rsidRPr="000F5443">
        <w:rPr>
          <w:rFonts w:ascii="Times New Roman" w:hAnsi="Times New Roman" w:cs="Times New Roman"/>
          <w:kern w:val="2"/>
          <w:sz w:val="24"/>
          <w:szCs w:val="24"/>
        </w:rPr>
        <w:lastRenderedPageBreak/>
        <w:t>gelžbetoninis rezervuaras, kuriame turi būti sumontuotas įrenginys, ir kad šio rezervuaro vidiniai matmenys, į kuriuos privalo tilpti Įranga, yra 6 m x 4 m x 2,5 m. Prašome patvirtinti, ar ši interpretacija yra teisinga.</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Patikslinama, kad pagrindinė ir pirkime taikoma ribojanti techninė sąlyga valymo įrenginio gabaritams yra esamas gelžbetoninis rezervuaras, kuriame turi būti sumontuotas įrenginys bei užtikrintas jo pajungimas prie nuotekų tiekimo ir šalinimo taškų, ir kad šio rezervuaro vidiniai matmenys yra 6 m x 4 m x 2,5 m.</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Atsižvelgiant į pirkimo sąlygą, kad Įrangos korpusas bus montuojamas gelžbetoninėje duobėje ir nebus užpilamas gruntu iš išorės, prašome patikslinti, ar tiekėjo pasiūlyme turi būti numatytos priemonės Įrangos apsaugai nuo užšalimo rizikos. Jei taip, prašome aiškiai nurodyti, kokios eksploatacinės sąlygos bus laikomos ribinėmis, prie kurių sistema negali užšalti (pvz., minimali leistina aplinkos temperatūra), bei kokios apsaugos priemonės būtų priimtinos perkančiajai organizacijai (pvz., šildymo kabeliai, šilumos izoliacija, vidinis techninis šildymas). Prašome įvardinti ir patvirtinti, kokie konkretūs sprendiniai būtų laikomi lygiaverčiais ir tinkamais, kad tiekėjas galėtų tai įsivertinti pasiūlyme be dviprasmybių.</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Tiekėjo pasiūlyme turi būti numatytos priemonės Įrangos apsaugai nuo užšalimo rizikos. Aplinkos temperatūra: –20°C...+40°C. Apsaugos nuo užšalimo priemones tiekėjas gali pasirinkti pats.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Atsižvelgiant į tai, kad pirkimo dokumentuose detalizuotai nurodyti konkretūs kamerų tūriai, zonų sekos ir konstrukciniai sprendimai, tačiau tuo pačiu įtrauktos sąlygos „arba lygiavertis“ bei reikalavimas užtikrinti galutinius išvalymo rodiklius (azoto ir fosforo šalinimą pagal teisės aktų ribas), norime atkreipti dėmesį, kad tiekėjas, dalyvaudamas pirkime, bus atsakingas už sistemos technologinį veikimą ir išvalymo efektyvumą, o ne tik už fizinio korpuso gabaritus ar fiksuotus kamerų tūrius. Kadangi biogeninių medžiagų šalinimo reikalavimai priklauso nuo konkrečių projektinių nuotekų apkrovų, o kiekvienas gamintojas gali turėti kitokias technologinių zonų proporcijas ir vidinius tūrius, prašome patikslinti, ar bus laikoma, kad tiekėjas gali pasiūlyti kitokių tūrių ar funkcinių zonų sprendinius, jei jie techniškai pagrįsti ir užtikrina reikalaujamus išvalymo rodiklius. Jei tokie alternatyvūs technologiniai sprendimai nebūtų priimtini, prašome paaiškinti, kaip tai derėtų su „lygiavertiškumo“ principu ir tiekėjo atsakomybe už galutinį išvalymą, nes šiuo metu pateiktas fiksuotų kamerų tūrių reikalavimas ribotų tiekėjo galimybę parinkti technologiškai optimalų sprendimą, nors tiekėjas vis tiek turėtų prisiimti atsakomybę už išvalymo rezultatus. Prašome aiškiai pagrįsti, kokiu principu bus vertinamas atitikimas: pagal fiksuotus vidinius tūrius, ar pagal realų sistemos gebėjimą pasiekti reikalaujamą išvalymą, nes abu kriterijai vienu metu negali būti laikomi lygiaverčiais ir logiškai suderintais.</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 xml:space="preserve">Nuotekų valymo sistema perkama mokslinių tyrimų tikslu. Techninės specifikacijos 14 p. pateiktas reikalavimas „Nuotekų valymo įranga turi užtikrinti azoto ir fosforo šalinimą iki LR ir ES teisės aktuose nustatytų ribų.“, kaip matyti iš reikalaujamų pateikti dokumentų, pvz., „Kartu su pasiūlymu tiekėjas pateikia ... arba eksploatacinių savybių deklaracijas, arba Nuotekų valymo įrenginių taikymo reglamento laikymosi deklaraciją.“, yra deklaratyvaus pobūdžio ir nereikalauja, kad tiekėjas būtų atsakingas už sistemos technologinį veikimą bei konkrečius galutinius išvalymo rodiklius. Kadangi tiekėjas </w:t>
      </w:r>
      <w:r w:rsidRPr="000F5443">
        <w:rPr>
          <w:rFonts w:ascii="Times New Roman" w:hAnsi="Times New Roman" w:cs="Times New Roman"/>
          <w:kern w:val="2"/>
          <w:sz w:val="24"/>
          <w:szCs w:val="24"/>
        </w:rPr>
        <w:lastRenderedPageBreak/>
        <w:t>nebus atsakingas už konkrečius galutinius išvalymo rodiklius, technologiniai skaičiavimai atlikti iki konkurso pagal DWA-A 131 standartą, o techninėje specifikacijoje pateikti minimalūs kamerų tūriai, zonų sekos ir konstrukciniai sprendimai. Atitikimas bus vertinamas pagal Techninės specifikacijos reikalavimus.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spacing w:before="100" w:beforeAutospacing="1" w:after="100" w:afterAutospacing="1" w:line="240" w:lineRule="auto"/>
        <w:jc w:val="both"/>
        <w:rPr>
          <w:rFonts w:ascii="Times New Roman" w:hAnsi="Times New Roman" w:cs="Times New Roman"/>
          <w:kern w:val="2"/>
          <w:sz w:val="24"/>
          <w:szCs w:val="24"/>
        </w:rPr>
      </w:pPr>
      <w:r w:rsidRPr="000F5443">
        <w:rPr>
          <w:rFonts w:ascii="Times New Roman" w:hAnsi="Times New Roman" w:cs="Times New Roman"/>
          <w:kern w:val="2"/>
          <w:sz w:val="24"/>
          <w:szCs w:val="24"/>
        </w:rPr>
        <w:t xml:space="preserve">Atsižvelgiant į tai, kad pirkimo dokumentuose yra fiksuojami konkretūs kamerų tūriai ir zonų sprendiniai, tačiau nėra pateikti objektyvūs projektiniai nuotekų įvesties parametrai, pagal kuriuos tokie tūriai būtų technologiškai pagrįsti, prašome patikslinti, ar perkančioji organizacija vertins tiekėjo pateiktus technologinius skaičiavimus (pvz., pagal ATV-DVWK-A 131E arba kitus pripažintus inžinerinius standartus) kaip priimtiną lygiavertiškumo įrodymą, kai siūlomi alternatyvūs tūriai ir funkcinių zonų proporcijos, kurie pagrįstai užtikrina reikalaujamus išvalymo rodiklius. Tokios praktikos taikymas būtų suderinamas su Viešųjų pirkimų įstatymo geraisiais principais (lygiateisiškumo, nediskriminavimo ir proporcingumo), nes funkciniai reikalavimai (reikalaujamas išvalymo efektyvumas) yra svarbesni už </w:t>
      </w:r>
      <w:r w:rsidRPr="000F5443">
        <w:rPr>
          <w:rFonts w:ascii="Times New Roman" w:hAnsi="Times New Roman" w:cs="Times New Roman"/>
          <w:i/>
          <w:iCs/>
          <w:kern w:val="2"/>
          <w:sz w:val="24"/>
          <w:szCs w:val="24"/>
        </w:rPr>
        <w:t>fiksuotus techninius parametrus</w:t>
      </w:r>
      <w:r w:rsidRPr="000F5443">
        <w:rPr>
          <w:rFonts w:ascii="Times New Roman" w:hAnsi="Times New Roman" w:cs="Times New Roman"/>
          <w:kern w:val="2"/>
          <w:sz w:val="24"/>
          <w:szCs w:val="24"/>
        </w:rPr>
        <w:t>, kurie be objektyvios techninės priežasties gali neteisingai riboti konkurenciją. Prašome patvirtinti, ar tiekėjo pateikti tokie technologiniai skaičiavimai bus laikomi tinkamu įrodymu siūlomo sprendimo atitikčiai vertinti.</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Žiūrėti atsakymą į 24 klausimą. Atkreiptinas dėmesys, kad pateikti ne fiksuoti techniniai parametrai, o minimalūs techniniai parametrai.</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Atsižvelgiant į tai, kad pirkime nurodytas 3 landų skaičius ir konkretūs skersmenys yra gamintojo technologinių sprendimų dalis, pažymime, kad toks fiksavimas gali riboti konkurenciją mobiliai, nestandartinei sistemai. Vadovaujantis VPĮ 17 str. ir 37 str., tiekėjas turi teisę siūlyti lygiaverčius sprendinius, jei jie užtikrina funkciją, o esminis tikslas turi būti aptarnavimo prieigos užtikrinimas, o ne konkretus landų skaičius ar jų forma. Prašome patikslinti ir patvirtinti, kad tiekėjas neprivalo pateikti būtent 3 atskirų landų su nurodytais skersmenimis, ir kad bus laikoma atitiktimi, jei pilnas ir saugus priėjimas prie visų vidinių valymo zonų užtikrinamas tiksliai pagal siūlomos Įrangos technologiją ir gamintojo aptarnavimo instrukcijas, ir ne kitaip. Prašome tai patvirtinti aiškiai, kad būtų išvengta konkurencijos ribojimo ir interpretacijų.</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Techninėje specifikacijoje nurodytas ne konkretus, o minimalus tiek landų skaičius, tiek minimalūs landų matmenys. Tiekėjas gali siūlyti ne mažesnį kaip techninėje specifikacijoje nurodytą landų skaičių, kurių išmatavimai, įskaitant paviršiaus plotą, turi būti ne mažesni nei nurodyti techninėje specifikacijoje. Tiekėjas gali siūlyti lygiaverčius sprendinius.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Nurodytas reikalavimas dėl DN 160 vamzdžių ir 4 m ilgio nuotekų surinkimo sistemos gali riboti konkurenciją, nes vamzdžių skersmuo ir konstrukciniai sprendimai priklauso nuo konkretaus Įrangos gamintojo technologijos. Vadovaujantis VPĮ 17 str. ir 37 str., prašome patikslinti, ar bus laikoma atitiktimi, jei tiekėjas užtikrina funkcinį rezultatą – nuo dumblo atskirtų nuotekų surinkimo sistemos įrengimą antriniame nusodintuve, nepriklausomai nuo vamzdžių skersmens ar ilgio, jei sistema yra techniškai pagrįsta ir atlieka tą pačią funkciją. Prašome patvirtinti, kad esminis vertinimo kriterijus yra funkcijos užtikrinimas, o ne fiksuotas DN 160 matmuo.</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lastRenderedPageBreak/>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Patikslinama, kad bus laikoma atitiktimi, jei tiekėjas užtikrina funkcinį rezultatą – nuo dumblo atskirtų nuotekų surinkimo sistemos įrengimą antriniame nusodintuve, nepriklausomai nuo vamzdžių skersmens ar ilgio, jei sistema yra techniškai pagrįsta ir atlieka tą pačią funkciją.</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Reikalavimas dėl įtekėjimo aukščio (≤ 500 mm nuo dugno) yra konstrukcinis ir priklauso nuo konkretaus Įrangos gamintojo technologinių sprendimų bei mobilios sistemos vidinės hidraulikos. Prašome patikslinti, ar bus laikoma atitiktimi, jei tiekėjas užtikrina technologiškai pagrįstą įtekėjimą į nusodintuvą tokiame gylyje, koks būtinas efektyviam nusodinimui, net jei jis neatitinka tiksliai 500 mm ribos, bet yra pagrįstas skaičiavimais ir atlieka tą pačią funkciją. Prašome patvirtinti, kad esminis kriterijus yra nusodinimo funkcijos užtikrinimas, o ne fiksuotas 500 mm matmuo.</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Patikslinama, kad bus laikoma atitiktimi, jei tiekėjas užtikrina technologiškai pagrįstą įtekėjimą į nusodintuvą tokiame gylyje, koks būtinas efektyviam nusodinimui, net jei jis neatitinka tiksliai 500 mm ribos, bet yra pagrįstas skaičiavimais ir atlieka tą pačią funkciją. Atkreiptinas dėmesys, kad techninėje specifikacijoje pateiktas ne fiksuotas 500 mm matmuo.</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Reikalavimas numatyti priėjimo priemones prie korpuso landų nėra aiškus, nes neapibrėžta, nuo kurios vietos turi būti užtikrinta prieiga. Prašome patikslinti, ar priėjimas turi būti vertinamas nuo žemės paviršiaus, duobės krašto, aptarnavimo aikštelės ar kito taško.</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Priėjimas turi būti vertinamas nuo gelžbetoninės duobės krašto.</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Reikalavimas, kad vamzdinių aeratorių naudingas ilgis būtų ne mažesnis kaip 6 m, gali būti ribojantis, nes aeracijos sprendiniai ir jų parametrai priklauso nuo gamintojo technologijos ir sistemos projektinės apkrovos. Vadovaujantis VPĮ 17 str. ir 37 str., prašome patikslinti, ar bus laikoma atitiktimi, jei tiekėjas užtikrina lygiavertį aeracijos efektyvumą, pagrįstą technologiniais skaičiavimais, net jei bendras aeratorių ilgis nėra tiksliai 6 m, bet atlieka tą pačią funkciją. Prašome patvirtinti, kad esminis vertinimo kriterijus yra aeracijos funkcijos ir našumo užtikrinimas, o ne fiksuotas 6 m ilgis.</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Žiūrėti atsakymą į 34 klausimą. Vienam aeratoriaus tiesiniam metrui turi tekti ne daugiau kaip 18 / 6 = 3 N m</w:t>
      </w:r>
      <w:r w:rsidRPr="000F5443">
        <w:rPr>
          <w:rFonts w:ascii="Times New Roman" w:hAnsi="Times New Roman" w:cs="Times New Roman"/>
          <w:kern w:val="2"/>
          <w:sz w:val="24"/>
          <w:szCs w:val="24"/>
          <w:vertAlign w:val="superscript"/>
        </w:rPr>
        <w:t>3</w:t>
      </w:r>
      <w:r w:rsidRPr="000F5443">
        <w:rPr>
          <w:rFonts w:ascii="Times New Roman" w:hAnsi="Times New Roman" w:cs="Times New Roman"/>
          <w:kern w:val="2"/>
          <w:sz w:val="24"/>
          <w:szCs w:val="24"/>
        </w:rPr>
        <w:t>/h.</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Reikalavimas „DN 19“ gali būti ribojantis, nes oro tiekimo žarnų parinkimas turi būti pagrįstas reikiamu oro srautu ir darbiniu slėgiu, o ne tik fiksuotu nominaliu skersmeniu. Vadovaujantis VPĮ 17 str. ir 37 str., prašome patikslinti, ar bus laikoma atitiktimi, jei tiekėjas parinks kitą lygiavertį žarnos skersmenį, kuris technologiškai pagrįstas ir užtikrina reikiamą oro srautą bei slėgio atsparumą pagal gamintojo sprendinius. Prašome patvirtinti, kad esminis vertinimo kriterijus yra oro srauto ir slėgio funkcijos užtikrinimas, o ne konkretus DN 19 matmuo.</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lastRenderedPageBreak/>
        <w:t xml:space="preserve">Patikslinama, kad bus laikoma atitiktimi, jei tiekėjas parinks kitą lygiavertį žarnos skersmenį, kuris technologiškai pagrįstas ir užtikrina reikiamą oro srautą bei slėgio atsparumą pagal gamintojo sprendinius. Techninės specifikacijos Specialiųjų reikalavimų 2.3 p. ir nurodyta, kad „Pajungimo žarnos skersmuo – </w:t>
      </w:r>
      <w:r w:rsidRPr="000F5443">
        <w:rPr>
          <w:rFonts w:ascii="Times New Roman" w:hAnsi="Times New Roman" w:cs="Times New Roman"/>
          <w:b/>
          <w:bCs/>
          <w:kern w:val="2"/>
          <w:sz w:val="24"/>
          <w:szCs w:val="24"/>
        </w:rPr>
        <w:t>ne mažiau kaip</w:t>
      </w:r>
      <w:r w:rsidRPr="000F5443">
        <w:rPr>
          <w:rFonts w:ascii="Times New Roman" w:hAnsi="Times New Roman" w:cs="Times New Roman"/>
          <w:kern w:val="2"/>
          <w:sz w:val="24"/>
          <w:szCs w:val="24"/>
        </w:rPr>
        <w:t xml:space="preserve"> DN 19. Žarna turi būti parinkta taip, kad būtų tinkama praleisti reikiamą oro srautą esant maksimaliam slėgiui.“.</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Prašome patikslinti, ar tiekėjas gali vietoje oro pajungimo žarnų siūlyti patvaresnius slėginius vamzdynų sprendimus, pvz., PP-R vamzdynus, atitinkančius reikiamą slėgio klasę ir užtikrinančius sandarumą, oro srauto pralaidumą bei atsparumą darbiniam slėgiui.</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Patikslinama, kad tiekėjas gali vietoje oro pajungimo žarnų siūlyti patvaresnius slėginius vamzdynų sprendimus, pvz., PP-R vamzdynus, atitinkančius reikiamą slėgio klasę ir užtikrinančius sandarumą, oro srauto pralaidumą bei atsparumą darbiniam slėgiui.</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 xml:space="preserve">Reikalavimas dėl dėžės minimalių matmenų gali būti ribojantis, nes orapūčių modulio konstrukcija ir gabaritai priklauso nuo gamintojo techninių sprendimų ir integruotos įrangos konfigūracijos. Vadovaujantis VPĮ 17 str. ir 37 str., prašome patikslinti, ar bus laikoma atitiktimi, jei tiekėjas pasiūlys kitokių matmenų, bet funkcine prasme lygiavertį orapūčių įrangos bloką, kuriame užtikrinamas orapūčių, kolektorių ir debito apskaitos mazgo sumontavimas, aptarnavimo prieiga, oro pralaidumas ir slėgio klasė. Prašome patvirtinti, kad esminis vertinimo kriterijus yra funkcijos ir įrangos veikimo užtikrinimas, o ne tikslūs minimalūs dėžės matmenys. </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Techninėje specifikacijoje nurodyti ne tikslūs dėžės matmenys, o minimalūs dėžės matmenys, kurie yra vienas iš vertinimo kriterijų. Patikslinama, kad bus laikoma atitiktimi, jei tiekėjas pasiūlys kitokių, Techninės specifikacijos reikalavimus atitinkančių matmenų, bet funkcine prasme lygiavertį orapūčių įrangos bloką, kuriame užtikrinamas orapūčių, kolektorių ir debito apskaitos mazgo sumontavimas, aptarnavimo prieiga, oro pralaidumas ir slėgio klasė.</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Reikalavimas dėl 18 N m³/h našumo prie 25 kPa slėgio gali būti ribojantis, nes orapūčių parinkimas turi būti pagrįstas realiais sistemos poreikiais ir technologiniais skaičiavimais, o ne tik fiksuotu vienos orapūtės parametru. Prašome patikslinti, ar bus laikoma atitiktimi, jei tiekėjas pasiūlys kitokio našumo orapūtę ar jų kombinaciją, kuri techniškai pagrįsta ir užtikrina reikiamą aeracijos funkciją, turint darbinę ir rezervinę orapūtę. Prašome patvirtinti, kad esminis kriterijus yra aeracijos funkcijos, o ne būtent 18 N m³/h riba.</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Nuotekų valymo sistema perkama mokslinių tyrimų tikslu. Dėl gelžbetoninės duobės išmatavimų, apribojančio įrenginio korpuso aukštį, didesnis nei 25 kPa slėgis nebus reikalingas. Tiekėjas nebus atsakingas už konkrečius galutinius išvalymo rodiklius, todėl oro poreikio skaičiavimai atlikti iki konkurso pagal DWA-M 229-1 standartą, o techninėje specifikacijoje pateiktas minimalus vienos orapūtės našumas. Atitikimas bus vertinamas pagal Techninės specifikacijos reikalavimus.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 xml:space="preserve">Reikalavimas, kad kolektorius orą skirstytų būtent į mažiausiai 4 žarnas/aeratorius, gali riboti konkurenciją, nes aeratorių kiekis ir jų prijungimo schema yra gamintojo technologinio </w:t>
      </w:r>
      <w:r w:rsidRPr="000F5443">
        <w:rPr>
          <w:rFonts w:ascii="Times New Roman" w:hAnsi="Times New Roman" w:cs="Times New Roman"/>
          <w:kern w:val="2"/>
          <w:sz w:val="24"/>
          <w:szCs w:val="24"/>
        </w:rPr>
        <w:lastRenderedPageBreak/>
        <w:t>sprendimo dalis ir priklauso nuo realių sistemos poreikių. Pagal VPĮ 17 str.  ir 37 str., prašome patikslinti, ar bus laikoma atitiktimi, jei tiekėjas pasiūlys kitokį aeratorių kiekį (pvz., 1 arba 8), jei tai techniškai pagrįsta ir užtikrina aeracijos funkciją bei oro paskirstymą. Prašome patvirtinti, kad vertinama oro paskirstymo funkcija irpaskirstymas, o ne konkretus aeratorių skaičius.</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Pagal Techninės specifikacijos Specialiųjų reikalavimų 3.6 p. minimalus aeratorių skaičius turi būti 4 vnt., nes aeracijos sistemos paskirtis yra ne tik ištirpinti reikiamą deguonies kiekį, bet ir užtikrinti nuotekų ir veikliojo dumblo palaikymą skendinčioje būsenoje.</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Manome, kad reikalavimas naudoti būtent AISI 304 plieną (kolektoriui) yra perteklinis, nes kolektoriaus medžiaga turi būti parenkama pagal realias darbines sąlygas – slėgio ir temperatūros klases bei sandarumą, o ne fiksuotą medžiagos tipą. Prašome patikslinti ir patvirtinti, kad plastikiniai slėginiai sprendimai, tokie kaip PP-R, atitinkantys reikiamas PN ir temperatūrų klases, bus laikomi lygiaverte ir priimtina analogiška medžiaga, jei jie užtikrina funkciją ir sandarumą.</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Patvirtinama, kad plastikiniai slėginiai sprendimai, tokie kaip PP-R, atitinkantys reikiamas PN ir temperatūrų klases, bus laikomi lygiaverte ir priimtina analogiška medžiaga, jei jie užtikrina funkciją ir sandarumą.</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Prašome patikslinti, ar orapūčių dėžei turi būti numatyti vėdinimo sprendiniai, siekiant užtikrinti saugias eksploatavimo sąlygas. Jei vėdinimas yra privalomas, prašome įvardinti, kokie vėdinimo tipai būtų priimtini: natūralus, priverstinis ar kombinuotas (natūralus + priverstinis kartu).</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Orapūčių dėžei turi būti numatyti vėdinimo sprendiniai, siekiant užtikrinti saugias eksploatavimo sąlygas. Visi vėdinimo tipai yra priimtini.</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Reikalaujama, kad kolektoriuje būtų sumontuotas elektrifikuotas ventilius, tačiau pirkimo dokumentuose nėra apibrėžti techniniai reikalavimai ventilio valdymui ir integracijai. Prašome tiksliai pateikti ventilio valdymo algoritmą, valdymo sąsajos tipą ir grįžtamojo ryšio poreikį, nes pagal tai bus vertinama programavimo darbų apimtis.</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Techninės specifikacijos Specialiųjų reikalavimų 3.8 p. nurodyta: „Oro srautui į aeratorių mazgą reguliuoti kolektoriuje turi būti sumontuotas elektrifikuotas ventilis.“. Orapūtės našumui valdyti yra numatytas dažinio keitiklis. Jei bus reikalingas mažesnis oro poreikis, kai orapūtė dirbs prie minimalaus dažnio, tokiu atveju oro srautui į aeratorių mazgą reguliuoti bus naudojamas elektrifikuotas ventilis. Ventilio valdymas turi būti susietas su ištirpusio deguonies sensoriaus ir amonio azoto analizatoriaus parodymais.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Jei tiekėjo siūlomai Įrangai konstrukciškai nereikia sklendės, o oro srauto valdymas yra užtikrinamas kitais technologiškai pagrįstais būdais pagal gamintojo sprendinius, prašome patikslinti, ar tiekėjas gali nenumatyti elektrifikuoto ventilio?</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lastRenderedPageBreak/>
        <w:t>Elektrifikuotas ventilis turi būti numatytas. Žiūrėti atsakymą į 38 klausimą.</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Kadangi anaerobinio ir denitrifikacijos dumblo mišinio skendinčiai būsenai palaikyti praktikoje naudojami ir kiti technologiniai sprendimai (pvz., vandenkeliai ar vertikalaus srauto labirintas), prašome patikslinti, ar tiekėjas gali siūlyti kitas technologiškai pagrįstas priemones, jei jos užtikrina tolygų mišinio judėjimą ir skendinčios būsenos palaikymo funkciją pagal gamintojo technologiją.</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 xml:space="preserve">Nuotekų valymo sistema perkama mokslinių tyrimų tikslu. Anaerobinėje ir denitrifikacijos talpoje neturi būti deguonies, todėl erliftai negali būti siūlomi kaip kitas technologinis sprendinys. Esant minimaliam debitui, vertikalaus srauto labirintas gali neužtikrinti </w:t>
      </w:r>
      <w:r w:rsidRPr="000F5443">
        <w:rPr>
          <w:rFonts w:ascii="Times New Roman" w:hAnsi="Times New Roman" w:cs="Times New Roman"/>
          <w:bCs/>
          <w:kern w:val="2"/>
          <w:sz w:val="24"/>
          <w:szCs w:val="24"/>
        </w:rPr>
        <w:t xml:space="preserve">nuotekų ir veikliojo dumblo mišinio palaikymo skendinčioje būsenoje, todėl pastarasis sprendinys taip pat negali būti siūlomas </w:t>
      </w:r>
      <w:r w:rsidRPr="000F5443">
        <w:rPr>
          <w:rFonts w:ascii="Times New Roman" w:hAnsi="Times New Roman" w:cs="Times New Roman"/>
          <w:kern w:val="2"/>
          <w:sz w:val="24"/>
          <w:szCs w:val="24"/>
        </w:rPr>
        <w:t>kaip kitas technologinis sprendinys. Kaip kitas technologinis sprendinys, gali būti siūlomos maišyklės.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Prašome patikslinti, ar grąžinamojo dumblo recirkuliacijos funkcija (dumblo tiekimas iš antrinio nusodintuvo į anaerobinės talpos pradžią, iki 2 m³/h) gali būti užtikrinama ne siurbliu, o kitomis technologiškai lygiavertėmis priemonėmis (pvz., erliftu/ vandenkeliu ar kitu gamintojo sprendiniu), jei jos techniškai pagrįstos ir užtikrina stabilų proceso darbą. Prašome patvirtinti, kad atitiktis bus vertinama pagal recirkuliacijos debito ir funkcijos užtikrinimą, o ne pagal konkretų komponentą „siurblys“. Jei alternatyvos neleistinos, prašome pateikti aiškų techninį pagrindimą, kodėl būtinas būtent siurblys.</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Alternatyvos nėra leistinos, nes grąžinamo dumblo recirkuliacijos debitą numatyta kontroliuoti pagal tiekiamų nuotekų debitą.</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Prašome patikslinti, ar perteklinio dumblo šalinimo funkcija privalo būti įgyvendinta būtent grąžinamojo dumblo vamzdyne, ar tiekėjas gali numatyti atskirą, technologiškai pagrįstą šalinimo sprendimą, jei jis užtikrina perteklinio dumblo nukreipimą į tankintuvą ir veikia automatiniame režime pagal įrangos valdymo logiką. Prašome patvirtinti, kad pirkime bus vertinama funkcinė perteklinio dumblo šalinimo ir automatinio veikimo užtikrinimo atitiktis, o ne konkretus priklausymas grąžinamo dumblo linijai. Jei atskiri sprendimai nebūtų priimtini, prašome pateikti aiškų techninį pagrindimą.</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Tiekėjas gali numatyti atskirą, technologiškai pagrįstą šalinimo sprendimą, jei jis užtikrina perteklinio dumblo nukreipimą į tankintuvą ir veikia automatiniame režime. Tokiu atveju turi būti numatytas sprendinys kaip bus apskaitomas šalinamas perteklinio dumblo kiekis.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Kadangi nitrifikuoto ir grąžinamo dumblo debito apskaitos šulinys turi būti montuojamas virš įrenginio ir žiemos metu bus veikiamas neigiamų oro temperatūrų, daroma prielaida, kad jame esantys apsemti vamzdynai ir debitomačiai gali užšalti. Prašome patikslinti, kokiomis sąlygomis bus eksploatuojami debitomačiai (minimali aplinkos oro temperatūra). Taip pat prašome nurodyti, kokias apsaugos nuo užšalimo priemones tiekėjas privalo numatyti, arba aiškiai įvardinti, kokie sprendimai būtų priimtini. Be šių duomenų tiekėjas negali tiksliai įsivertinti apsaugos priemonių apimties ir kaštų.</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lastRenderedPageBreak/>
        <w:t>Aplinkos temperatūra: –20°C...+40°C. Apsaugos nuo užšalimo priemones tiekėjas gali pasirinkti pats.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Prašome patikslinti, ar tiekėjai gali siūlyti kitas debito apskaitos šulinio montavimo vietas, jei įrenginys vis tiek tinkamai matuoja srautus ir užtikrinama aptarnavimo prieiga. Dabartinė sąlyga nurodo montavimą būtent virš korpuso, tačiau tai gali būti konstrukciškai neracionalu ir dėl tiesioginio meteosąlygų poveikio. Prašome patvirtinti, ar alternatyvios montavimo vietos objekte yra leistinos, jei jos techniškai pagrįstos ir išlaiko debito matavimo funkciją.</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Patvirtinama, kad alternatyvios montavimo vietos objekte yra leistinos, jei jos techniškai pagrįstos ir išlaiko debito matavimo funkciją.</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Pirkimo sąlyga reikalauja, kad debito apskaitos šulinys būtų kaip atskiras gaminys, montuojamas virš korpuso, tačiau toks sprendimas yra konstrukcinis ir priklauso nuo gamintojo technologijos. Prašome patikslinti, ar perkančioji organizacija leistų tiekėjui siūlyti debitomačių integravimą į pačią valymo įrenginio konstrukciją, jei užtikrinamas priėjimas jų aptarnavimui ir išlaikomas reikalaujamas matavimo funkcionalumas bei tikslumas. Prašome patvirtinti, ar toks pasiūlymas būtų pripažintas lygiaverčiu, ir pagal kokius kriterijus būtų vertinamas lygiavertiškumo įrodymas šiuo atveju.</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Patikslinama, kad perkančioji organizacija leistų tiekėjui siūlyti Debito apskaitos šulinio su debitomačių mazgais integravimą į pačią valymo įrenginio konstrukciją, jei užtikrinamas priėjimas jų aptarnavimui ir išlaikomas reikalaujamas matavimo funkcionalumas bei tikslumas, ir užtikrinami Techninės specifikacijos Specialiųjų reikalavimų 5 p. nurodyti reikalavimai. Jei Debito apskaitos šulinio forma plane būtų ne apskritimo formos, tai turi būti išlaikytas atitinkamas šulinio paviršiaus plotas.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Prašome patikslinti, kokiam tikslui bus naudojami debitomačiai – tik apskaitai, ar ir Įrangos valdymui. Jei debitomačiai bus naudojami valdymo logikoje, prašome nurodyti, ar jie yra privalomi net tuo atveju, kai tiekėjas gali užtikrinti išvalymo rodiklius be jų integravimo į technologinį procesą. Jei jie privalomi ir valdymui, prašome pateikti aiškų valdymo algoritmą, kuriuo remiantis turi būti atliekami PLC/SCADA programavimo darbai.</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Debitomačiai bus naudojami ir Įrangos valdymui. Taip, jie yra privalomi net tuo atveju, kai tiekėjas gali užtikrinti išvalymo rodiklius be jų integravimo į technologinį procesą. Nitrifikuoto dumblo mišinio debitas ir grąžinamo dumblo debitas turi būti valdomas pagal atitekančių nuotekų debitą. Atitekančių nuotekų debitas apskaitomas pagal Maišiagalos nuotekų valymo įrenginių laboratorijoje sumontuoto siurblio darbą.</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Pirkimo dokumentuose nurodytos reagentų ir anglies šaltinio dozavimo, pajungimo ir montavimo sąlygos, tačiau nėra apibrėžti reagentų ir anglies šaltinio laikymo talpų techniniai reikalavimai ir minimalūs naudingi tūriai. Prašome patikslinti, ar tiekėjas privalo numatyti laikymo talpas ir, jei taip, kokią apimtį ir tūrio ribas pirkime laikysite priimtinomis. Jei talpų tūriai yra privalomi, prašome nurodyti minimalius reikalaujamus tūrius (l arba m³), kad tiekėjas galėtų teisingai įsivertinti pasiūlymo apimtį ir kaštus.</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lastRenderedPageBreak/>
        <w:t>Taip, tiekėjas privalo numatyti dvi laikymo talpas reagentui ir dvi laikymo talpas anglies šaltiniui. Naudingas reagento ir anglies šaltinio tūris kiekvienoje talpoje turi būti ne mažesnis kaip 25 l. Talpos medžiaga – pagal reagento ar anglies šaltinio tiekėją.</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Atsižvelgiant į tai, kad dumblo tankintuvo talpa bus montuojama ir eksploatuojama ant žemės paviršiaus, prašome patikslinti, ar talpa privalo būti pagaminta iš UV spinduliams atsparios medžiagos, ar gali būti apsaugota kitomis perkančiajai organizacijai priimtinomis priemonėmis, ir kuris variantas bus laikomas tinkamu.</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Dumblo tankintuvo talpa gali būti pagaminta iš UV spinduliams atsparios medžiagos arba gali būti apsaugota kitomis priemonėmis.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Atsižvelgiant į tai, kad talpa bus eksploatuojama žiemos laikotarpiu lauko sąlygomis, prašome patikslinti, ar talpa privalo turėti apsaugą nuo užšalimo, jei taip – prašome įvardinti minimalias temperatūrines ribas arba priimtinas priemones, pagal kurias bus vertinamas apsaugos poreikis.</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Dumblo tankintuvo talpa privalo turėti apsaugą nuo užšalimo. Aplinkos temperatūra: –20°C...+40°C.</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Pirkimo dokumentuose nurodyta, kad tiekėjas turi pristatyti ir sumontuoti rakinamą namelį, tačiau nuo pat pirkimo etapo nėra aišku, ar šiam statiniui privaloma numatyti ir įrengti žaibosaugą, įžeminimą bei vėdinimo sprendinius. Prašome patikslinti, ar šios inžinerinės dalys yra tiekėjo atsakomybė ir turi būti įtrauktos į pasiūlymo apimtį, bei kokie minimalūs techniniai kriterijai bus taikomi vertinant jų pakankamumą. Taip pat prašome nurodyti, kaip bus vertinama atitiktis ir ar tiekėjui bus pateiktas vertinimo pagrindas, pagal kurį būtų galima objektyviai įrodyti, kad sprendiniai yra pakankami.</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Taip, privaloma numatyti ir įrengti įžeminimą, vėdinimą. Vėdinimo sprendiniai – pagal namelyje montuojamos Įrangos gamintųjų nurodymus. Vertinimo pagrindas – numatyta/nenumatyta.</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Prašome patikslinti, ar rakinamame namelyje tiekėjas privalo numatyti ir įrengti įvadinį elektros paskirstymo skydą (įvadinį paskirstymo skydelį).</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Namelyje turi būti įrengtas Elektros paskirstymo ir valdymo skydas, aprašytas Techninės specifikacijos Specialiųjų reikalavimų 18 p. Atskiro įvadinio elektros paskirstymo skydo įrengti neprivaloma.</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Dėl „oro kondicionieriaus su šildymo funkcija“ – prašome pateikti tikslinį reikalavimą: palaikoma vidaus temperatūra (min/max), šilumos/šalčio galia, ar reikalaujamas atsarginis sprendinys gedimo atveju.</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Palaikoma vidaus temperatūra – pagal namelyje montuojamos Įrangos gamintųjų nurodymus. Kaip atsarginis sprendinys namelyje turi būti numatytas ir sumontuotas elektrinis radiatorius.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8 punkte reikalaujamas Profibus DP, o 19 punkte PLC ryšiams nurodomas PROFINET / Ethernet / Modbus – prašome patikslinti, kuri sąsaja yra privaloma integracijai į valdymą, ir kas užtikrina Profibus/Profinet vartus (gateway), jei reikės.</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Techninės specifikacijos Specialiųjų reikalavimų 19 p. reikia numatyti ir Profibus DP komunikaciją. Turi būti numatytos visos 19 p. paminėtos sąsajos galimai sistemos plėtrai ateityje.</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Reikalaujama pateikti 1 vnt. amonio azoto analizatorių, tačiau nurodoma, kad jam turi būti numatytos 2 vnt. mėginio paėmimo/filtravimo sistemos. Prašome patikslinti, kodėl reikalaujamas būtent 2 vnt. kiekis – ar tai reiškia rezervą, mėginių ėmimą iš skirtingų taškų, ar kitą funkcinį poreikį. Be šio paaiškinimo tiekėjui neaišku, kokią techninę logiką ir paskirtį turi atitikti šios dvi sistemos.</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Techninės specifikacijos Bendrųjų reikalavimų 2.11 p. nurodyta, kad viena mėginio paėmimo / filtravimo sistema yra skirta amonio azoto analizatoriui, kita – fosfatų fosforo analizatoriui.</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Reikalavimuose nurodytas ultragarsinis dumblo lygio sensorius antriniame nusodintuve, tačiau standartiniai ultragarsiniai skysčio lygio davikliai matuoja tik skysčio paviršių ir neaptinka vandens–dumblo ribos po nuskaidrėjusio vandens sluoksniu. Prašome patikslinti, ar šiame pirkime turimas omenyje specializuotas ultragarsinis/akustinis „sludge interface“ tipo sensorius, gebantis matuoti terpių ribą, o ne skysčio paviršių. Taip pat prašome nurodyti, kokiu techniniu pagrindu bus vertinama, kad sensorius užtikrina būtent dumblo, o ne skysčio lygio matavimą.</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Techninės specifikacijos Specialiųjų reikalavimų 15 p. nurodyta, kad Sensorius, skirtas dumblo lygio matavimui antriniame nusodintuve. Taip, turi būti matuojama terpių (skysčio ir dumblo) riba, o ne skysčio paviršius. Vertinimas – pagal Techninės specifikacijos Specialiųjų reikalavimų 15 p.</w:t>
      </w:r>
      <w:bookmarkStart w:id="0" w:name="_GoBack"/>
      <w:bookmarkEnd w:id="0"/>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Jei viename sensoriuje yra integruotas kelių parametrų matavimas (pvz., O₂+T+ORP arba pH+T), prašome patikslinti, ar tiekėjas gali siūlyti multi-parametrinius sensorius su integruota kelių rodiklių matavimo funkcija, jei jų montavimo vieta ir veikimo klasės atitinka techninius reikalavimus. Prašome patvirtinti, kad tokie sensoriai bus laikomi lygiaverčiu sprendiniu, jei jie užtikrina visų nurodytų parametrų matavimo funkciją ir suderinamumą</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Tiekėjas gali siūlyti multi-parametrinius sensorius su integruota kelių rodiklių matavimo funkcija, jei jų montavimo vieta ir veikimo klasės atitinka Techninės specifikacijos reikalavimus.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11 punkte reikalaujamos šildomos žarnelės (5 m + 5 m) – prašome patikslinti, ar leistina alternatyva (pvz., sutrumpinti šildomą dalį, pakeisti trasą), jei montavimo sprendinys leidžia išvengti užšalimo.</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lastRenderedPageBreak/>
        <w:t>Leistina šildymo būdo pasirinkimo alternatyva.</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21 punkte nurodoma „įskaitant ir dirbtinio intelekto panaudojimą“ – prašome pateikti konkrečią apimtį (kokios funkcijos laikomos privalomomis: prognozė, aliarmų klasifikavimas, optimizavimo rekomendacijos, ataskaitos ir pan.), nes dabar reikalavimas yra neapibrėžtas ir neleidžia vienodai įkainoti.</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Techninės specifikacijos Specialiųjų reikalavimų 21.2 p. nurodyta: „Turi būti numatytos visos priemonės ir medžiagos SCADA programos diegimui ir naudojimui, įskaitant ir dirbtinio intelekto panaudojimą duomenų analizei bei valymo proceso optimizavimui.“. Funkcijos laikomos privalomomis: duomenų analizė, valymo proceso optimizavimo rekomendacijos.</w:t>
      </w:r>
    </w:p>
    <w:p w:rsidR="00E53103" w:rsidRPr="000F5443" w:rsidRDefault="00E53103" w:rsidP="00E53103">
      <w:pPr>
        <w:ind w:left="1080"/>
        <w:contextualSpacing/>
        <w:jc w:val="both"/>
        <w:rPr>
          <w:rFonts w:ascii="Times New Roman" w:hAnsi="Times New Roman" w:cs="Times New Roman"/>
          <w:kern w:val="2"/>
          <w:sz w:val="24"/>
          <w:szCs w:val="24"/>
        </w:rPr>
      </w:pPr>
    </w:p>
    <w:p w:rsidR="00E53103" w:rsidRPr="000F5443" w:rsidRDefault="00E53103" w:rsidP="00E53103">
      <w:pPr>
        <w:numPr>
          <w:ilvl w:val="0"/>
          <w:numId w:val="1"/>
        </w:numPr>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 xml:space="preserve">Kadangi pirkimo aprašyme numatoma itin specifinė analizės ir matavimo įranga, kuri turės būti integruota į technologinio proceso valdymą, prašome pateikti įrangos valdymo algoritmo sumanymą, kad tiekėjai galėtų tiksliai įsivertinti PLC/SCADA programavimo darbų apimtį ir kainą. Arba prašome patvirtinti, kad tiekėjas, remdamasis savo siūloma technologija, pats apibrėžia ir įgyvendina valdymo architektūrą, užtikrindamas technologinio proceso valdymą. Prašome patvirtinti, kad jei papildomi algoritmo ar valdymo struktūros reikalavimai nėra numatyti konkurso sąlygose, jie nebus taikomi sutarties vykdymo ar vertinimo etapuose. </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Atsakymas</w:t>
      </w:r>
      <w:r>
        <w:rPr>
          <w:kern w:val="2"/>
        </w:rPr>
        <w:t>:</w:t>
      </w:r>
    </w:p>
    <w:p w:rsidR="00E53103" w:rsidRPr="000F5443" w:rsidRDefault="00E53103" w:rsidP="00E53103">
      <w:pPr>
        <w:ind w:left="1080"/>
        <w:contextualSpacing/>
        <w:jc w:val="both"/>
        <w:rPr>
          <w:rFonts w:ascii="Times New Roman" w:hAnsi="Times New Roman" w:cs="Times New Roman"/>
          <w:kern w:val="2"/>
          <w:sz w:val="24"/>
          <w:szCs w:val="24"/>
        </w:rPr>
      </w:pPr>
      <w:r w:rsidRPr="000F5443">
        <w:rPr>
          <w:rFonts w:ascii="Times New Roman" w:hAnsi="Times New Roman" w:cs="Times New Roman"/>
          <w:kern w:val="2"/>
          <w:sz w:val="24"/>
          <w:szCs w:val="24"/>
        </w:rPr>
        <w:t>Žiūrėti atsakymą į 46 klausimą. Nitrifikuoto dumblo mišinio debitas taip pat bus valdomas ir pagal nitratų azoto sensoriaus parodymus. Grąžinamo dumblo debitas taip pat bus valdomas ir pagal dumblo lygio sensoriaus parodymus. Oro tiekimas bus valdomas pagal ištirpusio deguonies sensoriaus, amonio azoto analizatoriaus ir ORP sensoriaus parodymus. Reagento dozavimas bus valdomas pagal fosfatų fosforo analizatoriaus parodymus. Perteklinio dumblo šalinimas bus valdomas pagal skendinčiųjų medžiagų sensoriaus parodymus.</w:t>
      </w:r>
    </w:p>
    <w:p w:rsidR="00D42B58" w:rsidRDefault="00E53103" w:rsidP="00E53103">
      <w:pPr>
        <w:jc w:val="center"/>
      </w:pPr>
      <w:r>
        <w:t>_________________________</w:t>
      </w:r>
    </w:p>
    <w:sectPr w:rsidR="00D42B5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87974"/>
    <w:multiLevelType w:val="hybridMultilevel"/>
    <w:tmpl w:val="6B16A5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03"/>
    <w:rsid w:val="00027031"/>
    <w:rsid w:val="00E53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35E2"/>
  <w15:chartTrackingRefBased/>
  <w15:docId w15:val="{B9C8A8E3-590C-4723-AD82-6C9B1CC7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3103"/>
    <w:pPr>
      <w:spacing w:after="0" w:line="240" w:lineRule="auto"/>
      <w:ind w:left="720"/>
      <w:contextualSpacing/>
      <w:jc w:val="both"/>
    </w:pPr>
    <w:rPr>
      <w:rFonts w:ascii="Times New Roman" w:eastAsia="Times New Roman" w:hAnsi="Times New Roman" w:cs="Times New Roman"/>
      <w:sz w:val="24"/>
      <w:szCs w:val="20"/>
      <w:lang w:val="en-GB" w:eastAsia="lt-LT"/>
    </w:rPr>
  </w:style>
  <w:style w:type="character" w:customStyle="1" w:styleId="ListParagraphChar">
    <w:name w:val="List Paragraph Char"/>
    <w:link w:val="ListParagraph"/>
    <w:uiPriority w:val="34"/>
    <w:qFormat/>
    <w:locked/>
    <w:rsid w:val="00E53103"/>
    <w:rPr>
      <w:rFonts w:ascii="Times New Roman" w:eastAsia="Times New Roman" w:hAnsi="Times New Roman" w:cs="Times New Roman"/>
      <w:sz w:val="24"/>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32359</Words>
  <Characters>18446</Characters>
  <Application>Microsoft Office Word</Application>
  <DocSecurity>0</DocSecurity>
  <Lines>153</Lines>
  <Paragraphs>101</Paragraphs>
  <ScaleCrop>false</ScaleCrop>
  <Company/>
  <LinksUpToDate>false</LinksUpToDate>
  <CharactersWithSpaces>50704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Ingrida Vigelė</cp:lastModifiedBy>
  <cp:revision>1</cp:revision>
  <dcterms:created xsi:type="dcterms:W3CDTF">2026-01-06T08:44:00Z</dcterms:created>
  <dcterms:modified xsi:type="dcterms:W3CDTF">2026-01-06T08:47:00Z</dcterms:modified>
</cp:coreProperties>
</file>