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3C68B" w14:textId="77777777" w:rsidR="00550EC2" w:rsidRPr="00F26DEB" w:rsidRDefault="00E07BD7" w:rsidP="00550EC2">
      <w:pPr>
        <w:jc w:val="right"/>
      </w:pPr>
      <w:r w:rsidRPr="00D03519">
        <w:rPr>
          <w:color w:val="000000"/>
          <w:lang w:eastAsia="en-US"/>
        </w:rPr>
        <w:t xml:space="preserve">    </w:t>
      </w:r>
      <w:r w:rsidR="00550EC2" w:rsidRPr="00F26DEB">
        <w:t>Pirkimo sąlygų</w:t>
      </w:r>
    </w:p>
    <w:p w14:paraId="29D485DC" w14:textId="77777777" w:rsidR="00550EC2" w:rsidRPr="00F26DEB" w:rsidRDefault="00550EC2" w:rsidP="00550EC2">
      <w:pPr>
        <w:jc w:val="right"/>
      </w:pPr>
      <w:r>
        <w:t>3</w:t>
      </w:r>
      <w:r w:rsidRPr="00F26DEB">
        <w:t xml:space="preserve"> priedas</w:t>
      </w:r>
    </w:p>
    <w:p w14:paraId="592007B6" w14:textId="77777777" w:rsidR="00E07BD7" w:rsidRDefault="00E07BD7" w:rsidP="00550EC2">
      <w:pPr>
        <w:ind w:left="5760" w:firstLine="720"/>
        <w:rPr>
          <w:i/>
          <w:sz w:val="20"/>
          <w:szCs w:val="20"/>
        </w:rPr>
      </w:pPr>
    </w:p>
    <w:p w14:paraId="3CD4B333" w14:textId="77777777" w:rsidR="00E07BD7" w:rsidRDefault="00E07BD7" w:rsidP="0013714B">
      <w:pPr>
        <w:ind w:left="3600"/>
        <w:jc w:val="both"/>
        <w:rPr>
          <w:i/>
          <w:sz w:val="20"/>
          <w:szCs w:val="20"/>
        </w:rPr>
      </w:pPr>
    </w:p>
    <w:p w14:paraId="46EB7C73" w14:textId="77777777" w:rsidR="00D14114" w:rsidRDefault="00D14114" w:rsidP="00D14114">
      <w:pPr>
        <w:jc w:val="center"/>
        <w:rPr>
          <w:b/>
        </w:rPr>
      </w:pPr>
      <w:r>
        <w:rPr>
          <w:b/>
        </w:rPr>
        <w:t>PASLAUGŲ VIEŠOJO PIRKIMO-PARDAVIMO SUTARTI</w:t>
      </w:r>
      <w:r w:rsidRPr="00EF7207">
        <w:rPr>
          <w:b/>
        </w:rPr>
        <w:t>S</w:t>
      </w:r>
      <w:r>
        <w:rPr>
          <w:b/>
        </w:rPr>
        <w:t xml:space="preserve">  </w:t>
      </w:r>
    </w:p>
    <w:p w14:paraId="53122836" w14:textId="77777777" w:rsidR="00D14114" w:rsidRDefault="00D14114" w:rsidP="00D14114">
      <w:pPr>
        <w:jc w:val="center"/>
        <w:rPr>
          <w:color w:val="000000"/>
        </w:rPr>
      </w:pPr>
    </w:p>
    <w:p w14:paraId="7A9D70B0"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04F8FE50" w14:textId="77777777" w:rsidR="00D14114" w:rsidRPr="00414F4A" w:rsidRDefault="00D14114" w:rsidP="00D14114">
      <w:pPr>
        <w:rPr>
          <w:sz w:val="22"/>
          <w:szCs w:val="22"/>
        </w:rPr>
      </w:pPr>
    </w:p>
    <w:p w14:paraId="5F40E59A" w14:textId="77777777" w:rsidR="00D14114" w:rsidRDefault="00D14114" w:rsidP="00D14114">
      <w:pPr>
        <w:ind w:left="2880" w:firstLine="720"/>
        <w:jc w:val="both"/>
      </w:pPr>
      <w:r>
        <w:t>20............................ Nr.</w:t>
      </w:r>
    </w:p>
    <w:p w14:paraId="57B53B08" w14:textId="77777777" w:rsidR="00D14114" w:rsidRDefault="00D14114" w:rsidP="00D14114">
      <w:pPr>
        <w:ind w:left="3600"/>
        <w:jc w:val="both"/>
        <w:rPr>
          <w:i/>
        </w:rPr>
      </w:pPr>
      <w:r>
        <w:rPr>
          <w:sz w:val="22"/>
          <w:szCs w:val="22"/>
        </w:rPr>
        <w:t xml:space="preserve">         </w:t>
      </w:r>
      <w:r>
        <w:rPr>
          <w:i/>
        </w:rPr>
        <w:t>(sudarymo vieta)</w:t>
      </w:r>
    </w:p>
    <w:p w14:paraId="5EA685EF" w14:textId="77777777" w:rsidR="00D14114" w:rsidRDefault="00D14114" w:rsidP="00D14114">
      <w:pPr>
        <w:ind w:left="3600"/>
        <w:jc w:val="both"/>
        <w:rPr>
          <w:i/>
          <w:sz w:val="20"/>
          <w:szCs w:val="20"/>
        </w:rPr>
      </w:pPr>
    </w:p>
    <w:p w14:paraId="356D0E79" w14:textId="77777777" w:rsidR="00D14114" w:rsidRPr="00550EC2" w:rsidRDefault="00550EC2" w:rsidP="00550EC2">
      <w:pPr>
        <w:ind w:left="-284" w:firstLine="720"/>
        <w:jc w:val="both"/>
        <w:rPr>
          <w:color w:val="000000"/>
          <w:lang w:val="en-US"/>
        </w:rPr>
      </w:pPr>
      <w:r w:rsidRPr="00024740">
        <w:rPr>
          <w:color w:val="000000"/>
        </w:rPr>
        <w:t xml:space="preserve">Lietuvos Respublikos krašto apsaugos ministerija (toliau – KAM), juridinio asmens kodas 188602751, atstovaujama KAM kanclerės.........................................., </w:t>
      </w:r>
      <w:r w:rsidRPr="00C301CD">
        <w:rPr>
          <w:color w:val="000000"/>
        </w:rPr>
        <w:t xml:space="preserve">veikiančios </w:t>
      </w:r>
      <w:r>
        <w:rPr>
          <w:color w:val="000000"/>
        </w:rPr>
        <w:t xml:space="preserve">pagal </w:t>
      </w:r>
      <w:r w:rsidRPr="00327A98">
        <w:t xml:space="preserve">Pirkimų organizavimo, kontrolės ir priežiūros Krašto apsaugos sistemoje tvarkos aprašo, patvirtinto Lietuvos Respublikos krašto apsaugos ministro 2007 m. liepos 30 d. įsakymu Nr. V-768, 112 punkto </w:t>
      </w:r>
      <w:r>
        <w:t>nuostatas</w:t>
      </w:r>
      <w:r w:rsidRPr="00C301CD">
        <w:rPr>
          <w:color w:val="000000"/>
        </w:rPr>
        <w:t>, (toliau</w:t>
      </w:r>
      <w:r w:rsidRPr="00024740">
        <w:rPr>
          <w:color w:val="000000"/>
        </w:rPr>
        <w:t xml:space="preserve"> – </w:t>
      </w:r>
      <w:r w:rsidRPr="00024740">
        <w:rPr>
          <w:b/>
          <w:color w:val="000000"/>
        </w:rPr>
        <w:t>Pirkėjas</w:t>
      </w:r>
      <w:r w:rsidRPr="00024740">
        <w:rPr>
          <w:color w:val="000000"/>
        </w:rPr>
        <w:t xml:space="preserve">), ir........................................................, atstovaujama, ..............................................veikiančio pagal ............................................(toliau – </w:t>
      </w:r>
      <w:r w:rsidRPr="00024740">
        <w:rPr>
          <w:b/>
          <w:color w:val="000000"/>
        </w:rPr>
        <w:t>Teikėjas</w:t>
      </w:r>
      <w:r w:rsidRPr="00024740">
        <w:rPr>
          <w:color w:val="000000"/>
        </w:rPr>
        <w:t xml:space="preserve">), toliau kartu šioje paslaugų viešojo pirkimo-pardavimo sutartyje vadinami „Šalimis“, o kiekvienas atskirai – „Šalimi“, vadovaudamosi Lietuvos Respublikos viešųjų pirkimų įstatymu (toliau – Viešųjų pirkimų įstatymas) sudarė šią paslaugų viešojo pirkimo-pardavimo sutartį, toliau vadinamą „Sutartimi“, ir susitarė dėl toliau išvardintų sąlygų.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2"/>
      </w:tblGrid>
      <w:tr w:rsidR="00D14114" w14:paraId="5182542E" w14:textId="77777777" w:rsidTr="001A3760">
        <w:tc>
          <w:tcPr>
            <w:tcW w:w="10368" w:type="dxa"/>
            <w:shd w:val="clear" w:color="auto" w:fill="auto"/>
          </w:tcPr>
          <w:p w14:paraId="33D0F9F8" w14:textId="77777777" w:rsidR="00D14114" w:rsidRPr="007A4D14" w:rsidRDefault="00D14114" w:rsidP="008C7438">
            <w:pPr>
              <w:numPr>
                <w:ilvl w:val="0"/>
                <w:numId w:val="3"/>
              </w:numPr>
              <w:ind w:left="252" w:hanging="252"/>
              <w:jc w:val="both"/>
              <w:rPr>
                <w:b/>
              </w:rPr>
            </w:pPr>
            <w:r w:rsidRPr="007A4D14">
              <w:rPr>
                <w:b/>
              </w:rPr>
              <w:t>Sutarties objektas</w:t>
            </w:r>
          </w:p>
          <w:p w14:paraId="731279E7" w14:textId="0D819911" w:rsidR="00550EC2" w:rsidRDefault="00550EC2" w:rsidP="008C7438">
            <w:pPr>
              <w:jc w:val="both"/>
            </w:pPr>
            <w:r>
              <w:t xml:space="preserve">1.1. </w:t>
            </w:r>
            <w:r w:rsidRPr="00F91255">
              <w:rPr>
                <w:b/>
              </w:rPr>
              <w:t>Teikėjas</w:t>
            </w:r>
            <w:r w:rsidRPr="002728C6">
              <w:t xml:space="preserve"> teikia, o </w:t>
            </w:r>
            <w:r w:rsidRPr="00EE7AD9">
              <w:rPr>
                <w:b/>
              </w:rPr>
              <w:t>Pirkėjas</w:t>
            </w:r>
            <w:r w:rsidRPr="002728C6">
              <w:t xml:space="preserve"> </w:t>
            </w:r>
            <w:r w:rsidRPr="001921D8">
              <w:t xml:space="preserve">perka </w:t>
            </w:r>
            <w:r w:rsidR="009B1640">
              <w:rPr>
                <w:b/>
              </w:rPr>
              <w:t>turinio eksperto paslaugą tinklų ir informacinių sistemų kibernetinio saugumo politikos dokumentų šablonų parengimo metodikai sukurti</w:t>
            </w:r>
            <w:r w:rsidRPr="001921D8">
              <w:t xml:space="preserve"> (toliau – paslaugos), atitinkančias Sutarties</w:t>
            </w:r>
            <w:r w:rsidRPr="002728C6">
              <w:t xml:space="preserve"> </w:t>
            </w:r>
            <w:r>
              <w:t>1 priede „</w:t>
            </w:r>
            <w:r w:rsidR="009B1640">
              <w:t>Turinio eksperto paslaugos tinklų ir informacinių sistemų kibernetinio saugumo politikos dokumentų šablonų parengimo metodikai sukurti</w:t>
            </w:r>
            <w:r>
              <w:t xml:space="preserve"> techninė specifikacija“ (toliau – 1</w:t>
            </w:r>
            <w:r w:rsidRPr="002728C6">
              <w:t xml:space="preserve"> priedas) nustatytus </w:t>
            </w:r>
            <w:r>
              <w:t xml:space="preserve">ir kitus Sutartyje numatytus </w:t>
            </w:r>
            <w:r w:rsidRPr="002728C6">
              <w:t>reikalavimus.</w:t>
            </w:r>
          </w:p>
          <w:p w14:paraId="26DB98D1" w14:textId="77777777" w:rsidR="00D14114" w:rsidRPr="002728C6" w:rsidRDefault="00550EC2" w:rsidP="008C7438">
            <w:pPr>
              <w:jc w:val="both"/>
            </w:pPr>
            <w:r w:rsidRPr="00EB4422">
              <w:t>1.2.</w:t>
            </w:r>
            <w:r>
              <w:t xml:space="preserve"> </w:t>
            </w:r>
            <w:r w:rsidRPr="00F91255">
              <w:rPr>
                <w:b/>
              </w:rPr>
              <w:t>Pirkėjas</w:t>
            </w:r>
            <w:r>
              <w:t xml:space="preserve"> įsipareigoja priimti Sutarties 1 priede nurodytas ir Sutarties reikalavimus atitinkančias paslaugas ir už jas sumokėti Sutartyje nustatyta tvarka ir Sutarties 2 priede „Pasiūlymas“ nurodytomis kainomis.</w:t>
            </w:r>
          </w:p>
        </w:tc>
      </w:tr>
      <w:tr w:rsidR="00D14114" w14:paraId="2417BF69" w14:textId="77777777" w:rsidTr="001A3760">
        <w:tc>
          <w:tcPr>
            <w:tcW w:w="10368" w:type="dxa"/>
            <w:shd w:val="clear" w:color="auto" w:fill="auto"/>
          </w:tcPr>
          <w:p w14:paraId="0FE442C7" w14:textId="77777777" w:rsidR="00550EC2" w:rsidRDefault="00550EC2" w:rsidP="009B1640">
            <w:pPr>
              <w:jc w:val="both"/>
              <w:rPr>
                <w:b/>
                <w:color w:val="000000"/>
              </w:rPr>
            </w:pPr>
            <w:r w:rsidRPr="007A4D14">
              <w:rPr>
                <w:b/>
              </w:rPr>
              <w:t xml:space="preserve">2. </w:t>
            </w:r>
            <w:r w:rsidRPr="007A4D14">
              <w:rPr>
                <w:b/>
                <w:color w:val="000000"/>
              </w:rPr>
              <w:t>Sutarties kaina/</w:t>
            </w:r>
            <w:r>
              <w:rPr>
                <w:b/>
                <w:color w:val="000000"/>
              </w:rPr>
              <w:t>vertė/</w:t>
            </w:r>
            <w:r w:rsidRPr="007A4D14">
              <w:rPr>
                <w:b/>
              </w:rPr>
              <w:t xml:space="preserve">paslaugų </w:t>
            </w:r>
            <w:r w:rsidRPr="007A4D14">
              <w:rPr>
                <w:b/>
                <w:color w:val="000000"/>
              </w:rPr>
              <w:t>įkainiai/kainodaros taisyklės</w:t>
            </w:r>
          </w:p>
          <w:p w14:paraId="42E28C82" w14:textId="77777777" w:rsidR="00550EC2" w:rsidRPr="00250D2A" w:rsidRDefault="00550EC2" w:rsidP="009B1640">
            <w:pPr>
              <w:jc w:val="both"/>
              <w:rPr>
                <w:color w:val="000000"/>
              </w:rPr>
            </w:pPr>
            <w:r w:rsidRPr="004C1DC9">
              <w:t xml:space="preserve">2.1. </w:t>
            </w:r>
            <w:r w:rsidRPr="00D67711">
              <w:rPr>
                <w:b/>
              </w:rPr>
              <w:t>Pradinės Sutarties vertė</w:t>
            </w:r>
            <w:r w:rsidRPr="00645072">
              <w:t xml:space="preserve"> yra _____ Eur ( ____ eurų ____ ct), </w:t>
            </w:r>
            <w:r>
              <w:t xml:space="preserve">be </w:t>
            </w:r>
            <w:r>
              <w:rPr>
                <w:rFonts w:eastAsia="Calibri"/>
              </w:rPr>
              <w:t xml:space="preserve">pridėtinės vertės mokesčio (toliau – PVM), taikomas PVM ___ </w:t>
            </w:r>
            <w:r w:rsidRPr="00645072">
              <w:rPr>
                <w:rFonts w:eastAsia="Calibri"/>
              </w:rPr>
              <w:t>% (jeigu PVM netaiko</w:t>
            </w:r>
            <w:r>
              <w:rPr>
                <w:rFonts w:eastAsia="Calibri"/>
              </w:rPr>
              <w:t xml:space="preserve">mas, nurodoma, kokiu pagrindu), bendra Sutarties vertė yra </w:t>
            </w:r>
            <w:r w:rsidRPr="00645072">
              <w:t>_____ Eur ( ____ eurų ____ ct)</w:t>
            </w:r>
            <w:r>
              <w:t xml:space="preserve"> įskaitant ___</w:t>
            </w:r>
            <w:r w:rsidRPr="00645072">
              <w:t xml:space="preserve"> </w:t>
            </w:r>
            <w:r w:rsidRPr="00645072">
              <w:rPr>
                <w:rFonts w:eastAsia="Calibri"/>
              </w:rPr>
              <w:t>%</w:t>
            </w:r>
            <w:r>
              <w:rPr>
                <w:rFonts w:eastAsia="Calibri"/>
              </w:rPr>
              <w:t xml:space="preserve"> PVM.</w:t>
            </w:r>
          </w:p>
          <w:p w14:paraId="08352442" w14:textId="77777777" w:rsidR="00656B7D" w:rsidRDefault="00550EC2" w:rsidP="009B1640">
            <w:pPr>
              <w:jc w:val="both"/>
            </w:pPr>
            <w:r>
              <w:t xml:space="preserve">2.2. Sutarčiai taikoma </w:t>
            </w:r>
            <w:r w:rsidRPr="00922567">
              <w:t>fiksuotos kainos kainodara</w:t>
            </w:r>
            <w:r>
              <w:t xml:space="preserve">. </w:t>
            </w:r>
            <w:r w:rsidRPr="00B8207B">
              <w:t xml:space="preserve">Peržiūros atvejis numatytas Sutarties bendrosios dalies 2.2 </w:t>
            </w:r>
            <w:r>
              <w:t xml:space="preserve">ir 2.3 </w:t>
            </w:r>
            <w:r w:rsidRPr="00B8207B">
              <w:t>p</w:t>
            </w:r>
            <w:r>
              <w:t>unktuose</w:t>
            </w:r>
            <w:r w:rsidR="00F43FE1">
              <w:t xml:space="preserve">, bei </w:t>
            </w:r>
            <w:r w:rsidR="00F43FE1" w:rsidRPr="00B8207B">
              <w:t xml:space="preserve">Sutarties </w:t>
            </w:r>
            <w:r w:rsidR="00F43FE1">
              <w:t>specialiosios dalies 2.3 punkte</w:t>
            </w:r>
            <w:r>
              <w:t>.</w:t>
            </w:r>
          </w:p>
          <w:p w14:paraId="79BCA0F6" w14:textId="1BB343D3" w:rsidR="00E031D3" w:rsidRPr="00273BE2" w:rsidRDefault="007E0EE7" w:rsidP="009B1640">
            <w:pPr>
              <w:suppressAutoHyphens/>
              <w:jc w:val="both"/>
              <w:rPr>
                <w:rFonts w:eastAsia="Calibri"/>
              </w:rPr>
            </w:pPr>
            <w:r>
              <w:rPr>
                <w:rFonts w:eastAsia="Calibri"/>
                <w:szCs w:val="22"/>
                <w:lang w:eastAsia="en-US"/>
              </w:rPr>
              <w:t>2.3</w:t>
            </w:r>
            <w:r w:rsidR="00F43FE1" w:rsidRPr="009A4FAE">
              <w:rPr>
                <w:rFonts w:eastAsia="Calibri"/>
                <w:szCs w:val="22"/>
                <w:lang w:eastAsia="en-US"/>
              </w:rPr>
              <w:t xml:space="preserve">. Bet kuri Sutarties šalis Sutarties galiojimo metu turi teisę inicijuoti Sutartyje numatytų įkainių perskaičiavimą </w:t>
            </w:r>
            <w:r w:rsidR="00F43FE1">
              <w:rPr>
                <w:rFonts w:eastAsia="Calibri"/>
                <w:szCs w:val="22"/>
                <w:lang w:eastAsia="en-US"/>
              </w:rPr>
              <w:t xml:space="preserve">(keitimą) ne anksčiau kaip po </w:t>
            </w:r>
            <w:r w:rsidR="0033753D">
              <w:rPr>
                <w:rFonts w:eastAsia="Calibri"/>
                <w:szCs w:val="22"/>
                <w:lang w:eastAsia="en-US"/>
              </w:rPr>
              <w:t>6 (šešių</w:t>
            </w:r>
            <w:r w:rsidR="00F43FE1" w:rsidRPr="009A4FAE">
              <w:rPr>
                <w:rFonts w:eastAsia="Calibri"/>
                <w:szCs w:val="22"/>
                <w:lang w:eastAsia="en-US"/>
              </w:rPr>
              <w:t xml:space="preserve">) mėnesių nuo Sutarties sudarymo įsigaliojimo dienos (jeigu perskaičiavimas jau buvo atliktas – nuo paskutinio perskaičiavimo pagal šį punktą dienos), jeigu </w:t>
            </w:r>
            <w:r w:rsidR="00F43FE1" w:rsidRPr="009A4FAE">
              <w:rPr>
                <w:rFonts w:eastAsia="Calibri"/>
                <w:b/>
                <w:iCs/>
                <w:szCs w:val="22"/>
                <w:lang w:eastAsia="en-US"/>
              </w:rPr>
              <w:t xml:space="preserve">Vartojimo prekių ir paslaugų kainų pokytis </w:t>
            </w:r>
            <w:r w:rsidR="00F43FE1" w:rsidRPr="009A4FAE">
              <w:rPr>
                <w:rFonts w:eastAsia="Calibri"/>
                <w:b/>
                <w:szCs w:val="22"/>
                <w:lang w:eastAsia="en-US"/>
              </w:rPr>
              <w:t>(k)</w:t>
            </w:r>
            <w:r w:rsidR="00F43FE1" w:rsidRPr="009A4FAE">
              <w:rPr>
                <w:rFonts w:eastAsia="Calibri"/>
                <w:szCs w:val="22"/>
                <w:lang w:eastAsia="en-US"/>
              </w:rPr>
              <w:t xml:space="preserve">, </w:t>
            </w:r>
            <w:r>
              <w:rPr>
                <w:rFonts w:eastAsia="Calibri"/>
                <w:szCs w:val="22"/>
                <w:lang w:eastAsia="en-US"/>
              </w:rPr>
              <w:t>apskaičiuotas kaip nustatyta</w:t>
            </w:r>
            <w:r w:rsidR="00E031D3">
              <w:rPr>
                <w:rFonts w:eastAsia="Calibri"/>
                <w:szCs w:val="22"/>
                <w:lang w:eastAsia="en-US"/>
              </w:rPr>
              <w:t xml:space="preserve"> </w:t>
            </w:r>
            <w:r w:rsidR="00E031D3" w:rsidRPr="00273BE2">
              <w:rPr>
                <w:rFonts w:eastAsia="Calibri"/>
              </w:rPr>
              <w:t>Sutarties specialiosios dalies</w:t>
            </w:r>
            <w:r>
              <w:rPr>
                <w:rFonts w:eastAsia="Calibri"/>
                <w:szCs w:val="22"/>
                <w:lang w:eastAsia="en-US"/>
              </w:rPr>
              <w:t xml:space="preserve"> 2.3</w:t>
            </w:r>
            <w:r w:rsidR="00F43FE1" w:rsidRPr="009A4FAE">
              <w:rPr>
                <w:rFonts w:eastAsia="Calibri"/>
                <w:szCs w:val="22"/>
                <w:lang w:eastAsia="en-US"/>
              </w:rPr>
              <w:t xml:space="preserve">.3 punkte, viršija 10 procentų. Atlikdamos perskaičiavimą Šalys vadovaujasi </w:t>
            </w:r>
            <w:r w:rsidR="00E031D3" w:rsidRPr="00273BE2">
              <w:rPr>
                <w:rFonts w:eastAsia="Calibri"/>
              </w:rPr>
              <w:t>Valstybės duomenų agentūros viešai Of</w:t>
            </w:r>
            <w:r w:rsidR="00E031D3">
              <w:rPr>
                <w:rFonts w:eastAsia="Calibri"/>
              </w:rPr>
              <w:t xml:space="preserve">icialiosios statistikos portale </w:t>
            </w:r>
            <w:r w:rsidR="00F43FE1" w:rsidRPr="009A4FAE">
              <w:rPr>
                <w:rFonts w:eastAsia="Calibri"/>
                <w:szCs w:val="22"/>
                <w:lang w:eastAsia="en-US"/>
              </w:rPr>
              <w:t xml:space="preserve">paskelbtais Rodiklių duomenų bazės duomenimis, iš kitos Šalies nereikalaudamos pateikti oficialaus </w:t>
            </w:r>
            <w:r w:rsidR="00E031D3" w:rsidRPr="00273BE2">
              <w:rPr>
                <w:rFonts w:eastAsia="Calibri"/>
              </w:rPr>
              <w:t>Valstybės duomenų agentūros ar kitos institucijos išduoto dokumento ar patvirtinimo.</w:t>
            </w:r>
          </w:p>
          <w:p w14:paraId="5477E4EB" w14:textId="77777777" w:rsidR="00F43FE1" w:rsidRPr="009A4FAE" w:rsidRDefault="007E0EE7"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.1 Perskaičiuotieji įkainiai įforminami raštišku Šalių susitarimu (toliau – Susitarimas) ir taikomi užsakymams, pateiktiems po to, kai Šalys sudaro Susitarimą dėl įkainių perskaičiavimo.</w:t>
            </w:r>
          </w:p>
          <w:p w14:paraId="1695E669" w14:textId="77777777" w:rsidR="00F43FE1" w:rsidRPr="009544A1" w:rsidRDefault="00E031D3"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.2 Šalys privalo Susitarime nurodyti indekso reikšmę laikotarpio pradžioje ir jos nustatymo datą,</w:t>
            </w:r>
            <w:r w:rsidR="00F43FE1">
              <w:rPr>
                <w:rFonts w:eastAsia="Calibri"/>
                <w:szCs w:val="22"/>
                <w:lang w:eastAsia="en-US"/>
              </w:rPr>
              <w:t xml:space="preserve"> </w:t>
            </w:r>
            <w:r w:rsidR="00F43FE1" w:rsidRPr="009A4FAE">
              <w:rPr>
                <w:rFonts w:eastAsia="Calibri"/>
                <w:szCs w:val="22"/>
                <w:lang w:eastAsia="en-US"/>
              </w:rPr>
              <w:t>indekso reikšmę laikotarpio pabaigoje ir jos nustatymo datą, kainų pokytį (k), perskaičiuotus įkainius,</w:t>
            </w:r>
          </w:p>
          <w:p w14:paraId="0FB51839"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perskaičiuotą pradinės sutarties vertę.</w:t>
            </w:r>
          </w:p>
          <w:p w14:paraId="316F0086" w14:textId="77777777" w:rsidR="00F43FE1" w:rsidRDefault="00E031D3"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.3 Nauji įkainia</w:t>
            </w:r>
            <w:r w:rsidR="00F43FE1">
              <w:rPr>
                <w:rFonts w:eastAsia="Calibri"/>
                <w:szCs w:val="22"/>
                <w:lang w:eastAsia="en-US"/>
              </w:rPr>
              <w:t>i apskaičiuojami pagal formulę:</w:t>
            </w:r>
          </w:p>
          <w:p w14:paraId="0A73E8E7" w14:textId="606F5097" w:rsidR="00F43FE1" w:rsidRPr="009A4FAE" w:rsidRDefault="00DB6CFE" w:rsidP="009B1640">
            <w:pPr>
              <w:suppressAutoHyphens/>
              <w:spacing w:after="200"/>
              <w:jc w:val="both"/>
              <w:rPr>
                <w:rFonts w:eastAsia="Calibri"/>
                <w:szCs w:val="22"/>
                <w:lang w:eastAsia="en-US"/>
              </w:rPr>
            </w:pPr>
            <m:oMath>
              <m:sSub>
                <m:sSubPr>
                  <m:ctrlPr>
                    <w:rPr>
                      <w:rFonts w:ascii="Cambria Math" w:eastAsia="Calibri" w:hAnsi="Cambria Math"/>
                      <w:i/>
                      <w:szCs w:val="22"/>
                      <w:lang w:eastAsia="en-US"/>
                    </w:rPr>
                  </m:ctrlPr>
                </m:sSubPr>
                <m:e>
                  <m:r>
                    <w:rPr>
                      <w:rFonts w:ascii="Cambria Math" w:eastAsia="Calibri" w:hAnsi="Cambria Math"/>
                      <w:szCs w:val="22"/>
                      <w:lang w:eastAsia="en-US"/>
                    </w:rPr>
                    <m:t>a</m:t>
                  </m:r>
                </m:e>
                <m:sub>
                  <m:r>
                    <w:rPr>
                      <w:rFonts w:ascii="Cambria Math" w:eastAsia="Calibri" w:hAnsi="Cambria Math"/>
                      <w:szCs w:val="22"/>
                      <w:lang w:eastAsia="en-US"/>
                    </w:rPr>
                    <m:t>1</m:t>
                  </m:r>
                </m:sub>
              </m:sSub>
              <m:r>
                <w:rPr>
                  <w:rFonts w:ascii="Cambria Math" w:eastAsia="Calibri" w:hAnsi="Cambria Math"/>
                  <w:szCs w:val="22"/>
                  <w:lang w:eastAsia="en-US"/>
                </w:rPr>
                <m:t>=</m:t>
              </m:r>
              <m:r>
                <w:rPr>
                  <w:rFonts w:ascii="Cambria Math" w:hAnsi="Cambria Math"/>
                  <w:szCs w:val="22"/>
                  <w:lang w:eastAsia="en-US"/>
                </w:rPr>
                <m:t>a+</m:t>
              </m:r>
              <m:d>
                <m:dPr>
                  <m:ctrlPr>
                    <w:rPr>
                      <w:rFonts w:ascii="Cambria Math" w:hAnsi="Cambria Math"/>
                      <w:i/>
                      <w:szCs w:val="22"/>
                      <w:lang w:val="en-US" w:eastAsia="en-US"/>
                    </w:rPr>
                  </m:ctrlPr>
                </m:dPr>
                <m:e>
                  <m:f>
                    <m:fPr>
                      <m:ctrlPr>
                        <w:rPr>
                          <w:rFonts w:ascii="Cambria Math" w:hAnsi="Cambria Math"/>
                          <w:i/>
                          <w:szCs w:val="22"/>
                          <w:lang w:val="en-US" w:eastAsia="en-US"/>
                        </w:rPr>
                      </m:ctrlPr>
                    </m:fPr>
                    <m:num>
                      <m:r>
                        <w:rPr>
                          <w:rFonts w:ascii="Cambria Math" w:hAnsi="Cambria Math"/>
                          <w:szCs w:val="22"/>
                          <w:lang w:eastAsia="en-US"/>
                        </w:rPr>
                        <m:t>k</m:t>
                      </m:r>
                    </m:num>
                    <m:den>
                      <m:r>
                        <w:rPr>
                          <w:rFonts w:ascii="Cambria Math" w:hAnsi="Cambria Math"/>
                          <w:szCs w:val="22"/>
                          <w:lang w:eastAsia="en-US"/>
                        </w:rPr>
                        <m:t>100</m:t>
                      </m:r>
                    </m:den>
                  </m:f>
                  <m:r>
                    <w:rPr>
                      <w:rFonts w:ascii="Cambria Math" w:hAnsi="Cambria Math"/>
                      <w:szCs w:val="22"/>
                      <w:lang w:eastAsia="en-US"/>
                    </w:rPr>
                    <m:t>×a</m:t>
                  </m:r>
                </m:e>
              </m:d>
            </m:oMath>
            <w:r w:rsidR="00F43FE1" w:rsidRPr="009A4FAE">
              <w:rPr>
                <w:rFonts w:eastAsia="Calibri"/>
                <w:szCs w:val="22"/>
                <w:lang w:eastAsia="en-US"/>
              </w:rPr>
              <w:t>,</w:t>
            </w:r>
            <w:r w:rsidR="00F43FE1" w:rsidRPr="009A4FAE">
              <w:rPr>
                <w:rFonts w:eastAsia="Calibri"/>
                <w:i/>
                <w:szCs w:val="22"/>
                <w:lang w:eastAsia="en-US"/>
              </w:rPr>
              <w:t xml:space="preserve"> </w:t>
            </w:r>
            <w:r w:rsidR="00F43FE1" w:rsidRPr="009A4FAE">
              <w:rPr>
                <w:rFonts w:eastAsia="Calibri"/>
                <w:szCs w:val="22"/>
                <w:lang w:eastAsia="en-US"/>
              </w:rPr>
              <w:t>kur</w:t>
            </w:r>
          </w:p>
          <w:p w14:paraId="1BBA9FB1"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lastRenderedPageBreak/>
              <w:t>a – sutarties paslaugos įkainis (Eur be PVM)) (jei įkainis buvo perskaičiuotas, tai po paskutinio perskaičiavimo).</w:t>
            </w:r>
          </w:p>
          <w:p w14:paraId="618CFE80"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a</w:t>
            </w:r>
            <w:r w:rsidRPr="009A4FAE">
              <w:rPr>
                <w:rFonts w:eastAsia="Calibri"/>
                <w:szCs w:val="22"/>
                <w:vertAlign w:val="subscript"/>
                <w:lang w:eastAsia="en-US"/>
              </w:rPr>
              <w:t>1</w:t>
            </w:r>
            <w:r w:rsidRPr="009A4FAE">
              <w:rPr>
                <w:rFonts w:eastAsia="Calibri"/>
                <w:szCs w:val="22"/>
                <w:lang w:eastAsia="en-US"/>
              </w:rPr>
              <w:t xml:space="preserve"> – perskaičiuotas (pakeistas) įkainis (Eur be PVM)</w:t>
            </w:r>
          </w:p>
          <w:p w14:paraId="790C4CFD"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k</w:t>
            </w:r>
            <w:r w:rsidRPr="009A4FAE">
              <w:rPr>
                <w:rFonts w:eastAsia="Calibri"/>
                <w:i/>
                <w:szCs w:val="22"/>
                <w:lang w:eastAsia="en-US"/>
              </w:rPr>
              <w:t xml:space="preserve"> </w:t>
            </w:r>
            <w:r w:rsidRPr="009A4FAE">
              <w:rPr>
                <w:rFonts w:eastAsia="Calibri"/>
                <w:szCs w:val="22"/>
                <w:lang w:eastAsia="en-US"/>
              </w:rPr>
              <w:t xml:space="preserve">– </w:t>
            </w:r>
            <w:r w:rsidRPr="009A4FAE">
              <w:rPr>
                <w:rFonts w:eastAsia="Calibri"/>
                <w:lang w:eastAsia="zh-CN"/>
              </w:rPr>
              <w:t>Pagal vartotojų kainų indeksą  „Vartojimo paslaugos“ apskaičiuotas Vartojimo prekių ir paslaugų  kainų pokytis (padidėjimas arba sumažėjimas) (%)</w:t>
            </w:r>
            <w:r w:rsidRPr="009A4FAE">
              <w:rPr>
                <w:rFonts w:eastAsia="Calibri"/>
                <w:szCs w:val="22"/>
                <w:lang w:eastAsia="en-US"/>
              </w:rPr>
              <w:t xml:space="preserve">. </w:t>
            </w:r>
          </w:p>
          <w:p w14:paraId="67F2739A" w14:textId="77777777" w:rsidR="00F43FE1" w:rsidRPr="009A4FAE" w:rsidRDefault="00F43FE1" w:rsidP="009B1640">
            <w:pPr>
              <w:suppressAutoHyphens/>
              <w:jc w:val="both"/>
              <w:rPr>
                <w:rFonts w:eastAsia="Calibri"/>
                <w:i/>
                <w:iCs/>
                <w:color w:val="0070C0"/>
                <w:szCs w:val="22"/>
                <w:lang w:val="en-US" w:eastAsia="en-US"/>
              </w:rPr>
            </w:pPr>
            <w:r w:rsidRPr="009A4FAE">
              <w:rPr>
                <w:rFonts w:eastAsia="Calibri"/>
                <w:szCs w:val="22"/>
                <w:lang w:eastAsia="en-US"/>
              </w:rPr>
              <w:t xml:space="preserve"> „k“ reikšmė skaičiuojama pagal formulę:</w:t>
            </w:r>
          </w:p>
          <w:p w14:paraId="5B49D826" w14:textId="07BA6518" w:rsidR="00F43FE1" w:rsidRDefault="00A63B00" w:rsidP="009B1640">
            <w:pPr>
              <w:suppressAutoHyphens/>
              <w:spacing w:after="200"/>
              <w:jc w:val="both"/>
              <w:rPr>
                <w:rFonts w:eastAsia="Calibri"/>
                <w:szCs w:val="22"/>
                <w:lang w:eastAsia="en-US"/>
              </w:rPr>
            </w:pPr>
            <m:oMath>
              <m:r>
                <w:rPr>
                  <w:rFonts w:ascii="Cambria Math" w:eastAsia="Calibri" w:hAnsi="Cambria Math"/>
                  <w:szCs w:val="22"/>
                  <w:lang w:eastAsia="en-US"/>
                </w:rPr>
                <m:t>k =</m:t>
              </m:r>
              <m:f>
                <m:fPr>
                  <m:ctrlPr>
                    <w:rPr>
                      <w:rFonts w:ascii="Cambria Math" w:hAnsi="Cambria Math"/>
                      <w:i/>
                      <w:szCs w:val="22"/>
                      <w:lang w:eastAsia="en-US"/>
                    </w:rPr>
                  </m:ctrlPr>
                </m:fPr>
                <m:num>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naujausias</m:t>
                      </m:r>
                    </m:sub>
                  </m:sSub>
                </m:num>
                <m:den>
                  <m:sSub>
                    <m:sSubPr>
                      <m:ctrlPr>
                        <w:rPr>
                          <w:rFonts w:ascii="Cambria Math" w:hAnsi="Cambria Math"/>
                          <w:i/>
                          <w:szCs w:val="22"/>
                          <w:lang w:eastAsia="en-US"/>
                        </w:rPr>
                      </m:ctrlPr>
                    </m:sSubPr>
                    <m:e>
                      <m:r>
                        <w:rPr>
                          <w:rFonts w:ascii="Cambria Math" w:hAnsi="Cambria Math"/>
                          <w:szCs w:val="22"/>
                          <w:lang w:eastAsia="en-US"/>
                        </w:rPr>
                        <m:t xml:space="preserve">Ind </m:t>
                      </m:r>
                    </m:e>
                    <m:sub>
                      <m:r>
                        <w:rPr>
                          <w:rFonts w:ascii="Cambria Math" w:hAnsi="Cambria Math"/>
                          <w:szCs w:val="22"/>
                          <w:lang w:eastAsia="en-US"/>
                        </w:rPr>
                        <m:t>pradžia</m:t>
                      </m:r>
                    </m:sub>
                  </m:sSub>
                </m:den>
              </m:f>
              <m:r>
                <w:rPr>
                  <w:rFonts w:ascii="Cambria Math" w:hAnsi="Cambria Math"/>
                  <w:szCs w:val="22"/>
                  <w:lang w:eastAsia="en-US"/>
                </w:rPr>
                <m:t>×100-100</m:t>
              </m:r>
            </m:oMath>
            <w:r w:rsidR="00F43FE1">
              <w:rPr>
                <w:rFonts w:eastAsia="Calibri"/>
                <w:szCs w:val="22"/>
                <w:lang w:eastAsia="en-US"/>
              </w:rPr>
              <w:t>, (proc.), kur</w:t>
            </w:r>
          </w:p>
          <w:p w14:paraId="3AF617A6"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 xml:space="preserve">Ind </w:t>
            </w:r>
            <w:r w:rsidRPr="009A4FAE">
              <w:rPr>
                <w:rFonts w:eastAsia="Calibri"/>
                <w:szCs w:val="22"/>
                <w:vertAlign w:val="subscript"/>
                <w:lang w:eastAsia="en-US"/>
              </w:rPr>
              <w:t>naujausias</w:t>
            </w:r>
            <w:r w:rsidRPr="009A4FAE">
              <w:rPr>
                <w:rFonts w:eastAsia="Calibri"/>
                <w:szCs w:val="22"/>
                <w:lang w:eastAsia="en-US"/>
              </w:rPr>
              <w:t xml:space="preserve"> – kreipimosi dėl kainos perskaičiavimo išsiuntimo kitai šaliai datą naujausias paskelbtas vartojimo prekių ir paslaugų indeksas  „Vartojimo paslaugos“.</w:t>
            </w:r>
          </w:p>
          <w:p w14:paraId="0DF62016" w14:textId="77777777" w:rsidR="00F43FE1" w:rsidRPr="009A4FAE" w:rsidRDefault="00F43FE1" w:rsidP="009B1640">
            <w:pPr>
              <w:suppressAutoHyphens/>
              <w:jc w:val="both"/>
              <w:rPr>
                <w:rFonts w:eastAsia="Calibri"/>
                <w:szCs w:val="22"/>
                <w:lang w:eastAsia="en-US"/>
              </w:rPr>
            </w:pPr>
            <w:r w:rsidRPr="009A4FAE">
              <w:rPr>
                <w:rFonts w:eastAsia="Calibri"/>
                <w:szCs w:val="22"/>
                <w:lang w:eastAsia="en-US"/>
              </w:rPr>
              <w:t xml:space="preserve">Ind </w:t>
            </w:r>
            <w:r w:rsidRPr="009A4FAE">
              <w:rPr>
                <w:rFonts w:eastAsia="Calibri"/>
                <w:szCs w:val="22"/>
                <w:vertAlign w:val="subscript"/>
                <w:lang w:eastAsia="en-US"/>
              </w:rPr>
              <w:t>pradžia</w:t>
            </w:r>
            <w:r w:rsidRPr="009A4FAE">
              <w:rPr>
                <w:rFonts w:eastAsia="Calibri"/>
                <w:szCs w:val="22"/>
                <w:lang w:eastAsia="en-US"/>
              </w:rPr>
              <w:t xml:space="preserve"> – laikotarpio pradžios datos (mėnesio) vartojimo prekių ir paslaugų indeksas „Vartojimo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639AB3C" w14:textId="77777777" w:rsidR="00F43FE1" w:rsidRPr="009A4FAE" w:rsidRDefault="00E031D3"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 xml:space="preserve">.4. Skaičiavimams indeksų reikšmės imamos </w:t>
            </w:r>
            <w:r w:rsidR="00F43FE1" w:rsidRPr="009A4FAE">
              <w:rPr>
                <w:rFonts w:eastAsia="Calibri"/>
                <w:b/>
                <w:bCs/>
                <w:szCs w:val="22"/>
                <w:lang w:eastAsia="en-US"/>
              </w:rPr>
              <w:t>keturių</w:t>
            </w:r>
            <w:r w:rsidR="00F43FE1" w:rsidRPr="009A4FAE">
              <w:rPr>
                <w:rFonts w:eastAsia="Calibri"/>
                <w:szCs w:val="22"/>
                <w:lang w:eastAsia="en-US"/>
              </w:rPr>
              <w:t xml:space="preserve"> skaitmenų po kablelio tikslumu. Apskaičiuotas pokytis (k) tolimesniems skaičiavimams naudojamas suapvalinus iki </w:t>
            </w:r>
            <w:r w:rsidR="00F43FE1" w:rsidRPr="009A4FAE">
              <w:rPr>
                <w:rFonts w:eastAsia="Calibri"/>
                <w:b/>
                <w:bCs/>
                <w:szCs w:val="22"/>
                <w:lang w:eastAsia="en-US"/>
              </w:rPr>
              <w:t>vieno</w:t>
            </w:r>
            <w:r w:rsidR="00F43FE1" w:rsidRPr="009A4FAE">
              <w:rPr>
                <w:rFonts w:eastAsia="Calibri"/>
                <w:szCs w:val="22"/>
                <w:lang w:eastAsia="en-US"/>
              </w:rPr>
              <w:t xml:space="preserve"> skaitmens po kablelio, o apskaičiuotas įkainis „a“ suapvalinamas iki </w:t>
            </w:r>
            <w:r w:rsidR="00F43FE1" w:rsidRPr="009A4FAE">
              <w:rPr>
                <w:rFonts w:eastAsia="Calibri"/>
                <w:b/>
                <w:bCs/>
                <w:szCs w:val="22"/>
                <w:lang w:eastAsia="en-US"/>
              </w:rPr>
              <w:t xml:space="preserve">dviejų </w:t>
            </w:r>
            <w:r w:rsidR="00F43FE1" w:rsidRPr="009A4FAE">
              <w:rPr>
                <w:rFonts w:eastAsia="Calibri"/>
                <w:szCs w:val="22"/>
                <w:lang w:eastAsia="en-US"/>
              </w:rPr>
              <w:t xml:space="preserve">skaitmenų po kablelio; </w:t>
            </w:r>
          </w:p>
          <w:p w14:paraId="5D6ADBF6" w14:textId="77777777" w:rsidR="00F43FE1" w:rsidRPr="009A4FAE" w:rsidRDefault="00E031D3"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 xml:space="preserve">.5. Vėlesnis įkainių perskaičiavimas negali apimti laikotarpio, už kurį jau buvo atliktas perskaičiavimas. </w:t>
            </w:r>
          </w:p>
          <w:p w14:paraId="67854AED" w14:textId="77777777" w:rsidR="00F43FE1" w:rsidRPr="009A4FAE" w:rsidRDefault="00E031D3"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 xml:space="preserve">.6. Jeigu gamintojų parduotos pramonės produkcijos kainų pokytis (k), </w:t>
            </w:r>
            <w:r>
              <w:rPr>
                <w:rFonts w:eastAsia="Calibri"/>
                <w:szCs w:val="22"/>
                <w:lang w:eastAsia="en-US"/>
              </w:rPr>
              <w:t>apskaičiuotas kaip nustatyta 2.3</w:t>
            </w:r>
            <w:r w:rsidR="00F43FE1" w:rsidRPr="009A4FAE">
              <w:rPr>
                <w:rFonts w:eastAsia="Calibri"/>
                <w:szCs w:val="22"/>
                <w:lang w:eastAsia="en-US"/>
              </w:rPr>
              <w:t>.3 punkte, viršija 30 procentų nuo pradinio sutarties įkainio sutarties pasirašymo dieną, prekės įkainiai bus perskaičiuojami maksimaliu 30 procentų pokyčiu.</w:t>
            </w:r>
          </w:p>
          <w:p w14:paraId="7F9848C6" w14:textId="77777777" w:rsidR="00F43FE1" w:rsidRDefault="00E031D3" w:rsidP="009B1640">
            <w:pPr>
              <w:suppressAutoHyphens/>
              <w:jc w:val="both"/>
              <w:rPr>
                <w:rFonts w:eastAsia="Calibri"/>
                <w:szCs w:val="22"/>
                <w:lang w:eastAsia="en-US"/>
              </w:rPr>
            </w:pPr>
            <w:r>
              <w:rPr>
                <w:rFonts w:eastAsia="Calibri"/>
                <w:szCs w:val="22"/>
                <w:lang w:eastAsia="en-US"/>
              </w:rPr>
              <w:t>2.3</w:t>
            </w:r>
            <w:r w:rsidR="00F43FE1" w:rsidRPr="009A4FAE">
              <w:rPr>
                <w:rFonts w:eastAsia="Calibri"/>
                <w:szCs w:val="22"/>
                <w:lang w:eastAsia="en-US"/>
              </w:rPr>
              <w:t>.7. Jei Sutarties kaina buvo peržiūrėta pagal Sutartyje nurodytas kainų peržiūros sąlygas, atitinkamai patikslinama (didėja arba mažėja) pradinė sutarties vertė</w:t>
            </w:r>
            <w:r w:rsidR="00F43FE1">
              <w:rPr>
                <w:rFonts w:eastAsia="Calibri"/>
                <w:szCs w:val="22"/>
                <w:lang w:eastAsia="en-US"/>
              </w:rPr>
              <w:t>.</w:t>
            </w:r>
          </w:p>
          <w:p w14:paraId="102CDC9A" w14:textId="77777777" w:rsidR="001E45CA" w:rsidRPr="00301C58" w:rsidRDefault="001E45CA" w:rsidP="009B1640">
            <w:pPr>
              <w:suppressAutoHyphens/>
              <w:jc w:val="both"/>
              <w:rPr>
                <w:rFonts w:eastAsia="Calibri"/>
                <w:szCs w:val="22"/>
                <w:lang w:val="en-US" w:eastAsia="en-US"/>
              </w:rPr>
            </w:pPr>
            <w:r>
              <w:t xml:space="preserve">2.4. </w:t>
            </w:r>
            <w:r w:rsidRPr="003919AD">
              <w:t xml:space="preserve">Esant poreikiui </w:t>
            </w:r>
            <w:r w:rsidRPr="003919AD">
              <w:rPr>
                <w:b/>
              </w:rPr>
              <w:t>Pirkėjas</w:t>
            </w:r>
            <w:r w:rsidRPr="003919AD">
              <w:t xml:space="preserve"> papildomai gali įsigyti sąraše nenurodytų, tačiau su pirkimo objektu susijusių </w:t>
            </w:r>
            <w:r>
              <w:t>P</w:t>
            </w:r>
            <w:r w:rsidRPr="003919AD">
              <w:t>aslaugų, neviršijant 10 (dešimt) procentų Pradinės Sutarties vertės, nurodytos Sutarties Specialiosios dalies 2.1 p</w:t>
            </w:r>
            <w:r>
              <w:t>unkte.</w:t>
            </w:r>
            <w:r w:rsidRPr="003919AD">
              <w:t xml:space="preserve">  </w:t>
            </w:r>
          </w:p>
        </w:tc>
      </w:tr>
      <w:tr w:rsidR="00D14114" w14:paraId="4EF15B00" w14:textId="77777777" w:rsidTr="001A3760">
        <w:tc>
          <w:tcPr>
            <w:tcW w:w="10368" w:type="dxa"/>
            <w:shd w:val="clear" w:color="auto" w:fill="auto"/>
          </w:tcPr>
          <w:p w14:paraId="3E16F337" w14:textId="655AF454" w:rsidR="00D14114" w:rsidRDefault="00D14114" w:rsidP="001A3760">
            <w:pPr>
              <w:rPr>
                <w:b/>
              </w:rPr>
            </w:pPr>
            <w:r w:rsidRPr="007A4D14">
              <w:rPr>
                <w:b/>
              </w:rPr>
              <w:lastRenderedPageBreak/>
              <w:t xml:space="preserve">3. Paslaugų teikimo vieta, terminas ir sąlygos </w:t>
            </w:r>
          </w:p>
          <w:p w14:paraId="117D572E" w14:textId="27B7DC55" w:rsidR="00550EC2" w:rsidRDefault="00550EC2" w:rsidP="00550EC2">
            <w:pPr>
              <w:jc w:val="both"/>
            </w:pPr>
            <w:r>
              <w:rPr>
                <w:color w:val="000000"/>
                <w:lang w:eastAsia="en-US"/>
              </w:rPr>
              <w:t xml:space="preserve">3.1. </w:t>
            </w:r>
            <w:r w:rsidRPr="00250D2A">
              <w:rPr>
                <w:b/>
                <w:color w:val="000000"/>
                <w:lang w:eastAsia="en-US"/>
              </w:rPr>
              <w:t>Teikėjas</w:t>
            </w:r>
            <w:r>
              <w:rPr>
                <w:color w:val="000000"/>
                <w:lang w:eastAsia="en-US"/>
              </w:rPr>
              <w:t xml:space="preserve"> per 3 (tris) darbo dienas nuo sutarties </w:t>
            </w:r>
            <w:r w:rsidR="00374793">
              <w:rPr>
                <w:color w:val="000000"/>
                <w:lang w:eastAsia="en-US"/>
              </w:rPr>
              <w:t>pasirašymo</w:t>
            </w:r>
            <w:r>
              <w:rPr>
                <w:color w:val="000000"/>
                <w:lang w:eastAsia="en-US"/>
              </w:rPr>
              <w:t xml:space="preserve"> turi susitikti su perkančiosios organizacijos atstovais ir aptarti paslaugos pasiūlymą ir įgyvendinimo planą. </w:t>
            </w:r>
            <w:r w:rsidRPr="00A54BC7">
              <w:t xml:space="preserve">Paslaugos teikiamos pagal Paslaugų </w:t>
            </w:r>
            <w:r>
              <w:t>įgyvendinimo veiksmų</w:t>
            </w:r>
            <w:r w:rsidRPr="00A54BC7">
              <w:t xml:space="preserve"> grafiką, kurį </w:t>
            </w:r>
            <w:r w:rsidRPr="002E60BD">
              <w:rPr>
                <w:b/>
              </w:rPr>
              <w:t>Pirkėjas</w:t>
            </w:r>
            <w:r w:rsidRPr="00A54BC7">
              <w:t xml:space="preserve"> ir </w:t>
            </w:r>
            <w:r w:rsidRPr="002E60BD">
              <w:rPr>
                <w:b/>
              </w:rPr>
              <w:t>Teikėjas</w:t>
            </w:r>
            <w:r w:rsidRPr="00A54BC7">
              <w:t xml:space="preserve"> raštu</w:t>
            </w:r>
            <w:r>
              <w:t xml:space="preserve"> ir/ar žodžiu, susitikimo metu aptarus </w:t>
            </w:r>
            <w:r>
              <w:rPr>
                <w:color w:val="000000"/>
                <w:lang w:eastAsia="en-US"/>
              </w:rPr>
              <w:t>paslaugos pasiūlymą ir įgyvendinimo planą,</w:t>
            </w:r>
            <w:r w:rsidRPr="00A54BC7">
              <w:t xml:space="preserve"> suderina </w:t>
            </w:r>
            <w:r w:rsidR="005B4B99">
              <w:t>per 2 (dvi</w:t>
            </w:r>
            <w:r w:rsidRPr="00C301CD">
              <w:t xml:space="preserve">) </w:t>
            </w:r>
            <w:r w:rsidR="005B4B99">
              <w:t>savaites</w:t>
            </w:r>
            <w:r w:rsidR="009B1640">
              <w:t xml:space="preserve">. </w:t>
            </w:r>
            <w:r>
              <w:t>Sutarties vykdymo metu šis grafikas gali būti koreguojamas pagal poreikį abipusiu šalių rašytiniu susitarimu, kuris yra neatskiriama šios Sutarties dalis.</w:t>
            </w:r>
          </w:p>
          <w:p w14:paraId="6A980253" w14:textId="210094C3" w:rsidR="00CF3A43" w:rsidRDefault="00CF3A43" w:rsidP="00550EC2">
            <w:pPr>
              <w:jc w:val="both"/>
              <w:rPr>
                <w:color w:val="000000"/>
              </w:rPr>
            </w:pPr>
            <w:r>
              <w:t xml:space="preserve">3.2. </w:t>
            </w:r>
            <w:r w:rsidRPr="00085201">
              <w:rPr>
                <w:b/>
                <w:kern w:val="2"/>
                <w:shd w:val="clear" w:color="auto" w:fill="FFFFFF"/>
              </w:rPr>
              <w:t xml:space="preserve">Teikėjas </w:t>
            </w:r>
            <w:r w:rsidRPr="00085201">
              <w:rPr>
                <w:kern w:val="2"/>
                <w:shd w:val="clear" w:color="auto" w:fill="FFFFFF"/>
              </w:rPr>
              <w:t xml:space="preserve">įsipareigoja pirkimo sutarties vykdymui paskirti ne mažiau kaip 1 (vieną) kibernetinio saugumo specialistą, </w:t>
            </w:r>
            <w:r w:rsidRPr="00085201">
              <w:rPr>
                <w:color w:val="000000"/>
              </w:rPr>
              <w:t>turintį tarptautiniu mastu pripažįstamą kvalifikaciją ar sertifikatus (CGEIT, CISM, CISSP arba lygiaverčius</w:t>
            </w:r>
            <w:r>
              <w:rPr>
                <w:color w:val="000000"/>
              </w:rPr>
              <w:t xml:space="preserve"> (</w:t>
            </w:r>
            <w:r>
              <w:rPr>
                <w:i/>
                <w:color w:val="000000"/>
              </w:rPr>
              <w:t xml:space="preserve">sertifikatų, pažymėjimų lygiavertiškumą </w:t>
            </w:r>
            <w:r>
              <w:rPr>
                <w:b/>
                <w:i/>
                <w:color w:val="000000"/>
              </w:rPr>
              <w:t xml:space="preserve">Teikėjas </w:t>
            </w:r>
            <w:r>
              <w:rPr>
                <w:i/>
                <w:color w:val="000000"/>
              </w:rPr>
              <w:t>turi gebėti pagrįsti. Dalyvavimo kursuose, mokymuose ar seminaruose sertifikatai (pažymėjimai) nėra tinkami. Turi būti išlaikytas egzaminas ir įgyta kvalifikacija patvirtinta tarptautiniu mastu pripažįstamu sertifikatu ar kitu lygiaverčiu įrodymu</w:t>
            </w:r>
            <w:r>
              <w:rPr>
                <w:color w:val="000000"/>
              </w:rPr>
              <w:t>)</w:t>
            </w:r>
            <w:r w:rsidRPr="00085201">
              <w:rPr>
                <w:color w:val="000000"/>
              </w:rPr>
              <w:t>) susijusius su dokumentų r</w:t>
            </w:r>
            <w:r w:rsidR="00EB01C5">
              <w:rPr>
                <w:color w:val="000000"/>
              </w:rPr>
              <w:t>engimo standartais ir šablonų kū</w:t>
            </w:r>
            <w:r w:rsidRPr="00085201">
              <w:rPr>
                <w:color w:val="000000"/>
              </w:rPr>
              <w:t>rimu, turintį patirtį vadovaujant kibernetinio saugumo projektams, apimantiems kibernetinio saugumo priemonių įgyvendinimą ir saugumo politikų kūrimą bei priežiūrą, per pastaruosius 3 (trejus) metus dalyvavusį įgyvendinant ne mažiau kaip 1 (vieną) sutartį (projektą), kurios metu parengė kibernetinio saugumo dokumentus atiti</w:t>
            </w:r>
            <w:r w:rsidR="00EB01C5">
              <w:rPr>
                <w:color w:val="000000"/>
              </w:rPr>
              <w:t>n</w:t>
            </w:r>
            <w:r w:rsidRPr="00085201">
              <w:rPr>
                <w:color w:val="000000"/>
              </w:rPr>
              <w:t xml:space="preserve">kančius įmonės ar organizacijos standartus, gebantį gerai rašyti, kalbėti ir suprasti lietuvių kalbą (ne žemesniu nei C1 lygiu pagal Europass kalbų pasą) (jei lietuvių kalba nėra gimtoji kalba, reikalavimas tenkinamas tokiu atveju, jei užtikrinamos kokybiškos vertimo žodžiu ir raštu paslaugos, kurių išlaidas prisiima </w:t>
            </w:r>
            <w:r w:rsidRPr="00085201">
              <w:rPr>
                <w:b/>
                <w:color w:val="000000"/>
              </w:rPr>
              <w:t xml:space="preserve">Teikėjas. </w:t>
            </w:r>
            <w:r w:rsidRPr="00085201">
              <w:rPr>
                <w:color w:val="000000"/>
              </w:rPr>
              <w:t>Specialistas</w:t>
            </w:r>
            <w:r w:rsidR="00D300F0">
              <w:rPr>
                <w:color w:val="000000"/>
              </w:rPr>
              <w:t xml:space="preserve"> (–ai)</w:t>
            </w:r>
            <w:r w:rsidRPr="00085201">
              <w:rPr>
                <w:color w:val="000000"/>
              </w:rPr>
              <w:t xml:space="preserve"> taip pat turi turėti dokumentuotą akademinę patirtį kibernetinio saugumo arba informacinių technologijų srityje, kuri gali būti patvirtinta moksliniais darbais, dėstymo veikla, diplomais ar dalyvavimu akademiniuose projektuose</w:t>
            </w:r>
            <w:r>
              <w:rPr>
                <w:color w:val="000000"/>
              </w:rPr>
              <w:t>.</w:t>
            </w:r>
          </w:p>
          <w:p w14:paraId="023C7B83" w14:textId="3F9613B7" w:rsidR="00CF3A43" w:rsidRDefault="00CF3A43" w:rsidP="00550EC2">
            <w:pPr>
              <w:jc w:val="both"/>
            </w:pPr>
            <w:r>
              <w:rPr>
                <w:color w:val="000000"/>
              </w:rPr>
              <w:t xml:space="preserve">3.3. </w:t>
            </w:r>
            <w:r w:rsidRPr="003C5119">
              <w:rPr>
                <w:b/>
                <w:color w:val="000000"/>
              </w:rPr>
              <w:t>Teikėjas</w:t>
            </w:r>
            <w:r>
              <w:rPr>
                <w:color w:val="000000"/>
              </w:rPr>
              <w:t xml:space="preserve"> per 3 (tris) darbo dienas nuo Sutarties įsigaliojimo dienos įsipareigoja pateikti Sutarties specialiosios dalies 3.2 punkte nurodyto</w:t>
            </w:r>
            <w:r w:rsidR="00D300F0">
              <w:rPr>
                <w:color w:val="000000"/>
              </w:rPr>
              <w:t xml:space="preserve"> (–ų)</w:t>
            </w:r>
            <w:r>
              <w:rPr>
                <w:color w:val="000000"/>
              </w:rPr>
              <w:t xml:space="preserve"> specialisto</w:t>
            </w:r>
            <w:r w:rsidR="00D300F0">
              <w:rPr>
                <w:color w:val="000000"/>
              </w:rPr>
              <w:t xml:space="preserve"> (–ų)</w:t>
            </w:r>
            <w:r>
              <w:rPr>
                <w:color w:val="000000"/>
              </w:rPr>
              <w:t xml:space="preserve"> kvalifikaciją ir patirtį pagrindžiančius </w:t>
            </w:r>
            <w:r w:rsidRPr="008C7768">
              <w:rPr>
                <w:color w:val="000000"/>
              </w:rPr>
              <w:lastRenderedPageBreak/>
              <w:t>dokumentus</w:t>
            </w:r>
            <w:r>
              <w:rPr>
                <w:color w:val="000000"/>
              </w:rPr>
              <w:t xml:space="preserve"> (CGEIT „The Certified in the Governance of Enterprise IT“ ar CISM „Certified Information Security Manager“ ar CISSP „Certified Information Systems Security Professional“ ar kitą lygiavertį dokumentą, </w:t>
            </w:r>
            <w:r>
              <w:rPr>
                <w:rFonts w:eastAsia="Arial Unicode MS" w:cs="Arial Unicode MS"/>
                <w:color w:val="000000"/>
                <w:u w:color="000000"/>
              </w:rPr>
              <w:t>siūlomo (–ų) specialisto (–ų) darbo patirties aprašymą (–us)</w:t>
            </w:r>
            <w:r w:rsidRPr="008C7768">
              <w:rPr>
                <w:rFonts w:eastAsia="Arial Unicode MS" w:cs="Arial Unicode MS"/>
                <w:color w:val="000000"/>
                <w:u w:color="000000"/>
              </w:rPr>
              <w:t>: darbo vieta (darbdavio pavadinimas, adresas), kontaktiniai duomenys, specializacija ir darbo sritys, įgyvendinti projektai, darbinės patirties laikotarpis ir kt.</w:t>
            </w:r>
            <w:r>
              <w:rPr>
                <w:rFonts w:eastAsia="Arial Unicode MS" w:cs="Arial Unicode MS"/>
                <w:color w:val="000000"/>
                <w:u w:color="000000"/>
              </w:rPr>
              <w:t>)</w:t>
            </w:r>
          </w:p>
          <w:p w14:paraId="10863D28" w14:textId="11DB54D6" w:rsidR="001E45CA" w:rsidRDefault="001E45CA" w:rsidP="00550EC2">
            <w:pPr>
              <w:jc w:val="both"/>
            </w:pPr>
            <w:r>
              <w:t>3.</w:t>
            </w:r>
            <w:r w:rsidR="00D300F0">
              <w:t>4</w:t>
            </w:r>
            <w:r>
              <w:t xml:space="preserve">.Teikėjas paslaugas turi suteikti ne vėliau kaip per 4 (keturis) mėnesius nuo sutarties </w:t>
            </w:r>
            <w:r w:rsidR="00553C7F">
              <w:t xml:space="preserve">įsigaliojimo </w:t>
            </w:r>
            <w:r w:rsidR="009B1640">
              <w:t>dienos</w:t>
            </w:r>
            <w:r w:rsidR="00642FD5">
              <w:t>.</w:t>
            </w:r>
          </w:p>
          <w:p w14:paraId="08E4D8EA" w14:textId="26525343" w:rsidR="00550EC2" w:rsidRDefault="00550EC2" w:rsidP="00550EC2">
            <w:pPr>
              <w:jc w:val="both"/>
              <w:rPr>
                <w:lang w:eastAsia="en-US"/>
              </w:rPr>
            </w:pPr>
            <w:r>
              <w:rPr>
                <w:color w:val="000000"/>
                <w:lang w:eastAsia="en-US"/>
              </w:rPr>
              <w:t>3</w:t>
            </w:r>
            <w:r w:rsidR="001E45CA">
              <w:rPr>
                <w:lang w:eastAsia="en-US"/>
              </w:rPr>
              <w:t>.</w:t>
            </w:r>
            <w:r w:rsidR="00D300F0">
              <w:rPr>
                <w:lang w:eastAsia="en-US"/>
              </w:rPr>
              <w:t>5</w:t>
            </w:r>
            <w:r w:rsidR="0069102E">
              <w:rPr>
                <w:lang w:eastAsia="en-US"/>
              </w:rPr>
              <w:t>. Paslaugų teikimo vieta – Lietuvos Respublikos K</w:t>
            </w:r>
            <w:r>
              <w:rPr>
                <w:lang w:eastAsia="en-US"/>
              </w:rPr>
              <w:t>rašto apsaugos ministerija, Totorių g. 25, Vilnius.</w:t>
            </w:r>
          </w:p>
          <w:p w14:paraId="4E623105" w14:textId="3F50E9B0" w:rsidR="00550EC2" w:rsidRDefault="001E45CA" w:rsidP="00550EC2">
            <w:pPr>
              <w:jc w:val="both"/>
              <w:rPr>
                <w:rFonts w:eastAsia="Calibri"/>
                <w:lang w:eastAsia="en-US"/>
              </w:rPr>
            </w:pPr>
            <w:r>
              <w:rPr>
                <w:lang w:eastAsia="en-US"/>
              </w:rPr>
              <w:t>3.</w:t>
            </w:r>
            <w:r w:rsidR="00D300F0">
              <w:rPr>
                <w:lang w:eastAsia="en-US"/>
              </w:rPr>
              <w:t>6</w:t>
            </w:r>
            <w:r w:rsidR="00550EC2">
              <w:rPr>
                <w:lang w:eastAsia="en-US"/>
              </w:rPr>
              <w:t xml:space="preserve">. </w:t>
            </w:r>
            <w:r w:rsidR="00550EC2" w:rsidRPr="004C362B">
              <w:rPr>
                <w:rFonts w:eastAsia="Calibri"/>
                <w:b/>
                <w:lang w:eastAsia="en-US"/>
              </w:rPr>
              <w:t>Teikėjas</w:t>
            </w:r>
            <w:r w:rsidR="00550EC2">
              <w:rPr>
                <w:rFonts w:eastAsia="Calibri"/>
                <w:lang w:eastAsia="en-US"/>
              </w:rPr>
              <w:t xml:space="preserve"> privalo raštu nedelsdamas informuoti </w:t>
            </w:r>
            <w:r w:rsidR="00550EC2" w:rsidRPr="004C362B">
              <w:rPr>
                <w:rFonts w:eastAsia="Calibri"/>
                <w:b/>
                <w:lang w:eastAsia="en-US"/>
              </w:rPr>
              <w:t>Pirkėją</w:t>
            </w:r>
            <w:r w:rsidR="00550EC2">
              <w:rPr>
                <w:rFonts w:eastAsia="Calibri"/>
                <w:b/>
                <w:lang w:eastAsia="en-US"/>
              </w:rPr>
              <w:t xml:space="preserve"> </w:t>
            </w:r>
            <w:r w:rsidR="00550EC2" w:rsidRPr="004C362B">
              <w:rPr>
                <w:rFonts w:eastAsia="Calibri"/>
                <w:lang w:eastAsia="en-US"/>
              </w:rPr>
              <w:t xml:space="preserve">apie objektyvias sąlygas, trukdančias teikti </w:t>
            </w:r>
            <w:r w:rsidR="00550EC2">
              <w:rPr>
                <w:rFonts w:eastAsia="Calibri"/>
                <w:lang w:eastAsia="en-US"/>
              </w:rPr>
              <w:t>P</w:t>
            </w:r>
            <w:r w:rsidR="00550EC2" w:rsidRPr="004C362B">
              <w:rPr>
                <w:rFonts w:eastAsia="Calibri"/>
                <w:lang w:eastAsia="en-US"/>
              </w:rPr>
              <w:t>aslaugas.</w:t>
            </w:r>
          </w:p>
          <w:p w14:paraId="27FF6682" w14:textId="1E21CF32" w:rsidR="00550EC2" w:rsidRPr="00B44B41" w:rsidRDefault="001E45CA" w:rsidP="00550EC2">
            <w:pPr>
              <w:jc w:val="both"/>
            </w:pPr>
            <w:r>
              <w:rPr>
                <w:rFonts w:eastAsia="Calibri"/>
                <w:lang w:eastAsia="en-US"/>
              </w:rPr>
              <w:t>3.</w:t>
            </w:r>
            <w:r w:rsidR="00D300F0">
              <w:rPr>
                <w:rFonts w:eastAsia="Calibri"/>
                <w:lang w:eastAsia="en-US"/>
              </w:rPr>
              <w:t>7</w:t>
            </w:r>
            <w:r w:rsidR="00550EC2">
              <w:rPr>
                <w:rFonts w:eastAsia="Calibri"/>
                <w:lang w:eastAsia="en-US"/>
              </w:rPr>
              <w:t>.</w:t>
            </w:r>
            <w:r w:rsidR="00550EC2">
              <w:rPr>
                <w:rFonts w:eastAsia="Calibri"/>
              </w:rPr>
              <w:t xml:space="preserve"> </w:t>
            </w:r>
            <w:r w:rsidR="00550EC2">
              <w:rPr>
                <w:lang w:eastAsia="en-US"/>
              </w:rPr>
              <w:t>S</w:t>
            </w:r>
            <w:r w:rsidR="00550EC2" w:rsidRPr="00052747">
              <w:rPr>
                <w:lang w:eastAsia="en-US"/>
              </w:rPr>
              <w:t xml:space="preserve">uteiktos </w:t>
            </w:r>
            <w:r w:rsidR="00550EC2">
              <w:t>Paslaugos priimamos</w:t>
            </w:r>
            <w:r w:rsidR="00550EC2" w:rsidRPr="00052747">
              <w:t xml:space="preserve"> </w:t>
            </w:r>
            <w:r w:rsidR="00550EC2" w:rsidRPr="00BF0E9B">
              <w:t xml:space="preserve">abiem Šalims </w:t>
            </w:r>
            <w:r w:rsidR="00550EC2" w:rsidRPr="00052747">
              <w:t>pasirašant paslaugų perdavimo-priėmimo aktą pagal Sutarties bendrosios dalies 3.2 punktą.</w:t>
            </w:r>
            <w:r w:rsidR="00550EC2">
              <w:t xml:space="preserve"> Perdavimo – </w:t>
            </w:r>
            <w:r w:rsidR="009B1640">
              <w:t>priėmimo aktas pasirašomas per 2</w:t>
            </w:r>
            <w:r w:rsidR="00550EC2">
              <w:t>0 (</w:t>
            </w:r>
            <w:r w:rsidR="009B1640">
              <w:t>dvi</w:t>
            </w:r>
            <w:r w:rsidR="00550EC2">
              <w:t>dešimt) darbo dienų.</w:t>
            </w:r>
          </w:p>
          <w:p w14:paraId="0C0C4CF7" w14:textId="121664DE" w:rsidR="00D14114" w:rsidRPr="002728C6" w:rsidRDefault="001E45CA" w:rsidP="00550EC2">
            <w:pPr>
              <w:jc w:val="both"/>
            </w:pPr>
            <w:r>
              <w:rPr>
                <w:rFonts w:eastAsia="Calibri"/>
                <w:lang w:eastAsia="en-US"/>
              </w:rPr>
              <w:t>3.</w:t>
            </w:r>
            <w:r w:rsidR="00D300F0">
              <w:rPr>
                <w:rFonts w:eastAsia="Calibri"/>
                <w:lang w:eastAsia="en-US"/>
              </w:rPr>
              <w:t>8</w:t>
            </w:r>
            <w:r w:rsidR="00550EC2">
              <w:rPr>
                <w:rFonts w:eastAsia="Calibri"/>
                <w:lang w:eastAsia="en-US"/>
              </w:rPr>
              <w:t xml:space="preserve">. </w:t>
            </w:r>
            <w:r w:rsidR="00550EC2">
              <w:rPr>
                <w:b/>
                <w:color w:val="000000"/>
              </w:rPr>
              <w:t>Teikėjas</w:t>
            </w:r>
            <w:r w:rsidR="00550EC2" w:rsidRPr="00072A45">
              <w:rPr>
                <w:color w:val="000000"/>
              </w:rPr>
              <w:t xml:space="preserve"> privalo užtikrinti, kad Sutarties sudarymo ir vykdymo metu neatsirastų aplinkybių nurodytų Viešųjų pirkimų įstatymo 45 straipsnio 2</w:t>
            </w:r>
            <w:r w:rsidR="00550EC2" w:rsidRPr="00072A45">
              <w:rPr>
                <w:color w:val="000000"/>
                <w:vertAlign w:val="superscript"/>
              </w:rPr>
              <w:t>1</w:t>
            </w:r>
            <w:r w:rsidR="00550EC2" w:rsidRPr="00072A45">
              <w:rPr>
                <w:color w:val="000000"/>
              </w:rPr>
              <w:t xml:space="preserve"> dalyje. </w:t>
            </w:r>
            <w:r w:rsidR="00550EC2" w:rsidRPr="00072A45">
              <w:rPr>
                <w:b/>
                <w:color w:val="000000"/>
              </w:rPr>
              <w:t>Pirkėjas</w:t>
            </w:r>
            <w:r w:rsidR="00550EC2" w:rsidRPr="00072A45">
              <w:rPr>
                <w:color w:val="000000"/>
              </w:rPr>
              <w:t xml:space="preserve"> turi teisę bet kuriuo metu pareikalauti </w:t>
            </w:r>
            <w:r w:rsidR="00550EC2">
              <w:rPr>
                <w:b/>
                <w:color w:val="000000"/>
              </w:rPr>
              <w:t>Teikėjo</w:t>
            </w:r>
            <w:r w:rsidR="00550EC2" w:rsidRPr="00072A45">
              <w:rPr>
                <w:color w:val="000000"/>
              </w:rPr>
              <w:t>, pateikti pagrindžiančius dokumentus nurodytus Viešųjų pirkimų įstatymo 51 straipsnio 12 dalyje, kad nėra sąlygų, numatytų Viešųjų pirkimų</w:t>
            </w:r>
            <w:r w:rsidR="00550EC2">
              <w:rPr>
                <w:color w:val="000000"/>
              </w:rPr>
              <w:t xml:space="preserve"> </w:t>
            </w:r>
            <w:r w:rsidR="00550EC2" w:rsidRPr="00072A45">
              <w:rPr>
                <w:color w:val="000000"/>
              </w:rPr>
              <w:t>įstatymo 45 straipsnio 2</w:t>
            </w:r>
            <w:r w:rsidR="00550EC2" w:rsidRPr="00072A45">
              <w:rPr>
                <w:color w:val="000000"/>
                <w:vertAlign w:val="superscript"/>
              </w:rPr>
              <w:t>1</w:t>
            </w:r>
            <w:r w:rsidR="00550EC2" w:rsidRPr="00072A45">
              <w:rPr>
                <w:color w:val="000000"/>
              </w:rPr>
              <w:t xml:space="preserve"> dalyje. </w:t>
            </w:r>
            <w:r w:rsidR="00550EC2">
              <w:rPr>
                <w:b/>
                <w:color w:val="000000"/>
              </w:rPr>
              <w:t>Teikėjas</w:t>
            </w:r>
            <w:r w:rsidR="00550EC2" w:rsidRPr="00072A45">
              <w:rPr>
                <w:color w:val="000000"/>
              </w:rPr>
              <w:t xml:space="preserve"> privalo</w:t>
            </w:r>
            <w:r w:rsidR="00550EC2">
              <w:rPr>
                <w:color w:val="000000"/>
              </w:rPr>
              <w:t xml:space="preserve"> </w:t>
            </w:r>
            <w:r w:rsidR="00550EC2" w:rsidRPr="00072A45">
              <w:rPr>
                <w:color w:val="000000"/>
              </w:rPr>
              <w:t xml:space="preserve">pateikti </w:t>
            </w:r>
            <w:r w:rsidR="00550EC2" w:rsidRPr="00072A45">
              <w:rPr>
                <w:b/>
                <w:color w:val="000000"/>
              </w:rPr>
              <w:t>Pirkėjo</w:t>
            </w:r>
            <w:r w:rsidR="00550EC2" w:rsidRPr="00072A45">
              <w:rPr>
                <w:color w:val="000000"/>
              </w:rPr>
              <w:t xml:space="preserve"> prašomus dokumentus ne vėliau kaip per 10</w:t>
            </w:r>
            <w:r w:rsidR="00550EC2">
              <w:rPr>
                <w:color w:val="000000"/>
              </w:rPr>
              <w:t xml:space="preserve"> (dešimt)</w:t>
            </w:r>
            <w:r w:rsidR="00550EC2" w:rsidRPr="00072A45">
              <w:rPr>
                <w:color w:val="000000"/>
              </w:rPr>
              <w:t xml:space="preserve"> darbo dienų nuo prašymo gavimo dienos.</w:t>
            </w:r>
          </w:p>
        </w:tc>
      </w:tr>
      <w:tr w:rsidR="00D14114" w14:paraId="18721758" w14:textId="77777777" w:rsidTr="001A3760">
        <w:tc>
          <w:tcPr>
            <w:tcW w:w="10368" w:type="dxa"/>
            <w:shd w:val="clear" w:color="auto" w:fill="auto"/>
          </w:tcPr>
          <w:p w14:paraId="1C3CDC7A" w14:textId="77777777" w:rsidR="00D14114" w:rsidRPr="007A4D14" w:rsidRDefault="00D14114" w:rsidP="001A3760">
            <w:pPr>
              <w:rPr>
                <w:b/>
              </w:rPr>
            </w:pPr>
            <w:r w:rsidRPr="007A4D14">
              <w:rPr>
                <w:b/>
              </w:rPr>
              <w:lastRenderedPageBreak/>
              <w:t>4. Apmokėjimo tvarka</w:t>
            </w:r>
          </w:p>
          <w:p w14:paraId="65E3071D" w14:textId="77777777" w:rsidR="00E86C82" w:rsidRDefault="00E86C82" w:rsidP="00E86C82">
            <w:pPr>
              <w:jc w:val="both"/>
            </w:pPr>
            <w:r w:rsidRPr="00114A8E">
              <w:t xml:space="preserve">4.1. </w:t>
            </w:r>
            <w:r>
              <w:rPr>
                <w:b/>
              </w:rPr>
              <w:t xml:space="preserve">Pirkėjas </w:t>
            </w:r>
            <w:r>
              <w:t xml:space="preserve">su </w:t>
            </w:r>
            <w:r>
              <w:rPr>
                <w:b/>
              </w:rPr>
              <w:t xml:space="preserve">Teikėju </w:t>
            </w:r>
            <w:r>
              <w:t xml:space="preserve">atsiskaito Sutarties bendrosios dalies 4.1 papunktyje nustatyta tvarka. </w:t>
            </w:r>
          </w:p>
          <w:p w14:paraId="5194D8B9" w14:textId="3D2A6B1B" w:rsidR="00E86C82" w:rsidRDefault="008C7438" w:rsidP="00E86C82">
            <w:pPr>
              <w:jc w:val="both"/>
            </w:pPr>
            <w:r>
              <w:t xml:space="preserve">4.2. </w:t>
            </w:r>
            <w:r w:rsidR="009B1640" w:rsidRPr="009B1640">
              <w:t>Avanso mokėjimas nenumatomas.</w:t>
            </w:r>
          </w:p>
          <w:p w14:paraId="564B0E58" w14:textId="77777777" w:rsidR="00D14114" w:rsidRPr="00256EDC" w:rsidRDefault="00324E5A" w:rsidP="00B9181F">
            <w:r>
              <w:t xml:space="preserve">4.3. </w:t>
            </w:r>
            <w:r w:rsidRPr="005827A0">
              <w:t xml:space="preserve">Vykdant Sutartį, PVM sąskaitos faktūros turi būti teikiamos naudojantis informacinės sistemos </w:t>
            </w:r>
            <w:r w:rsidRPr="0037478B">
              <w:t>„</w:t>
            </w:r>
            <w:r>
              <w:t>SABIS</w:t>
            </w:r>
            <w:r w:rsidRPr="0037478B">
              <w:t>“</w:t>
            </w:r>
            <w:r>
              <w:t xml:space="preserve"> </w:t>
            </w:r>
            <w:r w:rsidRPr="005827A0">
              <w:t xml:space="preserve">priemonėmis, nurodant </w:t>
            </w:r>
            <w:r w:rsidRPr="005827A0">
              <w:rPr>
                <w:b/>
              </w:rPr>
              <w:t xml:space="preserve">Pirkėją, </w:t>
            </w:r>
            <w:r>
              <w:rPr>
                <w:b/>
              </w:rPr>
              <w:t>Pirkėjas</w:t>
            </w:r>
            <w:r w:rsidRPr="005827A0">
              <w:rPr>
                <w:b/>
              </w:rPr>
              <w:t xml:space="preserve">, </w:t>
            </w:r>
            <w:r w:rsidRPr="005827A0">
              <w:t xml:space="preserve">Sutarties numerį ir datą. Jeigu </w:t>
            </w:r>
            <w:r w:rsidRPr="005827A0">
              <w:rPr>
                <w:b/>
              </w:rPr>
              <w:t>Teikėjas</w:t>
            </w:r>
            <w:r w:rsidRPr="005827A0">
              <w:t xml:space="preserve"> nepateikia sąskaitos informacinės sistemos „</w:t>
            </w:r>
            <w:r>
              <w:t>SABIS</w:t>
            </w:r>
            <w:r w:rsidRPr="005827A0">
              <w:t xml:space="preserve">“ priemonėmis, </w:t>
            </w:r>
            <w:r>
              <w:rPr>
                <w:b/>
              </w:rPr>
              <w:t>Pirkėjas</w:t>
            </w:r>
            <w:r>
              <w:t xml:space="preserve"> neatlieka mokėjimo</w:t>
            </w:r>
            <w:r w:rsidRPr="00CE7DFE">
              <w:t>.</w:t>
            </w:r>
          </w:p>
        </w:tc>
      </w:tr>
      <w:tr w:rsidR="00D14114" w14:paraId="5C3F29DB" w14:textId="77777777" w:rsidTr="001A3760">
        <w:tc>
          <w:tcPr>
            <w:tcW w:w="10368" w:type="dxa"/>
            <w:shd w:val="clear" w:color="auto" w:fill="auto"/>
          </w:tcPr>
          <w:p w14:paraId="6BF6487C" w14:textId="77777777" w:rsidR="00324E5A" w:rsidRDefault="00324E5A" w:rsidP="00324E5A">
            <w:pPr>
              <w:jc w:val="both"/>
              <w:rPr>
                <w:b/>
              </w:rPr>
            </w:pPr>
            <w:r w:rsidRPr="00D14114">
              <w:rPr>
                <w:b/>
              </w:rPr>
              <w:t>5. Pirkėjo teisė vienašališkai nutraukti Sutartį</w:t>
            </w:r>
          </w:p>
          <w:p w14:paraId="62479BC1" w14:textId="77777777" w:rsidR="00324E5A" w:rsidRPr="0037670B" w:rsidRDefault="00324E5A" w:rsidP="00324E5A">
            <w:pPr>
              <w:jc w:val="both"/>
              <w:rPr>
                <w:b/>
              </w:rPr>
            </w:pPr>
            <w:r w:rsidRPr="007812F6">
              <w:t xml:space="preserve">5.1. </w:t>
            </w:r>
            <w:r w:rsidRPr="007812F6">
              <w:rPr>
                <w:b/>
              </w:rPr>
              <w:t>Pirkėjas</w:t>
            </w:r>
            <w:r w:rsidRPr="007812F6">
              <w:t xml:space="preserve"> turi teisę Sutarties bendroje dalyje nustatyta tvarka Sutartį nutraukti:</w:t>
            </w:r>
          </w:p>
          <w:p w14:paraId="702F2BBA" w14:textId="77777777" w:rsidR="00324E5A" w:rsidRPr="00CC2075" w:rsidRDefault="00324E5A" w:rsidP="00324E5A">
            <w:pPr>
              <w:ind w:right="30"/>
              <w:jc w:val="both"/>
            </w:pPr>
            <w:r w:rsidRPr="00056A43">
              <w:t>5.1.1.</w:t>
            </w:r>
            <w:r>
              <w:t xml:space="preserve"> </w:t>
            </w:r>
            <w:r w:rsidRPr="00684BA5">
              <w:rPr>
                <w:b/>
              </w:rPr>
              <w:t>Teikėjui</w:t>
            </w:r>
            <w:r w:rsidRPr="00684BA5">
              <w:t xml:space="preserve"> vėluojant </w:t>
            </w:r>
            <w:r>
              <w:t>įvykdyti Sutarties specialiosios dalies 3.1. punkte nurodytą įsipareigojimą</w:t>
            </w:r>
            <w:r w:rsidRPr="00684BA5">
              <w:t xml:space="preserve"> daugiau kaip </w:t>
            </w:r>
            <w:r w:rsidRPr="00F0193E">
              <w:t>10 (dešimt) dienų</w:t>
            </w:r>
            <w:r w:rsidRPr="00684BA5">
              <w:t xml:space="preserve"> </w:t>
            </w:r>
            <w:r>
              <w:t xml:space="preserve">nuo </w:t>
            </w:r>
            <w:r w:rsidRPr="00684BA5">
              <w:t>Sutarties specialiosios dalies 3.</w:t>
            </w:r>
            <w:r>
              <w:t>1</w:t>
            </w:r>
            <w:r w:rsidRPr="00684BA5">
              <w:t xml:space="preserve"> punkte nurodyto termino </w:t>
            </w:r>
            <w:r w:rsidRPr="00684BA5">
              <w:rPr>
                <w:b/>
              </w:rPr>
              <w:t>Pirkėjas</w:t>
            </w:r>
            <w:r w:rsidRPr="00684BA5">
              <w:t xml:space="preserve"> turi teisę Sutarties bendrosios dalies 9.2 punkte nustatyta tvarka Sutartį nutraukti.</w:t>
            </w:r>
          </w:p>
          <w:p w14:paraId="5CAD7EFF" w14:textId="6363D0AF" w:rsidR="00324E5A" w:rsidRDefault="00324E5A" w:rsidP="00324E5A">
            <w:pPr>
              <w:jc w:val="both"/>
              <w:rPr>
                <w:color w:val="000000"/>
              </w:rPr>
            </w:pPr>
            <w:r>
              <w:t xml:space="preserve">5.1.2. </w:t>
            </w:r>
            <w:r>
              <w:rPr>
                <w:b/>
                <w:color w:val="000000"/>
              </w:rPr>
              <w:t>Teikėjas</w:t>
            </w:r>
            <w:r w:rsidRPr="00F36A90">
              <w:rPr>
                <w:color w:val="000000"/>
              </w:rPr>
              <w:t xml:space="preserve"> per </w:t>
            </w:r>
            <w:r w:rsidRPr="00F36A90">
              <w:rPr>
                <w:b/>
                <w:color w:val="000000"/>
              </w:rPr>
              <w:t>Pirkėjo</w:t>
            </w:r>
            <w:r w:rsidRPr="00F36A90">
              <w:rPr>
                <w:color w:val="000000"/>
              </w:rPr>
              <w:t xml:space="preserve"> nustatytą terminą</w:t>
            </w:r>
            <w:r w:rsidRPr="00C96C4D">
              <w:rPr>
                <w:color w:val="000000"/>
              </w:rPr>
              <w:t xml:space="preserve"> </w:t>
            </w:r>
            <w:r w:rsidRPr="008C2151">
              <w:rPr>
                <w:b/>
                <w:color w:val="000000"/>
              </w:rPr>
              <w:t>Pirkėjui</w:t>
            </w:r>
            <w:r w:rsidRPr="00F36A90">
              <w:rPr>
                <w:color w:val="000000"/>
              </w:rPr>
              <w:t xml:space="preserve"> nepateikia Su</w:t>
            </w:r>
            <w:r>
              <w:rPr>
                <w:color w:val="000000"/>
              </w:rPr>
              <w:t>tarties</w:t>
            </w:r>
            <w:r w:rsidR="008F2C73">
              <w:rPr>
                <w:color w:val="000000"/>
              </w:rPr>
              <w:t xml:space="preserve"> specialiosios dalies 3.8</w:t>
            </w:r>
            <w:r>
              <w:rPr>
                <w:color w:val="000000"/>
              </w:rPr>
              <w:t xml:space="preserve"> punkte nurodytų dokumentų;</w:t>
            </w:r>
          </w:p>
          <w:p w14:paraId="06EDE35E" w14:textId="735D29A9" w:rsidR="00324E5A" w:rsidRDefault="00324E5A" w:rsidP="00324E5A">
            <w:pPr>
              <w:jc w:val="both"/>
              <w:rPr>
                <w:kern w:val="2"/>
                <w:shd w:val="clear" w:color="auto" w:fill="FFFFFF"/>
              </w:rPr>
            </w:pPr>
            <w:r>
              <w:rPr>
                <w:kern w:val="2"/>
                <w:shd w:val="clear" w:color="auto" w:fill="FFFFFF"/>
              </w:rPr>
              <w:t xml:space="preserve">5.1.3. </w:t>
            </w:r>
            <w:r w:rsidRPr="00A352A8">
              <w:rPr>
                <w:kern w:val="2"/>
                <w:shd w:val="clear" w:color="auto" w:fill="FFFFFF"/>
              </w:rPr>
              <w:t xml:space="preserve">Jeigu </w:t>
            </w:r>
            <w:r w:rsidRPr="00056A43">
              <w:rPr>
                <w:b/>
                <w:kern w:val="2"/>
                <w:shd w:val="clear" w:color="auto" w:fill="FFFFFF"/>
              </w:rPr>
              <w:t xml:space="preserve">Pirkėjas </w:t>
            </w:r>
            <w:r w:rsidRPr="00A352A8">
              <w:rPr>
                <w:kern w:val="2"/>
                <w:shd w:val="clear" w:color="auto" w:fill="FFFFFF"/>
              </w:rPr>
              <w:t xml:space="preserve">sužino, kad </w:t>
            </w:r>
            <w:r w:rsidRPr="00E74234">
              <w:rPr>
                <w:b/>
                <w:kern w:val="2"/>
                <w:shd w:val="clear" w:color="auto" w:fill="FFFFFF"/>
              </w:rPr>
              <w:t xml:space="preserve">Teikėjo </w:t>
            </w:r>
            <w:r w:rsidRPr="00A352A8">
              <w:rPr>
                <w:kern w:val="2"/>
                <w:shd w:val="clear" w:color="auto" w:fill="FFFFFF"/>
              </w:rPr>
              <w:t xml:space="preserve">elgesys neatitinka </w:t>
            </w:r>
            <w:r w:rsidR="009B1640" w:rsidRPr="00A352A8">
              <w:rPr>
                <w:kern w:val="2"/>
                <w:shd w:val="clear" w:color="auto" w:fill="FFFFFF"/>
              </w:rPr>
              <w:t>Tiekėjų etikos kodekso (</w:t>
            </w:r>
            <w:hyperlink r:id="rId8" w:history="1">
              <w:r w:rsidR="009B1640" w:rsidRPr="0077703E">
                <w:rPr>
                  <w:rStyle w:val="Hyperlink"/>
                  <w:kern w:val="2"/>
                  <w:shd w:val="clear" w:color="auto" w:fill="FFFFFF"/>
                </w:rPr>
                <w:t>https://vpt.lrv.lt/media/viesa/saugykla/2024/1/w2fscibRf-4.pdf</w:t>
              </w:r>
            </w:hyperlink>
            <w:r w:rsidR="009B1640">
              <w:rPr>
                <w:kern w:val="2"/>
                <w:shd w:val="clear" w:color="auto" w:fill="FFFFFF"/>
              </w:rPr>
              <w:t xml:space="preserve">) </w:t>
            </w:r>
            <w:r w:rsidR="009B1640" w:rsidRPr="00A352A8">
              <w:rPr>
                <w:kern w:val="2"/>
                <w:shd w:val="clear" w:color="auto" w:fill="FFFFFF"/>
              </w:rPr>
              <w:t>toliau – Kodeksas)</w:t>
            </w:r>
            <w:r w:rsidRPr="00A352A8">
              <w:rPr>
                <w:kern w:val="2"/>
                <w:shd w:val="clear" w:color="auto" w:fill="FFFFFF"/>
              </w:rPr>
              <w:t xml:space="preserve"> nuostatų, ir je</w:t>
            </w:r>
            <w:r>
              <w:rPr>
                <w:kern w:val="2"/>
                <w:shd w:val="clear" w:color="auto" w:fill="FFFFFF"/>
              </w:rPr>
              <w:t>i Tei</w:t>
            </w:r>
            <w:r w:rsidRPr="00A352A8">
              <w:rPr>
                <w:kern w:val="2"/>
                <w:shd w:val="clear" w:color="auto" w:fill="FFFFFF"/>
              </w:rPr>
              <w:t xml:space="preserve">kėjas nesutinka pašalinti arba per </w:t>
            </w:r>
            <w:r w:rsidRPr="00056A43">
              <w:rPr>
                <w:b/>
                <w:kern w:val="2"/>
                <w:shd w:val="clear" w:color="auto" w:fill="FFFFFF"/>
              </w:rPr>
              <w:t>Pirkėjo</w:t>
            </w:r>
            <w:r w:rsidRPr="00A352A8">
              <w:rPr>
                <w:kern w:val="2"/>
                <w:shd w:val="clear" w:color="auto" w:fill="FFFFFF"/>
              </w:rPr>
              <w:t xml:space="preserve"> nurodytą protingą terminą nepašalina pažeidimų, </w:t>
            </w:r>
            <w:r w:rsidRPr="00056A43">
              <w:rPr>
                <w:b/>
                <w:kern w:val="2"/>
                <w:shd w:val="clear" w:color="auto" w:fill="FFFFFF"/>
              </w:rPr>
              <w:t>Pirkėjas</w:t>
            </w:r>
            <w:r w:rsidRPr="00A352A8">
              <w:rPr>
                <w:kern w:val="2"/>
                <w:shd w:val="clear" w:color="auto" w:fill="FFFFFF"/>
              </w:rPr>
              <w:t xml:space="preserve"> turi teisę  vienašališkai, nesikreipdamas į teismą, nutraukti Sutartį Bendrosiose sąlygose nustatyta tvarka.</w:t>
            </w:r>
          </w:p>
          <w:p w14:paraId="002F1FEF" w14:textId="0C3AF4F7" w:rsidR="0069102E" w:rsidRPr="0069102E" w:rsidRDefault="0069102E" w:rsidP="00324E5A">
            <w:pPr>
              <w:jc w:val="both"/>
              <w:rPr>
                <w:kern w:val="2"/>
                <w:shd w:val="clear" w:color="auto" w:fill="FFFFFF"/>
              </w:rPr>
            </w:pPr>
            <w:r w:rsidRPr="00D300F0">
              <w:rPr>
                <w:kern w:val="2"/>
                <w:shd w:val="clear" w:color="auto" w:fill="FFFFFF"/>
              </w:rPr>
              <w:t xml:space="preserve">5.1.4. </w:t>
            </w:r>
            <w:r w:rsidRPr="00D300F0">
              <w:rPr>
                <w:b/>
                <w:kern w:val="2"/>
                <w:shd w:val="clear" w:color="auto" w:fill="FFFFFF"/>
              </w:rPr>
              <w:t xml:space="preserve">Teikėjas </w:t>
            </w:r>
            <w:r w:rsidRPr="00D300F0">
              <w:rPr>
                <w:kern w:val="2"/>
                <w:shd w:val="clear" w:color="auto" w:fill="FFFFFF"/>
              </w:rPr>
              <w:t xml:space="preserve">per </w:t>
            </w:r>
            <w:r w:rsidR="00F84B82" w:rsidRPr="00D300F0">
              <w:rPr>
                <w:kern w:val="2"/>
                <w:shd w:val="clear" w:color="auto" w:fill="FFFFFF"/>
              </w:rPr>
              <w:t xml:space="preserve">Sutarties specialiosios dalies </w:t>
            </w:r>
            <w:r w:rsidR="00D300F0" w:rsidRPr="00D300F0">
              <w:rPr>
                <w:kern w:val="2"/>
                <w:shd w:val="clear" w:color="auto" w:fill="FFFFFF"/>
              </w:rPr>
              <w:t>3.3</w:t>
            </w:r>
            <w:r w:rsidR="00F84B82" w:rsidRPr="00D300F0">
              <w:rPr>
                <w:kern w:val="2"/>
                <w:shd w:val="clear" w:color="auto" w:fill="FFFFFF"/>
              </w:rPr>
              <w:t xml:space="preserve"> punkte</w:t>
            </w:r>
            <w:r w:rsidR="00F84B82" w:rsidRPr="00D300F0">
              <w:rPr>
                <w:b/>
                <w:kern w:val="2"/>
                <w:shd w:val="clear" w:color="auto" w:fill="FFFFFF"/>
              </w:rPr>
              <w:t xml:space="preserve"> </w:t>
            </w:r>
            <w:r w:rsidRPr="00D300F0">
              <w:rPr>
                <w:kern w:val="2"/>
                <w:shd w:val="clear" w:color="auto" w:fill="FFFFFF"/>
              </w:rPr>
              <w:t xml:space="preserve">nurodytą terminą nepateikia Sutarties specialiosios dalies </w:t>
            </w:r>
            <w:r w:rsidR="00D300F0" w:rsidRPr="00D300F0">
              <w:rPr>
                <w:kern w:val="2"/>
                <w:shd w:val="clear" w:color="auto" w:fill="FFFFFF"/>
              </w:rPr>
              <w:t>3</w:t>
            </w:r>
            <w:r w:rsidRPr="00D300F0">
              <w:rPr>
                <w:kern w:val="2"/>
                <w:shd w:val="clear" w:color="auto" w:fill="FFFFFF"/>
              </w:rPr>
              <w:t>.</w:t>
            </w:r>
            <w:r w:rsidR="00D300F0" w:rsidRPr="00D300F0">
              <w:rPr>
                <w:kern w:val="2"/>
                <w:shd w:val="clear" w:color="auto" w:fill="FFFFFF"/>
              </w:rPr>
              <w:t>2</w:t>
            </w:r>
            <w:r w:rsidRPr="00D300F0">
              <w:rPr>
                <w:kern w:val="2"/>
                <w:shd w:val="clear" w:color="auto" w:fill="FFFFFF"/>
              </w:rPr>
              <w:t xml:space="preserve"> punkte nurodyto ( – ų) sutarčiai vykdyti paskirto ( – ų) kibernetinio saugumo specialisto ( – ų)</w:t>
            </w:r>
            <w:r w:rsidR="003106F9" w:rsidRPr="00D300F0">
              <w:rPr>
                <w:kern w:val="2"/>
                <w:shd w:val="clear" w:color="auto" w:fill="FFFFFF"/>
              </w:rPr>
              <w:t xml:space="preserve"> ir</w:t>
            </w:r>
            <w:r w:rsidRPr="00D300F0">
              <w:rPr>
                <w:kern w:val="2"/>
                <w:shd w:val="clear" w:color="auto" w:fill="FFFFFF"/>
              </w:rPr>
              <w:t xml:space="preserve"> </w:t>
            </w:r>
            <w:r w:rsidR="007C6ED7" w:rsidRPr="00D300F0">
              <w:rPr>
                <w:kern w:val="2"/>
                <w:shd w:val="clear" w:color="auto" w:fill="FFFFFF"/>
              </w:rPr>
              <w:t xml:space="preserve">Sutarties specialiosios dalies </w:t>
            </w:r>
            <w:r w:rsidR="00D300F0" w:rsidRPr="00D300F0">
              <w:rPr>
                <w:kern w:val="2"/>
                <w:shd w:val="clear" w:color="auto" w:fill="FFFFFF"/>
              </w:rPr>
              <w:t>3</w:t>
            </w:r>
            <w:r w:rsidR="007C6ED7" w:rsidRPr="00D300F0">
              <w:rPr>
                <w:kern w:val="2"/>
                <w:shd w:val="clear" w:color="auto" w:fill="FFFFFF"/>
              </w:rPr>
              <w:t>.</w:t>
            </w:r>
            <w:r w:rsidR="00D300F0" w:rsidRPr="00D300F0">
              <w:rPr>
                <w:kern w:val="2"/>
                <w:shd w:val="clear" w:color="auto" w:fill="FFFFFF"/>
              </w:rPr>
              <w:t>3</w:t>
            </w:r>
            <w:r w:rsidR="007C6ED7" w:rsidRPr="00D300F0">
              <w:rPr>
                <w:kern w:val="2"/>
                <w:shd w:val="clear" w:color="auto" w:fill="FFFFFF"/>
              </w:rPr>
              <w:t xml:space="preserve"> punkte </w:t>
            </w:r>
            <w:r w:rsidRPr="00D300F0">
              <w:rPr>
                <w:kern w:val="2"/>
                <w:shd w:val="clear" w:color="auto" w:fill="FFFFFF"/>
              </w:rPr>
              <w:t>atitikimą keliamiems reikalavimams pagrindžiančių dokumentų.</w:t>
            </w:r>
          </w:p>
          <w:p w14:paraId="6F3841BF" w14:textId="33E915E9" w:rsidR="0069102E" w:rsidRPr="0069102E" w:rsidRDefault="0069102E" w:rsidP="00324E5A">
            <w:pPr>
              <w:jc w:val="both"/>
              <w:rPr>
                <w:szCs w:val="22"/>
              </w:rPr>
            </w:pPr>
            <w:r>
              <w:rPr>
                <w:color w:val="000000"/>
              </w:rPr>
              <w:t>5.1.5</w:t>
            </w:r>
            <w:r w:rsidR="00324E5A">
              <w:rPr>
                <w:color w:val="000000"/>
              </w:rPr>
              <w:t xml:space="preserve">. </w:t>
            </w:r>
            <w:r w:rsidR="00324E5A">
              <w:rPr>
                <w:szCs w:val="22"/>
              </w:rPr>
              <w:t>K</w:t>
            </w:r>
            <w:r w:rsidR="00324E5A" w:rsidRPr="00105074">
              <w:rPr>
                <w:szCs w:val="22"/>
              </w:rPr>
              <w:t xml:space="preserve">itais vienašalio Sutarties nutraukimo atvejais numatytais Sutarties </w:t>
            </w:r>
            <w:r w:rsidR="00324E5A">
              <w:rPr>
                <w:szCs w:val="22"/>
              </w:rPr>
              <w:t>b</w:t>
            </w:r>
            <w:r w:rsidR="00324E5A" w:rsidRPr="00105074">
              <w:rPr>
                <w:szCs w:val="22"/>
              </w:rPr>
              <w:t>endrosios dalies 9.2 p</w:t>
            </w:r>
            <w:r w:rsidR="00324E5A">
              <w:rPr>
                <w:szCs w:val="22"/>
              </w:rPr>
              <w:t>unkte</w:t>
            </w:r>
            <w:r w:rsidR="00324E5A" w:rsidRPr="00105074">
              <w:rPr>
                <w:szCs w:val="22"/>
              </w:rPr>
              <w:t>.</w:t>
            </w:r>
          </w:p>
        </w:tc>
      </w:tr>
      <w:tr w:rsidR="00D14114" w14:paraId="71EF84ED" w14:textId="77777777" w:rsidTr="001A3760">
        <w:tc>
          <w:tcPr>
            <w:tcW w:w="10368" w:type="dxa"/>
            <w:shd w:val="clear" w:color="auto" w:fill="auto"/>
          </w:tcPr>
          <w:p w14:paraId="7E359EEE" w14:textId="77777777" w:rsidR="00D14114" w:rsidRPr="007A4D14" w:rsidRDefault="00D14114" w:rsidP="001A3760">
            <w:pPr>
              <w:rPr>
                <w:b/>
              </w:rPr>
            </w:pPr>
            <w:r w:rsidRPr="007A4D14">
              <w:rPr>
                <w:b/>
              </w:rPr>
              <w:t xml:space="preserve">6. Paslaugų kokybė </w:t>
            </w:r>
          </w:p>
          <w:p w14:paraId="6A1F11A3" w14:textId="77777777" w:rsidR="001978B8" w:rsidRDefault="001978B8" w:rsidP="001978B8">
            <w:pPr>
              <w:jc w:val="both"/>
            </w:pPr>
            <w:r>
              <w:t>6.1.Teikiamos paslaugos</w:t>
            </w:r>
            <w:r w:rsidRPr="00D14114">
              <w:t xml:space="preserve"> privalo atitikti Sutartyje ir jos prieduose </w:t>
            </w:r>
            <w:r w:rsidRPr="00C33D3A">
              <w:t>nustatytus</w:t>
            </w:r>
            <w:r w:rsidRPr="00D14114">
              <w:t xml:space="preserve"> reikalavimus.</w:t>
            </w:r>
          </w:p>
          <w:p w14:paraId="44F479C0" w14:textId="77777777" w:rsidR="00D14114" w:rsidRPr="00A84F67" w:rsidRDefault="001978B8" w:rsidP="001978B8">
            <w:pPr>
              <w:jc w:val="both"/>
              <w:rPr>
                <w:b/>
              </w:rPr>
            </w:pPr>
            <w:r>
              <w:t xml:space="preserve">6.2. </w:t>
            </w:r>
            <w:r w:rsidRPr="00E9462D">
              <w:rPr>
                <w:rFonts w:eastAsia="Calibri"/>
                <w:b/>
                <w:lang w:eastAsia="en-US"/>
              </w:rPr>
              <w:t>Pirkėjui</w:t>
            </w:r>
            <w:r w:rsidRPr="00E52797">
              <w:rPr>
                <w:rFonts w:eastAsia="Calibri"/>
                <w:lang w:eastAsia="en-US"/>
              </w:rPr>
              <w:t xml:space="preserve"> </w:t>
            </w:r>
            <w:r>
              <w:rPr>
                <w:rFonts w:eastAsia="Calibri"/>
                <w:lang w:eastAsia="en-US"/>
              </w:rPr>
              <w:t>p</w:t>
            </w:r>
            <w:r w:rsidRPr="00E52797">
              <w:rPr>
                <w:rFonts w:eastAsia="Calibri"/>
                <w:lang w:eastAsia="en-US"/>
              </w:rPr>
              <w:t xml:space="preserve">aslaugų teikimo ar priėmimo metu pastebėjus, kad suteiktos </w:t>
            </w:r>
            <w:r>
              <w:rPr>
                <w:rFonts w:eastAsia="Calibri"/>
                <w:lang w:eastAsia="en-US"/>
              </w:rPr>
              <w:t>p</w:t>
            </w:r>
            <w:r w:rsidRPr="00E52797">
              <w:rPr>
                <w:rFonts w:eastAsia="Calibri"/>
                <w:lang w:eastAsia="en-US"/>
              </w:rPr>
              <w:t>aslaugos nea</w:t>
            </w:r>
            <w:r>
              <w:rPr>
                <w:rFonts w:eastAsia="Calibri"/>
                <w:lang w:eastAsia="en-US"/>
              </w:rPr>
              <w:t>titinka Sutartyje ir (arba) jos prieduose</w:t>
            </w:r>
            <w:r w:rsidRPr="00E52797">
              <w:rPr>
                <w:rFonts w:eastAsia="Calibri"/>
                <w:lang w:eastAsia="en-US"/>
              </w:rPr>
              <w:t xml:space="preserve"> nustatytų reikalavimų, dalyvaujant </w:t>
            </w:r>
            <w:r w:rsidRPr="00E9462D">
              <w:rPr>
                <w:rFonts w:eastAsia="Calibri"/>
                <w:b/>
                <w:lang w:eastAsia="en-US"/>
              </w:rPr>
              <w:t>Teikėjo</w:t>
            </w:r>
            <w:r w:rsidRPr="00E52797">
              <w:rPr>
                <w:rFonts w:eastAsia="Calibri"/>
                <w:lang w:eastAsia="en-US"/>
              </w:rPr>
              <w:t xml:space="preserve"> atstovams surašomas aktas, </w:t>
            </w:r>
            <w:r>
              <w:rPr>
                <w:rFonts w:eastAsia="Calibri"/>
                <w:lang w:eastAsia="en-US"/>
              </w:rPr>
              <w:t>p</w:t>
            </w:r>
            <w:r w:rsidRPr="00E52797">
              <w:rPr>
                <w:rFonts w:eastAsia="Calibri"/>
                <w:lang w:eastAsia="en-US"/>
              </w:rPr>
              <w:t xml:space="preserve">aslaugos nepriimamos </w:t>
            </w:r>
            <w:r>
              <w:rPr>
                <w:rFonts w:eastAsia="Calibri"/>
                <w:lang w:eastAsia="en-US"/>
              </w:rPr>
              <w:t>ir laikoma, kad paslaugos suteiktos nebuvo.</w:t>
            </w:r>
          </w:p>
        </w:tc>
      </w:tr>
      <w:tr w:rsidR="00D14114" w14:paraId="150BF4C0" w14:textId="77777777" w:rsidTr="001978B8">
        <w:trPr>
          <w:trHeight w:val="1725"/>
        </w:trPr>
        <w:tc>
          <w:tcPr>
            <w:tcW w:w="10368" w:type="dxa"/>
            <w:shd w:val="clear" w:color="auto" w:fill="auto"/>
          </w:tcPr>
          <w:p w14:paraId="0CCB718F" w14:textId="77777777" w:rsidR="00D14114" w:rsidRPr="00D14114" w:rsidRDefault="00D14114" w:rsidP="001A3760">
            <w:pPr>
              <w:jc w:val="both"/>
              <w:rPr>
                <w:b/>
              </w:rPr>
            </w:pPr>
            <w:r w:rsidRPr="00D14114">
              <w:rPr>
                <w:b/>
              </w:rPr>
              <w:lastRenderedPageBreak/>
              <w:t>7. Garantiniai įsipareigojimai</w:t>
            </w:r>
          </w:p>
          <w:p w14:paraId="73D03F5B" w14:textId="77777777" w:rsidR="001978B8" w:rsidRDefault="001978B8" w:rsidP="001978B8">
            <w:pPr>
              <w:jc w:val="both"/>
            </w:pPr>
            <w:r>
              <w:t xml:space="preserve">7.1. </w:t>
            </w:r>
            <w:r w:rsidRPr="00612DC1">
              <w:rPr>
                <w:b/>
              </w:rPr>
              <w:t>Teikėjas</w:t>
            </w:r>
            <w:r w:rsidRPr="00612DC1">
              <w:t xml:space="preserve"> užtikrina sklandų ir kokybiškų paslaugų teikimą visą paslaugų teikimo laikotarpį. Pažeidus šį įsipareigojimą, o </w:t>
            </w:r>
            <w:r w:rsidRPr="00612DC1">
              <w:rPr>
                <w:b/>
              </w:rPr>
              <w:t>Pirkėjui</w:t>
            </w:r>
            <w:r w:rsidRPr="00612DC1">
              <w:t xml:space="preserve"> įrodžius dėl netinkamos kokybės paslaugų patirtą žalą, </w:t>
            </w:r>
            <w:r w:rsidRPr="00612DC1">
              <w:rPr>
                <w:b/>
              </w:rPr>
              <w:t>Teikėjas</w:t>
            </w:r>
            <w:r w:rsidRPr="00612DC1">
              <w:t xml:space="preserve"> privalo šiuos </w:t>
            </w:r>
            <w:r w:rsidRPr="00612DC1">
              <w:rPr>
                <w:b/>
              </w:rPr>
              <w:t>Pirkėjo</w:t>
            </w:r>
            <w:r w:rsidRPr="00612DC1">
              <w:t xml:space="preserve"> nuostolius kompensuoti</w:t>
            </w:r>
            <w:r>
              <w:t>.</w:t>
            </w:r>
          </w:p>
          <w:p w14:paraId="171B800B" w14:textId="057B87F4" w:rsidR="00D14114" w:rsidRPr="00A84F67" w:rsidRDefault="001978B8" w:rsidP="006761B4">
            <w:pPr>
              <w:pStyle w:val="ListParagraph"/>
              <w:spacing w:after="0"/>
              <w:ind w:left="0"/>
              <w:jc w:val="both"/>
              <w:rPr>
                <w:b/>
              </w:rPr>
            </w:pPr>
            <w:r w:rsidRPr="00D14114">
              <w:t xml:space="preserve">7.2. </w:t>
            </w:r>
            <w:r w:rsidRPr="00F91255">
              <w:rPr>
                <w:b/>
              </w:rPr>
              <w:t>Teikėjas</w:t>
            </w:r>
            <w:r w:rsidRPr="00D14114">
              <w:t xml:space="preserve"> po raštiško Pirkėjo pranešimo per </w:t>
            </w:r>
            <w:r w:rsidRPr="00F0193E">
              <w:t>3 darbo dienas</w:t>
            </w:r>
            <w:r w:rsidRPr="00D14114">
              <w:t xml:space="preserve"> turi pašalinti paslaugų teikimo trūkumus bei kompensuoti </w:t>
            </w:r>
            <w:r w:rsidRPr="00F91255">
              <w:rPr>
                <w:b/>
              </w:rPr>
              <w:t>Pirkėjo</w:t>
            </w:r>
            <w:r w:rsidRPr="00D14114">
              <w:t xml:space="preserve"> patirtus</w:t>
            </w:r>
            <w:r>
              <w:t xml:space="preserve"> nuostolius (jeigu tokie buvo).</w:t>
            </w:r>
          </w:p>
        </w:tc>
      </w:tr>
      <w:tr w:rsidR="00D14114" w14:paraId="43D2C3CC" w14:textId="77777777" w:rsidTr="00374793">
        <w:trPr>
          <w:trHeight w:val="833"/>
        </w:trPr>
        <w:tc>
          <w:tcPr>
            <w:tcW w:w="10368" w:type="dxa"/>
            <w:shd w:val="clear" w:color="auto" w:fill="auto"/>
          </w:tcPr>
          <w:p w14:paraId="06B9198F" w14:textId="77777777" w:rsidR="00827F97" w:rsidRDefault="00827F97" w:rsidP="00827F97">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1C8C0CC6" w14:textId="13321CE3" w:rsidR="00D14114" w:rsidRPr="007A4D14" w:rsidRDefault="00827F97" w:rsidP="00827F97">
            <w:pPr>
              <w:contextualSpacing/>
              <w:jc w:val="both"/>
              <w:rPr>
                <w:b/>
                <w:color w:val="FF0000"/>
              </w:rPr>
            </w:pPr>
            <w:r>
              <w:t>8</w:t>
            </w:r>
            <w:r w:rsidRPr="005D4C29">
              <w:t xml:space="preserve">.1. </w:t>
            </w:r>
            <w:r w:rsidR="00374793" w:rsidRPr="00EB4422">
              <w:t xml:space="preserve">Sutarties įvykdymui užtikrinti banko garantijos </w:t>
            </w:r>
            <w:r w:rsidR="00374793">
              <w:t xml:space="preserve">ar </w:t>
            </w:r>
            <w:r w:rsidR="00374793" w:rsidRPr="00EB4422">
              <w:t xml:space="preserve">draudimo bendrovės laidavimo rašto  </w:t>
            </w:r>
            <w:r w:rsidR="00374793">
              <w:t>ne</w:t>
            </w:r>
            <w:r w:rsidR="00374793" w:rsidRPr="00EB4422">
              <w:t>reikalaujama.</w:t>
            </w:r>
          </w:p>
        </w:tc>
      </w:tr>
      <w:tr w:rsidR="00D14114" w14:paraId="34D53A64" w14:textId="77777777" w:rsidTr="00D300F0">
        <w:trPr>
          <w:trHeight w:val="950"/>
        </w:trPr>
        <w:tc>
          <w:tcPr>
            <w:tcW w:w="10368" w:type="dxa"/>
            <w:shd w:val="clear" w:color="auto" w:fill="auto"/>
          </w:tcPr>
          <w:p w14:paraId="07AE47F9" w14:textId="5A3D0CBF" w:rsidR="00827F97" w:rsidRPr="007A4D14" w:rsidRDefault="00827F97" w:rsidP="00827F97">
            <w:pPr>
              <w:jc w:val="both"/>
              <w:rPr>
                <w:b/>
              </w:rPr>
            </w:pPr>
            <w:r w:rsidRPr="007A4D14">
              <w:rPr>
                <w:b/>
              </w:rPr>
              <w:t>9. Kitos sąlygos</w:t>
            </w:r>
          </w:p>
          <w:p w14:paraId="440BCD49" w14:textId="77777777" w:rsidR="00827F97" w:rsidRPr="00DE4B81" w:rsidRDefault="00827F97" w:rsidP="00827F97">
            <w:pPr>
              <w:jc w:val="both"/>
            </w:pPr>
            <w:r>
              <w:t>9.1. Sutarties b</w:t>
            </w:r>
            <w:r w:rsidRPr="00DE4B81">
              <w:t xml:space="preserve">endrosios dalies 11.1 punkte nurodytų Šalių iš anksto sutartų </w:t>
            </w:r>
            <w:r>
              <w:t>minimalių nuostolių dydis yra  – 0,2</w:t>
            </w:r>
            <w:r w:rsidRPr="00DE4B81">
              <w:t>%</w:t>
            </w:r>
            <w:r>
              <w:t xml:space="preserve"> </w:t>
            </w:r>
            <w:r>
              <w:rPr>
                <w:lang w:eastAsia="en-US"/>
              </w:rPr>
              <w:t>nuo nesuteiktų paslaugų</w:t>
            </w:r>
            <w:r w:rsidRPr="00296C19">
              <w:rPr>
                <w:lang w:eastAsia="en-US"/>
              </w:rPr>
              <w:t>, kurių trūkumai neištaisyti, kainos be PVM už kiekvieną uždelstą dieną</w:t>
            </w:r>
            <w:r>
              <w:rPr>
                <w:lang w:eastAsia="en-US"/>
              </w:rPr>
              <w:t>.</w:t>
            </w:r>
          </w:p>
          <w:p w14:paraId="13CF3B58" w14:textId="77777777" w:rsidR="00827F97" w:rsidRPr="00DE4B81" w:rsidRDefault="00827F97" w:rsidP="00827F97">
            <w:pPr>
              <w:jc w:val="both"/>
            </w:pPr>
            <w:r>
              <w:t>9.2. Sutarties b</w:t>
            </w:r>
            <w:r w:rsidRPr="00DE4B81">
              <w:t xml:space="preserve">endrosios dalies 11.2 punkte nurodytų Šalių iš anksto sutartų minimalių nuostolių dydis yra </w:t>
            </w:r>
            <w:r>
              <w:t xml:space="preserve">– </w:t>
            </w:r>
            <w:r w:rsidRPr="00245249">
              <w:t>________ (</w:t>
            </w:r>
            <w:r w:rsidRPr="00245249">
              <w:rPr>
                <w:i/>
              </w:rPr>
              <w:t>žodžiais</w:t>
            </w:r>
            <w:r w:rsidRPr="00245249">
              <w:t xml:space="preserve">) EUR </w:t>
            </w:r>
            <w:r>
              <w:rPr>
                <w:i/>
              </w:rPr>
              <w:t>(5</w:t>
            </w:r>
            <w:r w:rsidRPr="00245249">
              <w:rPr>
                <w:i/>
              </w:rPr>
              <w:t xml:space="preserve"> </w:t>
            </w:r>
            <w:r>
              <w:rPr>
                <w:i/>
              </w:rPr>
              <w:t xml:space="preserve">% </w:t>
            </w:r>
            <w:r w:rsidRPr="00245249">
              <w:rPr>
                <w:i/>
              </w:rPr>
              <w:t>nuo</w:t>
            </w:r>
            <w:r>
              <w:rPr>
                <w:i/>
              </w:rPr>
              <w:t xml:space="preserve"> sutarties kainos </w:t>
            </w:r>
            <w:r w:rsidRPr="00245249">
              <w:rPr>
                <w:i/>
              </w:rPr>
              <w:t>be PVM</w:t>
            </w:r>
            <w:r>
              <w:rPr>
                <w:i/>
              </w:rPr>
              <w:t>)</w:t>
            </w:r>
            <w:r w:rsidRPr="00245249">
              <w:rPr>
                <w:bCs/>
              </w:rPr>
              <w:t>.</w:t>
            </w:r>
          </w:p>
          <w:p w14:paraId="10245FEF" w14:textId="77777777" w:rsidR="00827F97" w:rsidRPr="00DC5AF4" w:rsidRDefault="00827F97" w:rsidP="00827F97">
            <w:pPr>
              <w:jc w:val="both"/>
            </w:pPr>
            <w:r w:rsidRPr="00DE4B81">
              <w:t>9.3.</w:t>
            </w:r>
            <w:r w:rsidRPr="00347876">
              <w:t xml:space="preserve"> </w:t>
            </w:r>
            <w:r>
              <w:t>Sutarties b</w:t>
            </w:r>
            <w:r w:rsidRPr="009158F2">
              <w:t>endrosios dalies 11.3 punkte numatytų Šalių iš anksto suta</w:t>
            </w:r>
            <w:r>
              <w:t xml:space="preserve">rtų minimalių nuostolių dydis –  100 (vienas </w:t>
            </w:r>
            <w:r w:rsidRPr="009158F2">
              <w:t>šimtas) Eur.</w:t>
            </w:r>
          </w:p>
          <w:p w14:paraId="5E8119CE" w14:textId="77777777" w:rsidR="00827F97" w:rsidRPr="00147C33" w:rsidRDefault="00827F97" w:rsidP="00827F97">
            <w:pPr>
              <w:jc w:val="both"/>
              <w:rPr>
                <w:color w:val="000000"/>
              </w:rPr>
            </w:pPr>
            <w:r w:rsidRPr="00147C33">
              <w:rPr>
                <w:bCs/>
                <w:color w:val="000000"/>
              </w:rPr>
              <w:t>9.</w:t>
            </w:r>
            <w:r>
              <w:rPr>
                <w:bCs/>
                <w:color w:val="000000"/>
              </w:rPr>
              <w:t>4</w:t>
            </w:r>
            <w:r w:rsidRPr="00147C33">
              <w:rPr>
                <w:bCs/>
                <w:color w:val="000000"/>
              </w:rPr>
              <w:t>. Sutartį nutr</w:t>
            </w:r>
            <w:r>
              <w:rPr>
                <w:bCs/>
                <w:color w:val="000000"/>
              </w:rPr>
              <w:t>aukus Specialiosios dalies 5.1.1 ir 5.1.2</w:t>
            </w:r>
            <w:r w:rsidRPr="00147C33">
              <w:rPr>
                <w:bCs/>
                <w:color w:val="000000"/>
              </w:rPr>
              <w:t xml:space="preserve"> punktuose nurodytais atvejais Šalių iš anksto sutartų minimalių nuostolių dydis yra __________</w:t>
            </w:r>
            <w:r w:rsidRPr="00147C33">
              <w:rPr>
                <w:bCs/>
                <w:i/>
                <w:color w:val="000000"/>
              </w:rPr>
              <w:t>(Suma žodžiais)</w:t>
            </w:r>
            <w:r w:rsidRPr="00147C33">
              <w:rPr>
                <w:bCs/>
                <w:color w:val="000000"/>
              </w:rPr>
              <w:t xml:space="preserve"> Eur </w:t>
            </w:r>
            <w:r>
              <w:rPr>
                <w:bCs/>
                <w:i/>
                <w:color w:val="000000"/>
              </w:rPr>
              <w:t>(5 (penki) procentai</w:t>
            </w:r>
            <w:r w:rsidRPr="00147C33">
              <w:rPr>
                <w:bCs/>
                <w:i/>
                <w:color w:val="000000"/>
              </w:rPr>
              <w:t xml:space="preserve"> nuo Sutarties specialiosios dalies 2.1 punkte nurodytos sutarties vertės be PVM).</w:t>
            </w:r>
          </w:p>
          <w:p w14:paraId="19C7E6B4" w14:textId="77777777" w:rsidR="00827F97" w:rsidRPr="001C5371" w:rsidRDefault="00827F97" w:rsidP="00827F97">
            <w:pPr>
              <w:jc w:val="both"/>
              <w:rPr>
                <w:color w:val="000000"/>
              </w:rPr>
            </w:pPr>
            <w:r w:rsidRPr="00147C33">
              <w:rPr>
                <w:color w:val="000000"/>
              </w:rPr>
              <w:t>9.</w:t>
            </w:r>
            <w:r>
              <w:rPr>
                <w:color w:val="000000"/>
              </w:rPr>
              <w:t>5</w:t>
            </w:r>
            <w:r w:rsidRPr="00147C33">
              <w:rPr>
                <w:color w:val="000000"/>
              </w:rPr>
              <w:t xml:space="preserve">. Nenugalimos jėgos aplinkybių trukmė – </w:t>
            </w:r>
            <w:r w:rsidRPr="00147C33">
              <w:t xml:space="preserve">30 (trisdešimt) dienų, </w:t>
            </w:r>
            <w:r w:rsidRPr="00147C33">
              <w:rPr>
                <w:color w:val="000000"/>
              </w:rPr>
              <w:t>taikant Sutarties Bendrosios dalies 9.1.2 p</w:t>
            </w:r>
            <w:r>
              <w:rPr>
                <w:color w:val="000000"/>
              </w:rPr>
              <w:t>unkto</w:t>
            </w:r>
            <w:r w:rsidRPr="00147C33">
              <w:rPr>
                <w:color w:val="000000"/>
              </w:rPr>
              <w:t xml:space="preserve"> sąlygas.</w:t>
            </w:r>
            <w:r w:rsidRPr="006C613C">
              <w:rPr>
                <w:szCs w:val="28"/>
              </w:rPr>
              <w:t xml:space="preserve"> </w:t>
            </w:r>
          </w:p>
          <w:p w14:paraId="24EA4C54" w14:textId="6095C8F1" w:rsidR="00827F97" w:rsidRPr="00A352A8" w:rsidRDefault="00827F97" w:rsidP="00827F97">
            <w:pPr>
              <w:jc w:val="both"/>
              <w:rPr>
                <w:kern w:val="2"/>
                <w:shd w:val="clear" w:color="auto" w:fill="FFFFFF"/>
              </w:rPr>
            </w:pPr>
            <w:r>
              <w:rPr>
                <w:szCs w:val="28"/>
              </w:rPr>
              <w:t xml:space="preserve">9.6. </w:t>
            </w:r>
            <w:r w:rsidRPr="00F5760D">
              <w:rPr>
                <w:b/>
                <w:kern w:val="2"/>
                <w:shd w:val="clear" w:color="auto" w:fill="FFFFFF"/>
              </w:rPr>
              <w:t>Teikėjas</w:t>
            </w:r>
            <w:r w:rsidRPr="00A352A8">
              <w:rPr>
                <w:kern w:val="2"/>
                <w:shd w:val="clear" w:color="auto" w:fill="FFFFFF"/>
              </w:rPr>
              <w:t xml:space="preserve"> įsipareigoja susipažinti ir sutarties vykdymo metu laikytis </w:t>
            </w:r>
            <w:r w:rsidR="009B1640">
              <w:rPr>
                <w:kern w:val="2"/>
                <w:shd w:val="clear" w:color="auto" w:fill="FFFFFF"/>
              </w:rPr>
              <w:t>Kodekso</w:t>
            </w:r>
            <w:r w:rsidRPr="00A352A8">
              <w:rPr>
                <w:kern w:val="2"/>
                <w:shd w:val="clear" w:color="auto" w:fill="FFFFFF"/>
              </w:rPr>
              <w:t xml:space="preserve">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Pr>
                <w:kern w:val="2"/>
                <w:shd w:val="clear" w:color="auto" w:fill="FFFFFF"/>
              </w:rPr>
              <w:t>(turinčius) teisę atstovauti tei</w:t>
            </w:r>
            <w:r w:rsidRPr="00A352A8">
              <w:rPr>
                <w:kern w:val="2"/>
                <w:shd w:val="clear" w:color="auto" w:fill="FFFFFF"/>
              </w:rPr>
              <w:t xml:space="preserve">kėjui ar jį kontroliuoti, jo vardu priimti sprendimą, sudaryti sandorį, asmenį (asmenis), turintį (turinčius) </w:t>
            </w:r>
            <w:r>
              <w:rPr>
                <w:kern w:val="2"/>
                <w:shd w:val="clear" w:color="auto" w:fill="FFFFFF"/>
              </w:rPr>
              <w:t>teisę surašyti ir pasirašyti tei</w:t>
            </w:r>
            <w:r w:rsidRPr="00A352A8">
              <w:rPr>
                <w:kern w:val="2"/>
                <w:shd w:val="clear" w:color="auto" w:fill="FFFFFF"/>
              </w:rPr>
              <w:t>kėjo finansinės apskaitos dokumentus. Taip pat nesiremti pajėgumais ir (ar) nesudaryti subtiekimo sutarties (-čių) su subtiekėju (-ais) netenk</w:t>
            </w:r>
            <w:r>
              <w:rPr>
                <w:kern w:val="2"/>
                <w:shd w:val="clear" w:color="auto" w:fill="FFFFFF"/>
              </w:rPr>
              <w:t>inančiu (-ais) šios sąlygos. Tei</w:t>
            </w:r>
            <w:r w:rsidRPr="00A352A8">
              <w:rPr>
                <w:kern w:val="2"/>
                <w:shd w:val="clear" w:color="auto" w:fill="FFFFFF"/>
              </w:rPr>
              <w:t>kėjas turi užtikrinti, kad anksčiau minėtų Kodekso nuostatų</w:t>
            </w:r>
            <w:r>
              <w:rPr>
                <w:kern w:val="2"/>
                <w:shd w:val="clear" w:color="auto" w:fill="FFFFFF"/>
              </w:rPr>
              <w:t xml:space="preserve"> laikytųsi visi Tei</w:t>
            </w:r>
            <w:r w:rsidRPr="00A352A8">
              <w:rPr>
                <w:kern w:val="2"/>
                <w:shd w:val="clear" w:color="auto" w:fill="FFFFFF"/>
              </w:rPr>
              <w:t>kėjo pasitelkti tretieji asmenys (subtiekėjai ar kiti ūkio subjektai, kuri</w:t>
            </w:r>
            <w:r>
              <w:rPr>
                <w:kern w:val="2"/>
                <w:shd w:val="clear" w:color="auto" w:fill="FFFFFF"/>
              </w:rPr>
              <w:t xml:space="preserve">ų pajėgumais Tiekėjas remiasi). </w:t>
            </w:r>
            <w:r w:rsidRPr="00A352A8">
              <w:rPr>
                <w:kern w:val="2"/>
                <w:shd w:val="clear" w:color="auto" w:fill="FFFFFF"/>
              </w:rPr>
              <w:t xml:space="preserve">Tiekėjas taip pat įsipareigoja nedelsiant informuoti Pirkėją apie Sutarties galiojimo metu atsiradusias aplinkybes, susijusias su Tiekėjo elgesio neatitikimu bet kuriai Kodekso ar kitų viešųjų interesų apsaugai skirtų teisės aktų nuostatai. </w:t>
            </w:r>
          </w:p>
          <w:p w14:paraId="4B7EEA30" w14:textId="77777777" w:rsidR="00D14114" w:rsidRDefault="00827F97" w:rsidP="00827F97">
            <w:pPr>
              <w:jc w:val="both"/>
              <w:rPr>
                <w:kern w:val="2"/>
                <w:shd w:val="clear" w:color="auto" w:fill="FFFFFF"/>
              </w:rPr>
            </w:pPr>
            <w:r w:rsidRPr="001D1BB4">
              <w:rPr>
                <w:kern w:val="2"/>
                <w:shd w:val="clear" w:color="auto" w:fill="FFFFFF"/>
              </w:rPr>
              <w:t>Sutarties vykdymo metu Tiekėjui pažeidus Kodekso nuostatas Pirkėjas gali leisti Tiekėjui pašalinti nustatytus pažeidimus (išskyrus nusikaltimų, kitų šiurkščių teisės aktų pažeidimų atvejais) per Pirkėjo nustatytą protingą terminą.</w:t>
            </w:r>
          </w:p>
          <w:p w14:paraId="7795E6B2" w14:textId="4B5ED9C0" w:rsidR="00827F97" w:rsidRPr="007653DE" w:rsidRDefault="00827F97" w:rsidP="00794DD2">
            <w:pPr>
              <w:jc w:val="both"/>
              <w:rPr>
                <w:color w:val="000000"/>
                <w:sz w:val="22"/>
                <w:szCs w:val="22"/>
                <w:lang w:val="en-US" w:eastAsia="en-US"/>
              </w:rPr>
            </w:pPr>
            <w:r w:rsidRPr="00794DD2">
              <w:rPr>
                <w:kern w:val="2"/>
                <w:shd w:val="clear" w:color="auto" w:fill="FFFFFF"/>
              </w:rPr>
              <w:t>9</w:t>
            </w:r>
            <w:r w:rsidR="00C8379A">
              <w:rPr>
                <w:color w:val="000000"/>
                <w:kern w:val="2"/>
                <w:shd w:val="clear" w:color="auto" w:fill="FFFFFF"/>
              </w:rPr>
              <w:t>.10</w:t>
            </w:r>
            <w:r w:rsidR="00794DD2" w:rsidRPr="007653DE">
              <w:rPr>
                <w:color w:val="000000"/>
                <w:kern w:val="2"/>
                <w:shd w:val="clear" w:color="auto" w:fill="FFFFFF"/>
              </w:rPr>
              <w:t xml:space="preserve">. </w:t>
            </w:r>
            <w:r w:rsidR="00794DD2" w:rsidRPr="007653DE">
              <w:rPr>
                <w:b/>
                <w:color w:val="000000"/>
              </w:rPr>
              <w:t>Teikėjas</w:t>
            </w:r>
            <w:r w:rsidR="00794DD2" w:rsidRPr="007653DE">
              <w:rPr>
                <w:color w:val="000000"/>
              </w:rPr>
              <w:t>, jo subtiekėjai, ūkio subjektai, kurių pajėgumais remiamasi, vykdydami Sutartyje numatytus įsipareigojimus, privalo laikytis Sutarties bendrosios dalies 3.3 papunktyje nustatytos patekimo į karinę teritoriją tvarkos.</w:t>
            </w:r>
          </w:p>
          <w:p w14:paraId="4CC040EF" w14:textId="539E446D" w:rsidR="00827F97" w:rsidRPr="00147C33" w:rsidRDefault="00827F97" w:rsidP="00827F97">
            <w:pPr>
              <w:jc w:val="both"/>
            </w:pPr>
            <w:r w:rsidRPr="00147C33">
              <w:t>9.</w:t>
            </w:r>
            <w:r w:rsidR="00C8379A">
              <w:t>11</w:t>
            </w:r>
            <w:r w:rsidRPr="00147C33">
              <w:t>.</w:t>
            </w:r>
            <w:r w:rsidRPr="00147C33">
              <w:rPr>
                <w:b/>
              </w:rPr>
              <w:t xml:space="preserve"> </w:t>
            </w:r>
            <w:r>
              <w:rPr>
                <w:b/>
              </w:rPr>
              <w:t>Teikėjas</w:t>
            </w:r>
            <w:r w:rsidRPr="00147C33">
              <w:t xml:space="preserve"> šiai Sutarčiai vykdyti pasitelks subtiekėją (-us): (</w:t>
            </w:r>
            <w:r w:rsidRPr="00147C33">
              <w:rPr>
                <w:i/>
              </w:rPr>
              <w:t xml:space="preserve">nurodomas subtiekėjo (-ų) pavadinimas). </w:t>
            </w:r>
            <w:r w:rsidRPr="00147C33">
              <w:t>Subtiekėjo (-jų) kei</w:t>
            </w:r>
            <w:r>
              <w:t>timo tvarka nurodyta Sutarties b</w:t>
            </w:r>
            <w:r w:rsidRPr="00147C33">
              <w:t>endrosios dalies 15.9 punkte.</w:t>
            </w:r>
            <w:r w:rsidRPr="00147C33">
              <w:rPr>
                <w:i/>
              </w:rPr>
              <w:t xml:space="preserve"> arba </w:t>
            </w:r>
            <w:r>
              <w:rPr>
                <w:b/>
              </w:rPr>
              <w:t>Teikėjas</w:t>
            </w:r>
            <w:r w:rsidRPr="00147C33">
              <w:t xml:space="preserve"> šiai Sutarčiai vykdyti subtiekėjo (-ų) nepasitelks </w:t>
            </w:r>
            <w:r w:rsidRPr="00147C33">
              <w:rPr>
                <w:i/>
              </w:rPr>
              <w:t>(jei subtiekėjas nebus pasitelktas)</w:t>
            </w:r>
            <w:r w:rsidRPr="00147C33">
              <w:t>.</w:t>
            </w:r>
          </w:p>
          <w:p w14:paraId="0687FDD9" w14:textId="4742A285" w:rsidR="00827F97" w:rsidRPr="00147C33" w:rsidRDefault="00827F97" w:rsidP="00827F97">
            <w:pPr>
              <w:autoSpaceDE w:val="0"/>
              <w:autoSpaceDN w:val="0"/>
              <w:adjustRightInd w:val="0"/>
              <w:jc w:val="both"/>
              <w:rPr>
                <w:color w:val="000000"/>
              </w:rPr>
            </w:pPr>
            <w:r w:rsidRPr="00147C33">
              <w:rPr>
                <w:color w:val="000000"/>
              </w:rPr>
              <w:t>9.</w:t>
            </w:r>
            <w:r w:rsidR="00C8379A">
              <w:rPr>
                <w:color w:val="000000"/>
              </w:rPr>
              <w:t>12</w:t>
            </w:r>
            <w:r w:rsidRPr="00147C33">
              <w:rPr>
                <w:color w:val="000000"/>
              </w:rPr>
              <w:t xml:space="preserve">. </w:t>
            </w:r>
            <w:r>
              <w:rPr>
                <w:b/>
                <w:bCs/>
                <w:color w:val="000000"/>
              </w:rPr>
              <w:t>Teikėjo</w:t>
            </w:r>
            <w:r w:rsidRPr="00147C33">
              <w:rPr>
                <w:b/>
                <w:bCs/>
                <w:color w:val="000000"/>
              </w:rPr>
              <w:t xml:space="preserve"> </w:t>
            </w:r>
            <w:r w:rsidRPr="00147C33">
              <w:rPr>
                <w:color w:val="000000"/>
              </w:rPr>
              <w:t>atstovas (-ai), atsakingas už Suta</w:t>
            </w:r>
            <w:r>
              <w:rPr>
                <w:color w:val="000000"/>
              </w:rPr>
              <w:t xml:space="preserve">rties vykdymą bei koordinavimą –  </w:t>
            </w:r>
            <w:r w:rsidRPr="00147C33">
              <w:rPr>
                <w:color w:val="000000"/>
              </w:rPr>
              <w:t>(</w:t>
            </w:r>
            <w:r w:rsidRPr="00147C33">
              <w:rPr>
                <w:i/>
                <w:iCs/>
                <w:color w:val="000000"/>
              </w:rPr>
              <w:t>vardas, pavardė, pareigos, telefono ir fakso numeriai, el. pašto adresas</w:t>
            </w:r>
            <w:r w:rsidRPr="00147C33">
              <w:rPr>
                <w:color w:val="000000"/>
              </w:rPr>
              <w:t>).</w:t>
            </w:r>
          </w:p>
          <w:p w14:paraId="2A222C53" w14:textId="37BD2134" w:rsidR="00827F97" w:rsidRDefault="00827F97" w:rsidP="00827F97">
            <w:pPr>
              <w:autoSpaceDE w:val="0"/>
              <w:autoSpaceDN w:val="0"/>
              <w:adjustRightInd w:val="0"/>
              <w:jc w:val="both"/>
              <w:rPr>
                <w:color w:val="000000"/>
              </w:rPr>
            </w:pPr>
            <w:r w:rsidRPr="00147C33">
              <w:rPr>
                <w:color w:val="000000"/>
              </w:rPr>
              <w:t>9.</w:t>
            </w:r>
            <w:r w:rsidR="00C8379A">
              <w:rPr>
                <w:color w:val="000000"/>
              </w:rPr>
              <w:t>13</w:t>
            </w:r>
            <w:r w:rsidRPr="00147C33">
              <w:rPr>
                <w:color w:val="000000"/>
              </w:rPr>
              <w:t xml:space="preserve">. </w:t>
            </w:r>
            <w:r w:rsidRPr="00147C33">
              <w:rPr>
                <w:b/>
                <w:bCs/>
                <w:color w:val="000000"/>
              </w:rPr>
              <w:t xml:space="preserve">Pirkėjo </w:t>
            </w:r>
            <w:r w:rsidRPr="00147C33">
              <w:rPr>
                <w:color w:val="000000"/>
              </w:rPr>
              <w:t>atstovas (-ai), a</w:t>
            </w:r>
            <w:r>
              <w:rPr>
                <w:color w:val="000000"/>
              </w:rPr>
              <w:t xml:space="preserve">tsakingas už Sutarties vykdymą – </w:t>
            </w:r>
            <w:r w:rsidRPr="00147C33">
              <w:rPr>
                <w:color w:val="000000"/>
              </w:rPr>
              <w:t>(</w:t>
            </w:r>
            <w:r w:rsidRPr="00147C33">
              <w:rPr>
                <w:i/>
                <w:iCs/>
                <w:color w:val="000000"/>
              </w:rPr>
              <w:t>vardas, pavardė, pareigos, telefono ir fakso numeriai, el. pašto adresas</w:t>
            </w:r>
            <w:r>
              <w:rPr>
                <w:color w:val="000000"/>
              </w:rPr>
              <w:t>).</w:t>
            </w:r>
          </w:p>
          <w:p w14:paraId="7C0B325B" w14:textId="7AABC5A9" w:rsidR="00827F97" w:rsidRDefault="00F30929" w:rsidP="00827F97">
            <w:pPr>
              <w:pStyle w:val="Default"/>
              <w:jc w:val="both"/>
            </w:pPr>
            <w:r>
              <w:t>9.1</w:t>
            </w:r>
            <w:r w:rsidR="00C8379A">
              <w:t>4</w:t>
            </w:r>
            <w:r w:rsidR="00827F97">
              <w:t xml:space="preserve">. </w:t>
            </w:r>
            <w:r w:rsidR="00827F97" w:rsidRPr="00675997">
              <w:t>Asmuo, atsakingas už Sutarties</w:t>
            </w:r>
            <w:r w:rsidR="00827F97">
              <w:t xml:space="preserve"> ir jos pakeitimų</w:t>
            </w:r>
            <w:r w:rsidR="00827F97" w:rsidRPr="00675997">
              <w:t xml:space="preserve"> paskelbimą:</w:t>
            </w:r>
            <w:r w:rsidR="00827F97">
              <w:t xml:space="preserve"> </w:t>
            </w:r>
            <w:r w:rsidR="00827F97" w:rsidRPr="00B62258">
              <w:t>(</w:t>
            </w:r>
            <w:r w:rsidR="00827F97" w:rsidRPr="00B62258">
              <w:rPr>
                <w:i/>
                <w:iCs/>
              </w:rPr>
              <w:t>vardas, pavardė, pareigos, telefono ir numeriai, el. pašto adresas</w:t>
            </w:r>
            <w:r w:rsidR="00827F97" w:rsidRPr="00B62258">
              <w:t>).</w:t>
            </w:r>
          </w:p>
          <w:p w14:paraId="5497D4D4" w14:textId="1E06E23F" w:rsidR="00827F97" w:rsidRPr="00DE1984" w:rsidRDefault="00C8379A" w:rsidP="00827F97">
            <w:pPr>
              <w:jc w:val="both"/>
            </w:pPr>
            <w:r>
              <w:t>9.15</w:t>
            </w:r>
            <w:r w:rsidR="00827F97" w:rsidRPr="00DE1984">
              <w:t>. Sutarties priedai:</w:t>
            </w:r>
          </w:p>
          <w:p w14:paraId="5FCCA7F3" w14:textId="3E88E03E" w:rsidR="00827F97" w:rsidRPr="00DE1984" w:rsidRDefault="00C8379A" w:rsidP="00827F97">
            <w:pPr>
              <w:jc w:val="both"/>
              <w:rPr>
                <w:b/>
              </w:rPr>
            </w:pPr>
            <w:r>
              <w:lastRenderedPageBreak/>
              <w:t>9.15</w:t>
            </w:r>
            <w:r w:rsidR="00827F97" w:rsidRPr="00DE1984">
              <w:t xml:space="preserve">.1. </w:t>
            </w:r>
            <w:r w:rsidR="00827F97" w:rsidRPr="00C231FA">
              <w:t>Sutarties 1 priedas –  „</w:t>
            </w:r>
            <w:r>
              <w:t>Turinio eksperto paslaugos tinklų ir informacinių sistemų kibernetinio saugumo politikos dokumentų šablonų parengimo metodikai sukurti techninė specifikacija</w:t>
            </w:r>
            <w:r w:rsidR="00827F97" w:rsidRPr="00C231FA">
              <w:t>“,</w:t>
            </w:r>
            <w:r w:rsidR="00F30929" w:rsidRPr="00C231FA">
              <w:t xml:space="preserve"> </w:t>
            </w:r>
            <w:r w:rsidRPr="00C8379A">
              <w:t>4</w:t>
            </w:r>
            <w:r w:rsidR="00827F97" w:rsidRPr="00C8379A">
              <w:t xml:space="preserve"> lapai;</w:t>
            </w:r>
          </w:p>
          <w:p w14:paraId="4953F470" w14:textId="7C5EB874" w:rsidR="00827F97" w:rsidRPr="00A84F67" w:rsidRDefault="00C8379A" w:rsidP="00827F97">
            <w:pPr>
              <w:jc w:val="both"/>
              <w:rPr>
                <w:b/>
              </w:rPr>
            </w:pPr>
            <w:r>
              <w:t>9.15</w:t>
            </w:r>
            <w:r w:rsidR="00827F97">
              <w:t>.2. Sutarties 2 priedas – „</w:t>
            </w:r>
            <w:r w:rsidR="00827F97">
              <w:rPr>
                <w:color w:val="000000"/>
              </w:rPr>
              <w:t>Pasiūlymas</w:t>
            </w:r>
            <w:r w:rsidR="00827F97" w:rsidRPr="00DB7F01">
              <w:rPr>
                <w:color w:val="000000"/>
              </w:rPr>
              <w:t>“</w:t>
            </w:r>
            <w:r w:rsidR="00827F97">
              <w:t>, XX</w:t>
            </w:r>
            <w:r w:rsidR="00827F97" w:rsidRPr="00DB7F01">
              <w:t xml:space="preserve"> lapai.</w:t>
            </w:r>
          </w:p>
        </w:tc>
      </w:tr>
      <w:tr w:rsidR="00D14114" w14:paraId="3AEB7708" w14:textId="77777777" w:rsidTr="001A3760">
        <w:trPr>
          <w:trHeight w:val="573"/>
        </w:trPr>
        <w:tc>
          <w:tcPr>
            <w:tcW w:w="10368" w:type="dxa"/>
            <w:shd w:val="clear" w:color="auto" w:fill="auto"/>
          </w:tcPr>
          <w:p w14:paraId="732DCFAA" w14:textId="77777777" w:rsidR="00827F97" w:rsidRPr="00D14114" w:rsidRDefault="00827F97" w:rsidP="00827F97">
            <w:pPr>
              <w:rPr>
                <w:b/>
              </w:rPr>
            </w:pPr>
            <w:r w:rsidRPr="007D463B">
              <w:lastRenderedPageBreak/>
              <w:t>10</w:t>
            </w:r>
            <w:r w:rsidRPr="00D14114">
              <w:t>.</w:t>
            </w:r>
            <w:r w:rsidRPr="00D14114">
              <w:rPr>
                <w:b/>
              </w:rPr>
              <w:t xml:space="preserve"> Sutarties galiojimas</w:t>
            </w:r>
          </w:p>
          <w:p w14:paraId="3F849595" w14:textId="65888529" w:rsidR="00827F97" w:rsidRDefault="00827F97" w:rsidP="00827F97">
            <w:pPr>
              <w:jc w:val="both"/>
              <w:rPr>
                <w:bCs/>
              </w:rPr>
            </w:pPr>
            <w:r w:rsidRPr="00D14114">
              <w:rPr>
                <w:bCs/>
              </w:rPr>
              <w:t xml:space="preserve">10.1. </w:t>
            </w:r>
            <w:r w:rsidRPr="00EB4422">
              <w:rPr>
                <w:bCs/>
              </w:rPr>
              <w:t>Sutartis galioja</w:t>
            </w:r>
            <w:r>
              <w:rPr>
                <w:bCs/>
              </w:rPr>
              <w:t xml:space="preserve"> 6 (šešis) mėn. nuo Sutarties </w:t>
            </w:r>
            <w:r w:rsidR="007649CE">
              <w:rPr>
                <w:bCs/>
              </w:rPr>
              <w:t>pasirašymo</w:t>
            </w:r>
            <w:r>
              <w:rPr>
                <w:bCs/>
              </w:rPr>
              <w:t xml:space="preserve"> dienos, o finansinių įsipareigojimų atžvilgiu – iki visiško finansinių įsipareigojimų įvykdymo. </w:t>
            </w:r>
          </w:p>
          <w:p w14:paraId="1C6DCA02" w14:textId="3BF881BE" w:rsidR="00D14114" w:rsidRPr="00A84F67" w:rsidRDefault="00827F97" w:rsidP="00827F97">
            <w:pPr>
              <w:jc w:val="both"/>
              <w:rPr>
                <w:b/>
              </w:rPr>
            </w:pPr>
            <w:r>
              <w:rPr>
                <w:bCs/>
              </w:rPr>
              <w:t>1</w:t>
            </w:r>
            <w:r w:rsidR="00C8379A">
              <w:rPr>
                <w:bCs/>
              </w:rPr>
              <w:t>0.2</w:t>
            </w:r>
            <w:r>
              <w:rPr>
                <w:bCs/>
              </w:rPr>
              <w:t>.</w:t>
            </w:r>
            <w:r w:rsidRPr="0098693B">
              <w:rPr>
                <w:b/>
                <w:bCs/>
                <w:color w:val="FF0000"/>
              </w:rPr>
              <w:t xml:space="preserve"> </w:t>
            </w:r>
            <w:r w:rsidR="00F84B82" w:rsidRPr="005672E0">
              <w:rPr>
                <w:color w:val="000000"/>
                <w:kern w:val="2"/>
              </w:rPr>
              <w:t xml:space="preserve"> Šalių abipusiu rašytiniu Susitarimu Sutartis tomis pačiomis sąlygomis </w:t>
            </w:r>
            <w:r w:rsidR="00F84B82">
              <w:rPr>
                <w:color w:val="000000"/>
                <w:kern w:val="2"/>
              </w:rPr>
              <w:t>nekeičiant Sutarties specialiosios dalies 2.1 punkte nurodytos pradinės sutarties vertės</w:t>
            </w:r>
            <w:r w:rsidR="00F84B82" w:rsidRPr="005672E0">
              <w:rPr>
                <w:color w:val="000000"/>
                <w:kern w:val="2"/>
              </w:rPr>
              <w:t xml:space="preserve"> gali būti pratęsta 1 (vieną) kartą ne ilgiau kaip</w:t>
            </w:r>
            <w:r w:rsidR="00F84B82">
              <w:rPr>
                <w:color w:val="000000"/>
                <w:kern w:val="2"/>
              </w:rPr>
              <w:t xml:space="preserve"> 4 (keturiems</w:t>
            </w:r>
            <w:r w:rsidR="00F84B82" w:rsidRPr="005672E0">
              <w:rPr>
                <w:color w:val="000000"/>
                <w:kern w:val="2"/>
              </w:rPr>
              <w:t>) mėnesiams.</w:t>
            </w:r>
          </w:p>
        </w:tc>
      </w:tr>
      <w:tr w:rsidR="00D14114" w14:paraId="145CF463" w14:textId="77777777" w:rsidTr="001A3760">
        <w:trPr>
          <w:trHeight w:val="695"/>
        </w:trPr>
        <w:tc>
          <w:tcPr>
            <w:tcW w:w="10368" w:type="dxa"/>
            <w:shd w:val="clear" w:color="auto" w:fill="auto"/>
          </w:tcPr>
          <w:p w14:paraId="7642529B" w14:textId="77777777" w:rsidR="00D14114" w:rsidRDefault="00D14114" w:rsidP="001A3760">
            <w:pPr>
              <w:rPr>
                <w:b/>
              </w:rPr>
            </w:pPr>
            <w:r w:rsidRPr="007A4D14">
              <w:rPr>
                <w:b/>
              </w:rPr>
              <w:t>11. Pirkėjo rekvizitai</w:t>
            </w:r>
          </w:p>
          <w:p w14:paraId="6968094E" w14:textId="77777777" w:rsidR="00827F97" w:rsidRPr="00557598" w:rsidRDefault="00827F97" w:rsidP="00827F97">
            <w:pPr>
              <w:rPr>
                <w:rFonts w:eastAsia="Calibri"/>
                <w:b/>
                <w:color w:val="000000"/>
                <w:lang w:eastAsia="en-US"/>
              </w:rPr>
            </w:pPr>
            <w:r w:rsidRPr="00557598">
              <w:rPr>
                <w:rFonts w:eastAsia="Calibri"/>
                <w:b/>
                <w:color w:val="000000"/>
                <w:lang w:eastAsia="en-US"/>
              </w:rPr>
              <w:t>Krašto apsaugos ministerija</w:t>
            </w:r>
          </w:p>
          <w:p w14:paraId="5739DF0F" w14:textId="77777777" w:rsidR="00827F97" w:rsidRDefault="00827F97" w:rsidP="00827F97">
            <w:pPr>
              <w:rPr>
                <w:lang w:val="en-US" w:eastAsia="en-US"/>
              </w:rPr>
            </w:pPr>
            <w:r>
              <w:t>Įmonės kodas 188602751</w:t>
            </w:r>
          </w:p>
          <w:p w14:paraId="622F279A" w14:textId="77777777" w:rsidR="00827F97" w:rsidRDefault="00827F97" w:rsidP="00827F97">
            <w:r>
              <w:t>Totorių g. 25, LT-01121 Vilnius</w:t>
            </w:r>
          </w:p>
          <w:p w14:paraId="460F2107" w14:textId="77777777" w:rsidR="00827F97" w:rsidRDefault="00827F97" w:rsidP="00827F97">
            <w:r>
              <w:t>Sąskaitos numeris LT954040063610001163</w:t>
            </w:r>
          </w:p>
          <w:p w14:paraId="4D72DA77" w14:textId="77777777" w:rsidR="00827F97" w:rsidRDefault="00827F97" w:rsidP="00827F97">
            <w:r>
              <w:t xml:space="preserve">Finansų įstaiga: </w:t>
            </w:r>
            <w:r>
              <w:rPr>
                <w:shd w:val="clear" w:color="auto" w:fill="FFFFFF"/>
              </w:rPr>
              <w:t>Lietuvos Respublikos finansų ministerija</w:t>
            </w:r>
          </w:p>
          <w:p w14:paraId="4A33E7AA" w14:textId="77777777" w:rsidR="00827F97" w:rsidRDefault="00827F97" w:rsidP="00827F97">
            <w:r>
              <w:rPr>
                <w:shd w:val="clear" w:color="auto" w:fill="FFFFFF"/>
              </w:rPr>
              <w:t>Finansų įstaigos kodas 40400</w:t>
            </w:r>
            <w:r>
              <w:br/>
            </w:r>
            <w:r>
              <w:rPr>
                <w:shd w:val="clear" w:color="auto" w:fill="FFFFFF"/>
              </w:rPr>
              <w:t>SWIFT BIC kodas: MFRLLT22</w:t>
            </w:r>
          </w:p>
          <w:p w14:paraId="444B35D5" w14:textId="77777777" w:rsidR="00D14114" w:rsidRPr="00827F97" w:rsidRDefault="00827F97" w:rsidP="00827F97">
            <w:pPr>
              <w:rPr>
                <w:b/>
              </w:rPr>
            </w:pPr>
            <w:r>
              <w:t>Finansų įstaigos a</w:t>
            </w:r>
            <w:r>
              <w:rPr>
                <w:shd w:val="clear" w:color="auto" w:fill="FFFFFF"/>
              </w:rPr>
              <w:t>dresas: Lukiškių g. 2, 01512 Vilnius</w:t>
            </w:r>
          </w:p>
        </w:tc>
      </w:tr>
      <w:tr w:rsidR="00D14114" w14:paraId="180F8A70" w14:textId="77777777" w:rsidTr="00D300F0">
        <w:trPr>
          <w:trHeight w:val="680"/>
        </w:trPr>
        <w:tc>
          <w:tcPr>
            <w:tcW w:w="10368" w:type="dxa"/>
            <w:shd w:val="clear" w:color="auto" w:fill="auto"/>
          </w:tcPr>
          <w:p w14:paraId="4D1842CB" w14:textId="77777777" w:rsidR="00D14114" w:rsidRPr="007A4D14" w:rsidRDefault="00D14114" w:rsidP="001A3760">
            <w:pPr>
              <w:rPr>
                <w:b/>
              </w:rPr>
            </w:pPr>
            <w:r w:rsidRPr="007A4D14">
              <w:rPr>
                <w:b/>
              </w:rPr>
              <w:t>12. Teikėjo rekvizitai</w:t>
            </w:r>
          </w:p>
          <w:p w14:paraId="36C754DE" w14:textId="77777777" w:rsidR="00D14114" w:rsidRPr="007D463B" w:rsidRDefault="00D14114" w:rsidP="001A3760">
            <w:pPr>
              <w:jc w:val="both"/>
            </w:pPr>
          </w:p>
        </w:tc>
      </w:tr>
    </w:tbl>
    <w:p w14:paraId="273EB099" w14:textId="77777777" w:rsidR="00BB5EA8" w:rsidRDefault="00BB5EA8" w:rsidP="00D14114">
      <w:pPr>
        <w:pStyle w:val="BodyText1"/>
        <w:ind w:firstLine="0"/>
        <w:rPr>
          <w:rFonts w:ascii="Times New Roman" w:eastAsia="Times New Roman" w:hAnsi="Times New Roman"/>
          <w:b/>
          <w:lang w:val="lt-LT" w:eastAsia="en-US"/>
        </w:rPr>
      </w:pPr>
    </w:p>
    <w:p w14:paraId="2B09A31E" w14:textId="77777777" w:rsidR="00BB5EA8" w:rsidRDefault="00BB5EA8" w:rsidP="00D14114">
      <w:pPr>
        <w:pStyle w:val="BodyText1"/>
        <w:ind w:firstLine="0"/>
        <w:rPr>
          <w:rFonts w:ascii="Times New Roman" w:eastAsia="Times New Roman" w:hAnsi="Times New Roman"/>
          <w:b/>
          <w:lang w:val="lt-LT" w:eastAsia="en-US"/>
        </w:rPr>
      </w:pPr>
    </w:p>
    <w:p w14:paraId="2BC37EF5" w14:textId="77777777" w:rsidR="00D14114" w:rsidRPr="005A167F" w:rsidRDefault="00D14114" w:rsidP="00D14114">
      <w:pPr>
        <w:pStyle w:val="BodyText1"/>
        <w:ind w:firstLine="0"/>
        <w:rPr>
          <w:rFonts w:ascii="Times New Roman" w:hAnsi="Times New Roman"/>
          <w:b/>
          <w:sz w:val="24"/>
          <w:szCs w:val="24"/>
          <w:lang w:val="lt-LT"/>
        </w:rPr>
      </w:pPr>
      <w:r w:rsidRPr="005A167F">
        <w:rPr>
          <w:rFonts w:ascii="Times New Roman" w:hAnsi="Times New Roman"/>
          <w:b/>
          <w:sz w:val="24"/>
          <w:szCs w:val="24"/>
          <w:lang w:val="lt-LT"/>
        </w:rPr>
        <w:t>PIRKĖJAS</w:t>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Pr="005A167F">
        <w:rPr>
          <w:rFonts w:ascii="Times New Roman" w:hAnsi="Times New Roman"/>
          <w:b/>
          <w:sz w:val="24"/>
          <w:szCs w:val="24"/>
          <w:lang w:val="lt-LT"/>
        </w:rPr>
        <w:tab/>
      </w:r>
      <w:r w:rsidR="00BE797F">
        <w:rPr>
          <w:rFonts w:ascii="Times New Roman" w:hAnsi="Times New Roman"/>
          <w:b/>
          <w:sz w:val="24"/>
          <w:szCs w:val="24"/>
          <w:lang w:val="lt-LT"/>
        </w:rPr>
        <w:tab/>
      </w:r>
      <w:r w:rsidRPr="005A167F">
        <w:rPr>
          <w:rFonts w:ascii="Times New Roman" w:hAnsi="Times New Roman"/>
          <w:b/>
          <w:sz w:val="24"/>
          <w:szCs w:val="24"/>
          <w:lang w:val="lt-LT"/>
        </w:rPr>
        <w:t>TEIKĖJAS</w:t>
      </w:r>
    </w:p>
    <w:p w14:paraId="05EA344E" w14:textId="77777777" w:rsidR="00056A9A" w:rsidRDefault="00056A9A" w:rsidP="00D14114">
      <w:pPr>
        <w:rPr>
          <w:b/>
        </w:rPr>
      </w:pPr>
    </w:p>
    <w:p w14:paraId="04E549C4" w14:textId="77777777" w:rsidR="00D14114" w:rsidRPr="0060348F" w:rsidRDefault="00BE797F" w:rsidP="00D14114">
      <w:r>
        <w:t>A. V.</w:t>
      </w:r>
    </w:p>
    <w:p w14:paraId="6B4B84DF" w14:textId="77777777" w:rsidR="00FA6927" w:rsidRDefault="00FA6927" w:rsidP="00052638"/>
    <w:p w14:paraId="4B354058" w14:textId="77777777" w:rsidR="00961C75" w:rsidRDefault="00961C75" w:rsidP="00052638"/>
    <w:p w14:paraId="54F24802" w14:textId="77777777" w:rsidR="00562B76" w:rsidRDefault="00324E5A" w:rsidP="00324E5A">
      <w:pPr>
        <w:rPr>
          <w:lang w:eastAsia="en-US"/>
        </w:rPr>
      </w:pPr>
      <w:r>
        <w:rPr>
          <w:lang w:eastAsia="en-US"/>
        </w:rPr>
        <w:t xml:space="preserve"> </w:t>
      </w:r>
    </w:p>
    <w:p w14:paraId="6DC15EF9" w14:textId="77777777" w:rsidR="00562B76" w:rsidRDefault="00562B76" w:rsidP="00FA6927">
      <w:pPr>
        <w:rPr>
          <w:lang w:eastAsia="en-US"/>
        </w:rPr>
      </w:pPr>
    </w:p>
    <w:p w14:paraId="2E656607" w14:textId="77777777" w:rsidR="006644F0" w:rsidRDefault="008F30C9" w:rsidP="00BB485F">
      <w:pPr>
        <w:jc w:val="center"/>
        <w:rPr>
          <w:b/>
        </w:rPr>
      </w:pPr>
      <w:r>
        <w:rPr>
          <w:lang w:eastAsia="en-US"/>
        </w:rPr>
        <w:br w:type="page"/>
      </w:r>
      <w:r w:rsidR="002A177A">
        <w:rPr>
          <w:b/>
        </w:rPr>
        <w:lastRenderedPageBreak/>
        <w:t>PASLAUGŲ PIRKIMO-PARDAVIMO SUTARTI</w:t>
      </w:r>
      <w:r w:rsidR="002A177A" w:rsidRPr="00EF7207">
        <w:rPr>
          <w:b/>
        </w:rPr>
        <w:t>S</w:t>
      </w:r>
    </w:p>
    <w:p w14:paraId="0307DFDB" w14:textId="77777777" w:rsidR="00E07BD7" w:rsidRDefault="00E07BD7" w:rsidP="00024413">
      <w:pPr>
        <w:jc w:val="center"/>
        <w:rPr>
          <w:b/>
        </w:rPr>
      </w:pPr>
    </w:p>
    <w:p w14:paraId="602388B5" w14:textId="77777777" w:rsidR="00024413" w:rsidRDefault="00E07BD7" w:rsidP="006644F0">
      <w:pPr>
        <w:jc w:val="center"/>
        <w:rPr>
          <w:b/>
        </w:rPr>
      </w:pPr>
      <w:r>
        <w:rPr>
          <w:b/>
        </w:rPr>
        <w:t xml:space="preserve">II. </w:t>
      </w:r>
      <w:r w:rsidR="00024413" w:rsidRPr="00014F80">
        <w:rPr>
          <w:b/>
        </w:rPr>
        <w:t>BENDROJI DALIS</w:t>
      </w:r>
    </w:p>
    <w:p w14:paraId="4E4071C7" w14:textId="77777777" w:rsidR="0013714B" w:rsidRDefault="0013714B" w:rsidP="006644F0">
      <w:pPr>
        <w:jc w:val="center"/>
        <w:rPr>
          <w:b/>
        </w:rPr>
      </w:pPr>
    </w:p>
    <w:p w14:paraId="1959D0F6" w14:textId="77777777" w:rsidR="0013714B" w:rsidRPr="00014F80" w:rsidRDefault="0013714B" w:rsidP="006644F0">
      <w:pPr>
        <w:jc w:val="center"/>
        <w:rPr>
          <w:b/>
        </w:rPr>
      </w:pPr>
    </w:p>
    <w:p w14:paraId="25B235E6" w14:textId="77777777" w:rsidR="00024413" w:rsidRPr="00120A77" w:rsidRDefault="00024413" w:rsidP="00024413">
      <w:pPr>
        <w:rPr>
          <w:b/>
        </w:rPr>
      </w:pPr>
    </w:p>
    <w:p w14:paraId="40CA8BCD" w14:textId="77777777" w:rsidR="00024413" w:rsidRPr="00120A77" w:rsidRDefault="00024413" w:rsidP="00024413">
      <w:pPr>
        <w:jc w:val="both"/>
        <w:rPr>
          <w:b/>
        </w:rPr>
      </w:pPr>
      <w:r w:rsidRPr="00120A77">
        <w:rPr>
          <w:b/>
        </w:rPr>
        <w:t>1.</w:t>
      </w:r>
      <w:r w:rsidRPr="00120A77">
        <w:t xml:space="preserve"> </w:t>
      </w:r>
      <w:r w:rsidRPr="00120A77">
        <w:rPr>
          <w:b/>
        </w:rPr>
        <w:t>Sąvokos</w:t>
      </w:r>
    </w:p>
    <w:p w14:paraId="356209BF" w14:textId="77777777" w:rsidR="00024413" w:rsidRPr="00120A77" w:rsidRDefault="00024413" w:rsidP="00024413">
      <w:pPr>
        <w:jc w:val="both"/>
      </w:pPr>
      <w:r w:rsidRPr="00120A77">
        <w:t xml:space="preserve">1.1. Šioje </w:t>
      </w:r>
      <w:r w:rsidR="004876D3">
        <w:t>S</w:t>
      </w:r>
      <w:r w:rsidRPr="00120A77">
        <w:t>utartyje naudojamos pagrindinės sąvokos:</w:t>
      </w:r>
    </w:p>
    <w:p w14:paraId="0D1CA8CD"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1F846DBB"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00023C61" w:rsidRPr="00120A77">
        <w:rPr>
          <w:b/>
        </w:rPr>
        <w:t>Teikėjas</w:t>
      </w:r>
      <w:r w:rsidRPr="00120A77">
        <w:t>:</w:t>
      </w:r>
    </w:p>
    <w:p w14:paraId="36726DAF"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tai Sutarties šalis, kurios rekvizitai nur</w:t>
      </w:r>
      <w:r w:rsidR="00023C61" w:rsidRPr="00120A77">
        <w:t>ody</w:t>
      </w:r>
      <w:r w:rsidR="00516509" w:rsidRPr="00120A77">
        <w:t>ti Sutartyje, perkantis Paslaugas</w:t>
      </w:r>
      <w:r w:rsidRPr="00120A77">
        <w:t xml:space="preserve"> šioje Sutartyje nurodytomis sąlygomis;</w:t>
      </w:r>
    </w:p>
    <w:p w14:paraId="5EE6A8BD"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tai Sutarties šalis, kurios rekvizitai nurodyti Sutarty</w:t>
      </w:r>
      <w:r w:rsidR="00516509" w:rsidRPr="00120A77">
        <w:t>je, suteikiantis Paslaugas</w:t>
      </w:r>
      <w:r w:rsidRPr="00120A77">
        <w:t xml:space="preserve"> šioje Sutartyje nurodytomis sąlygomis.</w:t>
      </w:r>
    </w:p>
    <w:p w14:paraId="51E45684"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3FD7E975" w14:textId="77777777" w:rsidR="00024413" w:rsidRPr="00120A77" w:rsidRDefault="00A567E1" w:rsidP="00024413">
      <w:pPr>
        <w:pStyle w:val="BodyText"/>
        <w:spacing w:after="0"/>
        <w:jc w:val="both"/>
      </w:pPr>
      <w:r>
        <w:t>1.1.</w:t>
      </w:r>
      <w:r w:rsidR="000D0CFD">
        <w:t>4</w:t>
      </w:r>
      <w:r>
        <w:t>. Trečiasis</w:t>
      </w:r>
      <w:r w:rsidR="00024413" w:rsidRPr="00120A77">
        <w:t xml:space="preserve"> asmuo – tai bet kuris fizinis ar juridinis asmuo (taip pat valstybė, valstybės institucijos, savivald</w:t>
      </w:r>
      <w:r w:rsidR="00BF7E2D">
        <w:t>ybė, savivaldybės institucijos)</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59240FBC" w14:textId="77777777" w:rsidR="00024413" w:rsidRPr="00120A77" w:rsidRDefault="000D0CFD" w:rsidP="00024413">
      <w:pPr>
        <w:pStyle w:val="BodyText"/>
        <w:spacing w:after="0"/>
        <w:jc w:val="both"/>
      </w:pPr>
      <w:r>
        <w:t>1.1.5</w:t>
      </w:r>
      <w:r w:rsidR="00024413" w:rsidRPr="00120A77">
        <w:t xml:space="preserve">. Licencijos </w:t>
      </w:r>
      <w:r w:rsidR="00024413" w:rsidRPr="00120A77">
        <w:rPr>
          <w:b/>
        </w:rPr>
        <w:t xml:space="preserve">- </w:t>
      </w:r>
      <w:r w:rsidR="00C17187" w:rsidRPr="00120A77">
        <w:rPr>
          <w:spacing w:val="-3"/>
        </w:rPr>
        <w:t xml:space="preserve">visos reikalingos licencijos, patentai </w:t>
      </w:r>
      <w:r w:rsidR="00024413" w:rsidRPr="00120A77">
        <w:rPr>
          <w:spacing w:val="-3"/>
        </w:rPr>
        <w:t>ir/arba leidimai būtini Sutarties vykdymui.</w:t>
      </w:r>
    </w:p>
    <w:p w14:paraId="577C7E28"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 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5E009CB8"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tai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neįvykdyta</w:t>
      </w:r>
      <w:r w:rsidR="00F16EB6">
        <w:t>\i</w:t>
      </w:r>
      <w:r w:rsidR="00F16EB6" w:rsidRPr="00010D70">
        <w:t xml:space="preserve"> arba netinkamai įvykdyt</w:t>
      </w:r>
      <w:r w:rsidR="00F16EB6">
        <w:t>i</w:t>
      </w:r>
      <w:r w:rsidR="00024413" w:rsidRPr="00120A77">
        <w:t>.</w:t>
      </w:r>
    </w:p>
    <w:p w14:paraId="58893707"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BB485F">
        <w:t>/įkainiai</w:t>
      </w:r>
      <w:r w:rsidR="00C17187" w:rsidRPr="00120A77">
        <w:t xml:space="preserve"> ar </w:t>
      </w:r>
      <w:r w:rsidR="000D08D0">
        <w:t>S</w:t>
      </w:r>
      <w:r w:rsidR="00C17187" w:rsidRPr="00120A77">
        <w:t>utarties kainos</w:t>
      </w:r>
      <w:r w:rsidR="00BB485F">
        <w:t>/įkainių</w:t>
      </w:r>
      <w:r w:rsidR="00C17187" w:rsidRPr="00120A77">
        <w:t xml:space="preserve"> apskaičiavimo bei kainos</w:t>
      </w:r>
      <w:r w:rsidR="00BB485F">
        <w:t>/įkainių</w:t>
      </w:r>
      <w:r w:rsidR="00C17187" w:rsidRPr="00120A77">
        <w:t xml:space="preserve"> koregavimo taisyklės.</w:t>
      </w:r>
    </w:p>
    <w:p w14:paraId="2310EEDF"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5BA8A6FE"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701B5123"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63049703"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42222C20"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sutartų minimalių nuostolių skaičiavimas pradedamas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termino dienos ir baigiamas Sutarties šaliai įvykdžius įsipareigojimus (paskutinė skaičiavimo</w:t>
      </w:r>
      <w:r w:rsidRPr="00120A77">
        <w:t xml:space="preserve"> diena yra laikoma įsipareigojimų įvykdymo diena).</w:t>
      </w:r>
    </w:p>
    <w:p w14:paraId="34039FE4"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0A19C69F"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19E57E9B"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1436C6AB"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470571B"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34CA5723" w14:textId="77777777" w:rsidR="00324EE5" w:rsidRPr="00120A77" w:rsidRDefault="00324EE5" w:rsidP="00024413">
      <w:pPr>
        <w:jc w:val="both"/>
        <w:rPr>
          <w:b/>
        </w:rPr>
      </w:pPr>
    </w:p>
    <w:p w14:paraId="517DB99F" w14:textId="77777777" w:rsidR="00024413" w:rsidRPr="00120A77" w:rsidRDefault="00024413" w:rsidP="00024413">
      <w:pPr>
        <w:jc w:val="both"/>
        <w:rPr>
          <w:b/>
        </w:rPr>
      </w:pPr>
      <w:r w:rsidRPr="00120A77">
        <w:rPr>
          <w:b/>
        </w:rPr>
        <w:t>2. Sutarties kaina/</w:t>
      </w:r>
      <w:r w:rsidR="00EF31D0">
        <w:rPr>
          <w:b/>
        </w:rPr>
        <w:t xml:space="preserve">paslaugų </w:t>
      </w:r>
      <w:r w:rsidRPr="00120A77">
        <w:rPr>
          <w:b/>
        </w:rPr>
        <w:t>įkainiai</w:t>
      </w:r>
      <w:r w:rsidR="00EF31D0">
        <w:rPr>
          <w:b/>
        </w:rPr>
        <w:t>/kainodaros taisyklės</w:t>
      </w:r>
    </w:p>
    <w:p w14:paraId="5F46F5C8" w14:textId="77777777" w:rsidR="00024413" w:rsidRPr="00120A77" w:rsidRDefault="00024413" w:rsidP="00024413">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404FDE83" w14:textId="77777777" w:rsidR="00024413" w:rsidRPr="00120A77" w:rsidRDefault="00024413" w:rsidP="00024413">
      <w:pPr>
        <w:jc w:val="both"/>
      </w:pPr>
      <w:r w:rsidRPr="00120A77">
        <w:lastRenderedPageBreak/>
        <w:t>2.2. Sutarties kaina/įkainiai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komas PVM</w:t>
      </w:r>
      <w:r w:rsidRPr="00120A77">
        <w:t xml:space="preserve"> tarifas. Perskaičiuota kaina/įkainiai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53180DCC"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5CD62C84"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1F76A2E4" w14:textId="77777777" w:rsidR="00024413" w:rsidRPr="00120A77" w:rsidRDefault="00024413" w:rsidP="00024413">
      <w:pPr>
        <w:widowControl w:val="0"/>
        <w:shd w:val="clear" w:color="auto" w:fill="FFFFFF"/>
        <w:jc w:val="both"/>
      </w:pPr>
      <w:r w:rsidRPr="00120A77">
        <w:t>2.4.1. logistikos (transportavimo) išlaidas;</w:t>
      </w:r>
    </w:p>
    <w:p w14:paraId="2553BDA0"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189E70D4"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115B365B"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 susijusia</w:t>
      </w:r>
      <w:r w:rsidR="005920C6" w:rsidRPr="00120A77">
        <w:t xml:space="preserve">s </w:t>
      </w:r>
      <w:r w:rsidRPr="00120A77">
        <w:t>su paslaugų</w:t>
      </w:r>
      <w:r w:rsidR="001768C8" w:rsidRPr="00120A77">
        <w:t xml:space="preserve"> teikimui 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73410384"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2030E394"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0E976BBA"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620C7292"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2942721"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8ADD987" w14:textId="77777777" w:rsidR="006179F7" w:rsidRDefault="006179F7" w:rsidP="006179F7">
      <w:pPr>
        <w:jc w:val="both"/>
      </w:pPr>
      <w:r>
        <w:t xml:space="preserve">2.6. Su Sutarties specialiojoje dalyje nurodytu Subtiekėju (-ais) </w:t>
      </w:r>
      <w:r w:rsidRPr="00733EAC">
        <w:rPr>
          <w:b/>
        </w:rPr>
        <w:t>Pirkėjas</w:t>
      </w:r>
      <w:r>
        <w:t xml:space="preserve"> ir </w:t>
      </w:r>
      <w:r w:rsidR="006C1154">
        <w:rPr>
          <w:b/>
        </w:rPr>
        <w:t>Teikėjas</w:t>
      </w:r>
      <w:r>
        <w:t xml:space="preserve"> gali sudaryti trišalę tiesioginio atsiskaitymo sutartį, kuria Šalių ir Subtiekėjo sutarta apimtimi ir sąlygomis </w:t>
      </w:r>
      <w:r w:rsidR="006C1154">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207F0742" w14:textId="77777777" w:rsidR="006179F7" w:rsidRDefault="006179F7" w:rsidP="006179F7">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4462214" w14:textId="77777777" w:rsidR="006179F7" w:rsidRDefault="006179F7" w:rsidP="006179F7">
      <w:pPr>
        <w:jc w:val="both"/>
      </w:pPr>
      <w:r>
        <w:t xml:space="preserve">2.7.1. Pagrindinės tiesioginio tiekimo sutarties sąlygos nurodytos Sutarties bendrosios dalies 2.8 punkte. </w:t>
      </w:r>
    </w:p>
    <w:p w14:paraId="51962E75" w14:textId="77777777" w:rsidR="006179F7" w:rsidRDefault="006179F7" w:rsidP="006179F7">
      <w:pPr>
        <w:jc w:val="both"/>
      </w:pPr>
      <w:r>
        <w:t xml:space="preserve">2.7.2. </w:t>
      </w:r>
      <w:r w:rsidR="006C1154">
        <w:rPr>
          <w:b/>
        </w:rPr>
        <w:t>Teikėjo</w:t>
      </w:r>
      <w:r>
        <w:t xml:space="preserve"> patvirtinimą, kad jis sutinka Subtiekėjo siūlomomis sąlygomis sudaryti tiesioginio atsiskaitymo sutartį. </w:t>
      </w:r>
    </w:p>
    <w:p w14:paraId="09812C81" w14:textId="77777777" w:rsidR="006179F7" w:rsidRDefault="006179F7" w:rsidP="006179F7">
      <w:pPr>
        <w:jc w:val="both"/>
      </w:pPr>
      <w:r>
        <w:t>2.7.3. Dokumentai įrodantys, kad nėra V</w:t>
      </w:r>
      <w:r w:rsidR="002E2C5C">
        <w:t xml:space="preserve">iešųjų pirkimų įstatymo </w:t>
      </w:r>
      <w:r>
        <w:t>46 straipsnio 1 dalyje nurodytų pagrindų.</w:t>
      </w:r>
    </w:p>
    <w:p w14:paraId="3B94F6DA" w14:textId="77777777" w:rsidR="006179F7" w:rsidRDefault="006179F7" w:rsidP="006179F7">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Pr>
          <w:b/>
        </w:rPr>
        <w:t>Teikėju</w:t>
      </w:r>
      <w:r>
        <w:t xml:space="preserve"> ir pateikus šio suderinimo rašytinius įrodymus, Šalių ir Subtiekėjo pareiga informuoti apie rekvizitų pasikeitimus, mokėjimų vykdymo tvarka įvykus ginčui tarp </w:t>
      </w:r>
      <w:r w:rsidR="006C1154">
        <w:rPr>
          <w:b/>
        </w:rPr>
        <w:t>Teikėjo</w:t>
      </w:r>
      <w:r>
        <w:t xml:space="preserve"> ir Subtiekėjo, papildomas prievolių, užtikrinimas (taikoma tik numatant avansinius mokėjimus). </w:t>
      </w:r>
    </w:p>
    <w:p w14:paraId="5CCEE68E" w14:textId="77777777" w:rsidR="006179F7" w:rsidRDefault="006179F7" w:rsidP="006179F7">
      <w:pPr>
        <w:jc w:val="both"/>
      </w:pPr>
      <w:r>
        <w:t xml:space="preserve">2.9. Sutartis turi būti sudaryta ne vėliau kaip iki dienos, nuo kurios atsiranda mokėjimo prievolė pagal Sutarties bendrosios dalies 4.1 punktą. </w:t>
      </w:r>
    </w:p>
    <w:p w14:paraId="086FBBDE" w14:textId="77777777" w:rsidR="006179F7" w:rsidRDefault="006179F7" w:rsidP="006179F7">
      <w:pPr>
        <w:jc w:val="both"/>
      </w:pPr>
      <w:r>
        <w:t xml:space="preserve">2.10. Tiesioginis atsiskaitymas su Subtiekėju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 nesusiję su reikalavimo teise sumokėti Sutarties kainą perleidimu Subtiekėjui negali būti perduoti.</w:t>
      </w:r>
    </w:p>
    <w:p w14:paraId="4186E4CD" w14:textId="77777777" w:rsidR="006179F7" w:rsidRDefault="006179F7" w:rsidP="006179F7">
      <w:pPr>
        <w:jc w:val="both"/>
      </w:pPr>
      <w:r>
        <w:t xml:space="preserve">2.11. </w:t>
      </w:r>
      <w:r w:rsidRPr="00733EAC">
        <w:rPr>
          <w:b/>
        </w:rPr>
        <w:t>Pirkėjas</w:t>
      </w:r>
      <w:r>
        <w:t xml:space="preserve"> turi teisę reikšti Subtiekėjui visus atsikirtimus, kuriuos jis turėjo teisę reikšti </w:t>
      </w:r>
      <w:r w:rsidR="006C1154" w:rsidRPr="00EE7AD9">
        <w:rPr>
          <w:b/>
        </w:rPr>
        <w:t>Teikėjui</w:t>
      </w:r>
      <w:r w:rsidRPr="00EE7AD9">
        <w:rPr>
          <w:b/>
        </w:rPr>
        <w:t xml:space="preserve"> </w:t>
      </w:r>
      <w:r>
        <w:t>iki reikalavimo teisės perdavimo.</w:t>
      </w:r>
    </w:p>
    <w:p w14:paraId="6F046C4E" w14:textId="77777777" w:rsidR="006179F7" w:rsidRDefault="006179F7" w:rsidP="006179F7">
      <w:pPr>
        <w:jc w:val="both"/>
      </w:pPr>
      <w:r>
        <w:t xml:space="preserve">2.12. Kilus ginčui tarp </w:t>
      </w:r>
      <w:r w:rsidR="006C1154">
        <w:rPr>
          <w:b/>
        </w:rPr>
        <w:t>Teikėjo</w:t>
      </w:r>
      <w:r>
        <w:t xml:space="preserve"> ir Subtiekėjo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Subtiekėjo reikalavimas (sąskaita ar kitas dokumentas) yra nesuderintas su </w:t>
      </w:r>
      <w:r w:rsidR="006C1154">
        <w:rPr>
          <w:b/>
        </w:rPr>
        <w:t>Teikėju</w:t>
      </w:r>
      <w:r>
        <w:t xml:space="preserve">, bus laikoma, kad tarp </w:t>
      </w:r>
      <w:r w:rsidR="006C1154">
        <w:rPr>
          <w:b/>
        </w:rPr>
        <w:t>Teikėjo</w:t>
      </w:r>
      <w:r>
        <w:t xml:space="preserve"> ir Subtiekėjo yra kilęs ginčas. </w:t>
      </w:r>
    </w:p>
    <w:p w14:paraId="17BBD264" w14:textId="77777777" w:rsidR="006179F7" w:rsidRPr="00120A77" w:rsidRDefault="006179F7" w:rsidP="006179F7">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B830917" w14:textId="77777777" w:rsidR="00024413" w:rsidRPr="00120A77" w:rsidRDefault="00024413" w:rsidP="00024413">
      <w:pPr>
        <w:jc w:val="both"/>
      </w:pPr>
    </w:p>
    <w:p w14:paraId="0D008B21"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68E6274F"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 (-uose)</w:t>
      </w:r>
      <w:r w:rsidR="00024413" w:rsidRPr="00120A77">
        <w:t>) numatytais terminais ir tvarka.</w:t>
      </w:r>
    </w:p>
    <w:p w14:paraId="607EF5FC" w14:textId="77777777" w:rsidR="00DB25C9"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perdavimą-priėmimą,</w:t>
      </w:r>
      <w:r w:rsidR="00DB25C9" w:rsidRPr="000E4893">
        <w:t xml:space="preserve"> turi būti pasirašomas ne vėliau kaip per 30 dienų</w:t>
      </w:r>
      <w:r w:rsidR="00DB25C9">
        <w:t>.</w:t>
      </w:r>
    </w:p>
    <w:p w14:paraId="01AFC128" w14:textId="77777777" w:rsidR="00D64D8B" w:rsidRPr="000C0FE3" w:rsidRDefault="00D64D8B" w:rsidP="00DB25C9">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4E91D1A1" w14:textId="77777777" w:rsidR="00D64D8B" w:rsidRPr="00D64D8B" w:rsidRDefault="00D64D8B" w:rsidP="00D64D8B">
      <w:pPr>
        <w:rPr>
          <w:color w:val="0070C0"/>
          <w:sz w:val="20"/>
          <w:szCs w:val="20"/>
        </w:rPr>
      </w:pPr>
      <w:r w:rsidRPr="00D64D8B">
        <w:rPr>
          <w:color w:val="0070C0"/>
          <w:sz w:val="20"/>
          <w:szCs w:val="20"/>
        </w:rPr>
        <w:t>Papildymas 3.3 p.: KA ministro įsakymas Nr. V-732 (2024-08-07)</w:t>
      </w:r>
    </w:p>
    <w:p w14:paraId="4B23ECE0" w14:textId="77777777" w:rsidR="00024413" w:rsidRPr="00120A77" w:rsidRDefault="00024413" w:rsidP="00024413">
      <w:pPr>
        <w:jc w:val="both"/>
      </w:pPr>
    </w:p>
    <w:p w14:paraId="3C43209F" w14:textId="77777777" w:rsidR="00024413" w:rsidRPr="00120A77" w:rsidRDefault="00024413" w:rsidP="00024413">
      <w:pPr>
        <w:jc w:val="both"/>
        <w:rPr>
          <w:b/>
        </w:rPr>
      </w:pPr>
      <w:r w:rsidRPr="00120A77">
        <w:rPr>
          <w:b/>
        </w:rPr>
        <w:t>4. Mokėjimo terminai ir sąlygos</w:t>
      </w:r>
    </w:p>
    <w:p w14:paraId="76474608"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abiems Šalims pasirašius </w:t>
      </w:r>
      <w:r w:rsidR="00DB2386">
        <w:t xml:space="preserve">dokumentą, patvirtinantį </w:t>
      </w:r>
      <w:r w:rsidR="002E0CFE">
        <w:t>paslaugų</w:t>
      </w:r>
      <w:r w:rsidR="00DB2386">
        <w:t xml:space="preserve"> perdavimą-priėmimą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085968">
        <w:t>/</w:t>
      </w:r>
      <w:r w:rsidR="00085968" w:rsidRPr="00085968">
        <w:rPr>
          <w:bCs/>
        </w:rPr>
        <w:t>Viešųjų pirkimų, atliekamų gynybos ir saugumo srityje, įstatymo 12 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27568BAE"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1C4405">
        <w:t>/-is</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3E3965E8"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B074B00" w14:textId="77777777" w:rsidR="00923A29" w:rsidRPr="00395267" w:rsidRDefault="00923A29" w:rsidP="00923A29">
      <w:pPr>
        <w:pStyle w:val="NoSpacing"/>
        <w:jc w:val="both"/>
        <w:rPr>
          <w:lang w:val="lt-LT"/>
        </w:rPr>
      </w:pPr>
      <w:r>
        <w:rPr>
          <w:lang w:val="lt-LT"/>
        </w:rPr>
        <w:lastRenderedPageBreak/>
        <w:t xml:space="preserve">4.4. </w:t>
      </w:r>
      <w:r w:rsidR="00C979AE">
        <w:t xml:space="preserve">Avansinio </w:t>
      </w:r>
      <w:r w:rsidR="003341DB" w:rsidRPr="009B5716">
        <w:t>mokėjimo</w:t>
      </w:r>
      <w:r w:rsidR="003341DB" w:rsidRPr="009B5716">
        <w:rPr>
          <w:szCs w:val="20"/>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21D5110C"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4.2-4.4. punktuose</w:t>
      </w:r>
      <w:r w:rsidRPr="009B5716">
        <w:rPr>
          <w:szCs w:val="20"/>
        </w:rPr>
        <w:t xml:space="preserve"> 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punkt</w:t>
      </w:r>
      <w:r w:rsidR="00C011C7">
        <w:rPr>
          <w:szCs w:val="20"/>
        </w:rPr>
        <w:t>ą</w:t>
      </w:r>
      <w:r w:rsidRPr="009B5716">
        <w:rPr>
          <w:szCs w:val="20"/>
        </w:rPr>
        <w:t>.</w:t>
      </w:r>
    </w:p>
    <w:p w14:paraId="05FBCF3B"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2849C40E" w14:textId="77777777" w:rsidR="00140EF8" w:rsidRPr="00140EF8" w:rsidRDefault="00140EF8" w:rsidP="00140EF8">
      <w:pPr>
        <w:jc w:val="both"/>
      </w:pPr>
      <w:r w:rsidRPr="00140EF8">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30F31AB7" w14:textId="77777777" w:rsidR="00024413" w:rsidRPr="00120A77" w:rsidRDefault="00024413" w:rsidP="00024413">
      <w:pPr>
        <w:jc w:val="both"/>
      </w:pPr>
    </w:p>
    <w:p w14:paraId="795498D9" w14:textId="77777777" w:rsidR="00024413" w:rsidRPr="00120A77" w:rsidRDefault="0004215D" w:rsidP="00024413">
      <w:pPr>
        <w:jc w:val="both"/>
        <w:rPr>
          <w:b/>
        </w:rPr>
      </w:pPr>
      <w:r w:rsidRPr="00120A77">
        <w:rPr>
          <w:b/>
        </w:rPr>
        <w:t>5. Paslaugų</w:t>
      </w:r>
      <w:r w:rsidR="00024413" w:rsidRPr="00120A77">
        <w:rPr>
          <w:b/>
        </w:rPr>
        <w:t xml:space="preserve"> kokybė</w:t>
      </w:r>
    </w:p>
    <w:p w14:paraId="3D78A9C7"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59161554"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3F3D0FC8"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24934473"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kokybės kontrolę gamybos eigoje, tikrinti pagalbines medžiagas bei žaliavas, jų pirminius įsigijimo dokumentus</w:t>
      </w:r>
      <w:r w:rsidR="00F6527D" w:rsidRPr="00120A77">
        <w:t>.</w:t>
      </w:r>
    </w:p>
    <w:p w14:paraId="40B5AC9F"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neatitikimą 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perduodamos/parduodamos prekės tiesiogiai susijusios</w:t>
      </w:r>
      <w:r w:rsidRPr="00120A77">
        <w:rPr>
          <w:i/>
        </w:rPr>
        <w:t xml:space="preserve"> su sutarties objektu).</w:t>
      </w:r>
    </w:p>
    <w:p w14:paraId="14AC161F" w14:textId="77777777" w:rsidR="004A79F8" w:rsidRPr="00120A77" w:rsidRDefault="004A79F8" w:rsidP="00024413">
      <w:pPr>
        <w:jc w:val="both"/>
        <w:rPr>
          <w:b/>
        </w:rPr>
      </w:pPr>
    </w:p>
    <w:p w14:paraId="28D96C3E"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1"/>
      </w:r>
      <w:r w:rsidR="00B2260B" w:rsidRPr="00120A77">
        <w:rPr>
          <w:b/>
        </w:rPr>
        <w:t xml:space="preserve"> </w:t>
      </w:r>
    </w:p>
    <w:p w14:paraId="381A5D37"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6676E6E3"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kurių vykdymui skirta pagal Sutartį gaunama prekė), </w:t>
      </w:r>
      <w:r w:rsidR="00615ED2" w:rsidRPr="00615ED2">
        <w:t>kuria būtų galima naudotis prekės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7A847F7B"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481B9CE6" w14:textId="77777777" w:rsidR="00024413" w:rsidRPr="00120A77" w:rsidRDefault="00D74486" w:rsidP="00024413">
      <w:pPr>
        <w:jc w:val="both"/>
      </w:pPr>
      <w:r w:rsidRPr="00120A77">
        <w:lastRenderedPageBreak/>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665F1046"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perdavimą-priėmimą,</w:t>
      </w:r>
      <w:r w:rsidR="00EC508C" w:rsidRPr="00120A77">
        <w:t xml:space="preserve"> pasirašymo dienos</w:t>
      </w:r>
      <w:r w:rsidR="005C2463" w:rsidRPr="00120A77">
        <w:t>.</w:t>
      </w:r>
    </w:p>
    <w:p w14:paraId="68003CC5" w14:textId="77777777" w:rsidR="000104A7" w:rsidRPr="00120A77" w:rsidRDefault="00D74486" w:rsidP="00EC508C">
      <w:pPr>
        <w:jc w:val="both"/>
      </w:pPr>
      <w:r w:rsidRPr="00120A77">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perdavimą-priėmimą,</w:t>
      </w:r>
      <w:r w:rsidR="005C2463" w:rsidRPr="00120A77">
        <w:t xml:space="preserve"> pasirašymo dienos.</w:t>
      </w:r>
    </w:p>
    <w:p w14:paraId="6C284E9F"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615D09AB" w14:textId="77777777" w:rsidR="00EC508C" w:rsidRDefault="00EC508C" w:rsidP="00024413">
      <w:pPr>
        <w:jc w:val="both"/>
      </w:pPr>
    </w:p>
    <w:p w14:paraId="4948D224" w14:textId="77777777" w:rsidR="00BC289E" w:rsidRDefault="00BC289E" w:rsidP="00024413">
      <w:pPr>
        <w:jc w:val="both"/>
      </w:pPr>
    </w:p>
    <w:p w14:paraId="09B293EF" w14:textId="77777777" w:rsidR="00BC289E" w:rsidRPr="00120A77" w:rsidRDefault="00BC289E" w:rsidP="00024413">
      <w:pPr>
        <w:jc w:val="both"/>
      </w:pPr>
    </w:p>
    <w:p w14:paraId="22E1FE09"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52DB5A50"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4248DFF"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49684ECC" w14:textId="77777777" w:rsidR="00BE2AC2" w:rsidRDefault="00BE2AC2" w:rsidP="00024413">
      <w:pPr>
        <w:pStyle w:val="BodyTextIndent2"/>
        <w:ind w:left="0" w:firstLine="0"/>
        <w:jc w:val="both"/>
        <w:rPr>
          <w:b/>
          <w:i w:val="0"/>
          <w:color w:val="auto"/>
          <w:sz w:val="24"/>
          <w:szCs w:val="24"/>
          <w:lang w:val="lt-LT"/>
        </w:rPr>
      </w:pPr>
    </w:p>
    <w:p w14:paraId="41A3B5CF"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082ADE6"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120A77">
        <w:rPr>
          <w:i/>
        </w:rPr>
        <w:t>(jei spec. dalyje nurodyta, kad ši sąlyga taikoma)</w:t>
      </w:r>
      <w:r w:rsidR="002035B2" w:rsidRPr="00120A77">
        <w:t>.</w:t>
      </w:r>
    </w:p>
    <w:p w14:paraId="70563960"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120A77">
        <w:rPr>
          <w:i w:val="0"/>
          <w:color w:val="auto"/>
          <w:sz w:val="24"/>
          <w:szCs w:val="24"/>
          <w:lang w:val="lt-LT"/>
        </w:rPr>
        <w:t>.</w:t>
      </w:r>
    </w:p>
    <w:p w14:paraId="36E41C80" w14:textId="77777777" w:rsidR="00024413" w:rsidRPr="00120A77" w:rsidRDefault="00024413" w:rsidP="00024413">
      <w:pPr>
        <w:jc w:val="both"/>
      </w:pPr>
    </w:p>
    <w:p w14:paraId="68262174" w14:textId="77777777" w:rsidR="00024413" w:rsidRPr="00120A77" w:rsidRDefault="00024413" w:rsidP="00024413">
      <w:pPr>
        <w:jc w:val="both"/>
        <w:rPr>
          <w:b/>
        </w:rPr>
      </w:pPr>
      <w:r w:rsidRPr="00120A77">
        <w:rPr>
          <w:b/>
        </w:rPr>
        <w:t>9. Sutarties nutraukimas</w:t>
      </w:r>
    </w:p>
    <w:p w14:paraId="19DE5FDF" w14:textId="77777777" w:rsidR="00024413" w:rsidRPr="00120A77" w:rsidRDefault="00024413" w:rsidP="00024413">
      <w:pPr>
        <w:jc w:val="both"/>
      </w:pPr>
      <w:r w:rsidRPr="00120A77">
        <w:t>9.1. Ši Sutartis gali būti nutraukta:</w:t>
      </w:r>
    </w:p>
    <w:p w14:paraId="0310A3BD"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30664634"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xml:space="preserve">, konkretus terminas nurodomas </w:t>
      </w:r>
      <w:r w:rsidR="00B07DF8">
        <w:t>S</w:t>
      </w:r>
      <w:r w:rsidR="00E662FF">
        <w:t>pecialiojoje dalyje</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kiekviena Sutarties šalis gali vienašališkai nutraukti Sutartį, pranešant apie tai kitai Sutarties šaliai raštu ne vėliau kaip prieš 7 (septynias) dienas</w:t>
      </w:r>
      <w:r w:rsidR="00A179BF">
        <w:t>;</w:t>
      </w:r>
    </w:p>
    <w:p w14:paraId="5EA009BD" w14:textId="77777777" w:rsidR="00024413" w:rsidRPr="00120A77" w:rsidRDefault="00024413" w:rsidP="00024413">
      <w:pPr>
        <w:jc w:val="both"/>
      </w:pPr>
      <w:r w:rsidRPr="00120A77">
        <w:lastRenderedPageBreak/>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3CA28821"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424D261E"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es spe</w:t>
      </w:r>
      <w:r w:rsidR="00350ADC" w:rsidRPr="00120A77">
        <w:t>cialioje dalyje nurodytu terminu/ais</w:t>
      </w:r>
      <w:r w:rsidRPr="00120A77">
        <w:t>;</w:t>
      </w:r>
    </w:p>
    <w:p w14:paraId="24BC155B"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kainas/įkainius, išskyrus Sutarties bendrosios dalies 2.2 punkte numatytą atvejį;</w:t>
      </w:r>
    </w:p>
    <w:p w14:paraId="5E8C1056" w14:textId="77777777" w:rsidR="00024413" w:rsidRPr="00120A77" w:rsidRDefault="00AB5FFB" w:rsidP="00024413">
      <w:pPr>
        <w:jc w:val="both"/>
      </w:pPr>
      <w:r w:rsidRPr="00120A77">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3E5B89A3"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punkte numatyto įsipareigojimo </w:t>
      </w:r>
      <w:r w:rsidR="002035B2" w:rsidRPr="00120A77">
        <w:t>(</w:t>
      </w:r>
      <w:r w:rsidR="002035B2" w:rsidRPr="00120A77">
        <w:rPr>
          <w:i/>
        </w:rPr>
        <w:t>jeigu sutarties vykdymas bus užtikrintas laidavimu arba banko garantija</w:t>
      </w:r>
      <w:r w:rsidR="002035B2" w:rsidRPr="00120A77">
        <w:t>);</w:t>
      </w:r>
    </w:p>
    <w:p w14:paraId="58BBF640"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3DE2CC64"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punkte </w:t>
      </w:r>
      <w:r w:rsidR="002035B2" w:rsidRPr="00120A77">
        <w:t>(</w:t>
      </w:r>
      <w:r w:rsidR="002035B2" w:rsidRPr="00120A77">
        <w:rPr>
          <w:i/>
        </w:rPr>
        <w:t>jeigu pagal sutarties sąlygas numatytas avanso mokėjimas</w:t>
      </w:r>
      <w:r w:rsidR="002035B2" w:rsidRPr="00120A77">
        <w:t>)</w:t>
      </w:r>
      <w:r w:rsidR="00EB76D5">
        <w:t>;</w:t>
      </w:r>
    </w:p>
    <w:p w14:paraId="40C7FBA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yra įtraukiamas į Nepatikimų tiekėjų </w:t>
      </w:r>
      <w:r w:rsidR="00B07DF8">
        <w:rPr>
          <w:szCs w:val="22"/>
          <w:lang w:eastAsia="en-US"/>
        </w:rPr>
        <w:t>ar Melagingą informaciją pateikusių tiekėjų sąrašus</w:t>
      </w:r>
      <w:r w:rsidRPr="00B07F8F">
        <w:rPr>
          <w:szCs w:val="22"/>
          <w:lang w:eastAsia="en-US"/>
        </w:rPr>
        <w:t>;</w:t>
      </w:r>
    </w:p>
    <w:p w14:paraId="530F3CDE"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0A9EF7C1" w14:textId="77777777" w:rsidR="00FD7FDF" w:rsidRPr="00F80F86" w:rsidRDefault="00FD7FDF" w:rsidP="00FD7FDF">
      <w:pPr>
        <w:jc w:val="both"/>
      </w:pPr>
      <w:r w:rsidRPr="00D73574">
        <w:t>9.</w:t>
      </w:r>
      <w:r>
        <w:t>2</w:t>
      </w:r>
      <w:r w:rsidRPr="00D73574">
        <w:t>.</w:t>
      </w:r>
      <w:r>
        <w:t>10</w:t>
      </w:r>
      <w:r w:rsidR="00F22000">
        <w:t xml:space="preserve">. </w:t>
      </w:r>
      <w:r w:rsidR="00F22000" w:rsidRPr="0080194C">
        <w:t xml:space="preserve">Sutarties vykdymo metu </w:t>
      </w:r>
      <w:r w:rsidR="00F22000" w:rsidRPr="00070442">
        <w:t>paaiškėja</w:t>
      </w:r>
      <w:r w:rsidR="00F22000" w:rsidRPr="00131E4C">
        <w:t xml:space="preserve"> </w:t>
      </w:r>
      <w:r w:rsidR="00F22000" w:rsidRPr="00070442">
        <w:t>Viešųjų pirki</w:t>
      </w:r>
      <w:r w:rsidR="00F22000">
        <w:t>mų įstatymo 46 straipsnio 1 dalyje</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0F935832" w14:textId="77777777" w:rsidR="00FD7FDF" w:rsidRPr="00F80F86" w:rsidRDefault="00FD7FDF" w:rsidP="00FD7FDF">
      <w:pPr>
        <w:jc w:val="both"/>
      </w:pPr>
      <w:r w:rsidRPr="00F80F86">
        <w:t>9.2.11</w:t>
      </w:r>
      <w:r w:rsidR="00771A25">
        <w:t>.</w:t>
      </w:r>
      <w:r w:rsidRPr="00F80F86">
        <w:t xml:space="preserve"> Sutarties vykdymo metu paaiškėja, kad Sutartis buvo pakeista pažeidžiant Viešųjų pirkimų įstatymo 89 straipsnį</w:t>
      </w:r>
      <w:r w:rsidR="00B07DF8" w:rsidRPr="00F80F86">
        <w:t>/Viešųjų pirkimų atliekamų gynybos ir saugumo srityje įstatymo 5</w:t>
      </w:r>
      <w:r w:rsidR="008567BF">
        <w:t>3</w:t>
      </w:r>
      <w:r w:rsidR="00B07DF8" w:rsidRPr="00F80F86">
        <w:t xml:space="preserve"> straipsn</w:t>
      </w:r>
      <w:r w:rsidR="008567BF">
        <w:t>į</w:t>
      </w:r>
      <w:r w:rsidRPr="00F80F86">
        <w:t>.</w:t>
      </w:r>
    </w:p>
    <w:p w14:paraId="22AB28AB"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1B43EBEF"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17BEF210" w14:textId="77777777" w:rsidR="009D270B" w:rsidRPr="00120A77" w:rsidRDefault="009D270B" w:rsidP="00024413">
      <w:pPr>
        <w:jc w:val="both"/>
      </w:pPr>
    </w:p>
    <w:p w14:paraId="1359192C" w14:textId="77777777" w:rsidR="00024413" w:rsidRPr="00120A77" w:rsidRDefault="00024413" w:rsidP="00024413">
      <w:pPr>
        <w:rPr>
          <w:b/>
        </w:rPr>
      </w:pPr>
      <w:r w:rsidRPr="00120A77">
        <w:rPr>
          <w:b/>
        </w:rPr>
        <w:t>10. Ginčų sprendimo tvarka</w:t>
      </w:r>
    </w:p>
    <w:p w14:paraId="5C2759CA" w14:textId="77777777" w:rsidR="00024413" w:rsidRPr="00120A77" w:rsidRDefault="00024413" w:rsidP="00024413">
      <w:r w:rsidRPr="00120A77">
        <w:t>10.1. Sutartis sudaryta ir turi būti aiškinama pagal Lietuvos Respublikos teisę.</w:t>
      </w:r>
    </w:p>
    <w:p w14:paraId="6CAC8C0C"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32859741" w14:textId="77777777" w:rsidR="008F30C9" w:rsidRPr="00120A77" w:rsidRDefault="008F30C9" w:rsidP="00024413">
      <w:pPr>
        <w:jc w:val="both"/>
      </w:pPr>
    </w:p>
    <w:p w14:paraId="4A086BDC" w14:textId="77777777" w:rsidR="00024413" w:rsidRPr="004A1813" w:rsidRDefault="00024413" w:rsidP="00024413">
      <w:pPr>
        <w:jc w:val="both"/>
        <w:rPr>
          <w:b/>
        </w:rPr>
      </w:pPr>
      <w:r w:rsidRPr="004A1813">
        <w:rPr>
          <w:b/>
        </w:rPr>
        <w:t>11. Atsakomybė</w:t>
      </w:r>
    </w:p>
    <w:p w14:paraId="401EA932"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 xml:space="preserve">už kiekvieną uždelstą dieną/valandą </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734DA792" w14:textId="77777777" w:rsidR="00024413" w:rsidRPr="00120A77" w:rsidRDefault="00D16B17" w:rsidP="00024413">
      <w:pPr>
        <w:jc w:val="both"/>
      </w:pPr>
      <w:r w:rsidRPr="008F30C9">
        <w:lastRenderedPageBreak/>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4D7B28">
        <w:t>,</w:t>
      </w:r>
      <w:r w:rsidR="00364D48" w:rsidRPr="008F30C9">
        <w:t xml:space="preserve"> </w:t>
      </w:r>
      <w:r w:rsidR="00024413" w:rsidRPr="008F30C9">
        <w:t xml:space="preserve"> </w:t>
      </w:r>
      <w:r w:rsidR="00C72AA5">
        <w:t xml:space="preserve">9.3 </w:t>
      </w:r>
      <w:r w:rsidR="00024413" w:rsidRPr="008F30C9">
        <w:t>punktuose</w:t>
      </w:r>
      <w:r w:rsidR="00615ED2"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024413" w:rsidRPr="002A7B79">
        <w:t>7 (</w:t>
      </w:r>
      <w:r w:rsidR="00024413" w:rsidRPr="008F30C9">
        <w:t xml:space="preserve">septynių) %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specialioje 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05228607" w14:textId="77777777" w:rsidR="0046409F" w:rsidRDefault="00D16B17" w:rsidP="00D53F1A">
      <w:pPr>
        <w:jc w:val="both"/>
      </w:pPr>
      <w:r w:rsidRPr="00120A77">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187C62EF"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76EC1AA0" w14:textId="77777777" w:rsidR="00024413" w:rsidRPr="00120A77" w:rsidRDefault="00D16B17" w:rsidP="00D53F1A">
      <w:pPr>
        <w:pStyle w:val="BodyTextIndent2"/>
        <w:ind w:left="0" w:firstLine="0"/>
        <w:jc w:val="both"/>
        <w:rPr>
          <w:i w:val="0"/>
          <w:color w:val="auto"/>
          <w:sz w:val="24"/>
          <w:szCs w:val="24"/>
        </w:rPr>
      </w:pPr>
      <w:r w:rsidRPr="00120A77">
        <w:rPr>
          <w:i w:val="0"/>
          <w:color w:val="auto"/>
          <w:sz w:val="24"/>
          <w:szCs w:val="24"/>
        </w:rPr>
        <w:t>11.</w:t>
      </w:r>
      <w:r w:rsidR="00BA3959">
        <w:rPr>
          <w:i w:val="0"/>
          <w:color w:val="auto"/>
          <w:sz w:val="24"/>
          <w:szCs w:val="24"/>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 xml:space="preserve">inansavimo vėlavimas iš biudžeto yra sąlyga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5AC667FB" w14:textId="77777777" w:rsidR="003E04CF" w:rsidRPr="00EF7207" w:rsidRDefault="003E04CF" w:rsidP="00024413">
      <w:pPr>
        <w:jc w:val="both"/>
      </w:pPr>
    </w:p>
    <w:p w14:paraId="088FEBC4" w14:textId="77777777" w:rsidR="00024413" w:rsidRPr="00120A77" w:rsidRDefault="00024413" w:rsidP="00024413">
      <w:pPr>
        <w:jc w:val="both"/>
        <w:rPr>
          <w:b/>
        </w:rPr>
      </w:pPr>
      <w:r w:rsidRPr="00120A77">
        <w:rPr>
          <w:b/>
        </w:rPr>
        <w:t>12. Sutarties galiojimas</w:t>
      </w:r>
    </w:p>
    <w:p w14:paraId="1454810B"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F7497D">
        <w:rPr>
          <w:i/>
        </w:rPr>
        <w:t>(</w:t>
      </w:r>
      <w:r w:rsidR="00022EF2">
        <w:rPr>
          <w:i/>
        </w:rPr>
        <w:t xml:space="preserve">Sutarties įsigaliojimo kai pateikiamas užtikrinimas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F7497D">
        <w:rPr>
          <w:i/>
        </w:rPr>
        <w:t>)</w:t>
      </w:r>
      <w:r w:rsidR="007D28EB" w:rsidRPr="00120A77">
        <w:t>, užtikrinantį S</w:t>
      </w:r>
      <w:r w:rsidRPr="00120A77">
        <w:t xml:space="preserve">utarties bendrosios </w:t>
      </w:r>
      <w:r w:rsidR="00D16B17" w:rsidRPr="00120A77">
        <w:t>dalies 11.2</w:t>
      </w:r>
      <w:r w:rsidRPr="00120A77">
        <w:t xml:space="preserve"> punkte nurodytos sumos sumokėjimą</w:t>
      </w:r>
      <w:r w:rsidR="00817D4E">
        <w:t>.</w:t>
      </w:r>
      <w:r w:rsidRPr="00120A77">
        <w:t xml:space="preserve"> </w:t>
      </w:r>
      <w:r w:rsidR="00994A62">
        <w:t xml:space="preserve">Banko garantijoje ar draudimo bendrovės laidavimo rašte </w:t>
      </w:r>
      <w:r w:rsidR="00994A62" w:rsidRPr="008E64FC">
        <w:t xml:space="preserve">garantas/laiduotojas </w:t>
      </w:r>
      <w:r w:rsidR="00994A62">
        <w:t>turi įsipareigoti</w:t>
      </w:r>
      <w:r w:rsidR="00994A62" w:rsidRPr="008E64FC">
        <w:t xml:space="preserve"> sumokėti Sutarties bendrosios dalies 11.</w:t>
      </w:r>
      <w:r w:rsidR="00994A62">
        <w:t>2 punkte 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9.2.1 - 9.2.7, 9.3</w:t>
      </w:r>
      <w:r w:rsidR="00170D3B" w:rsidRPr="00120A77">
        <w:t xml:space="preserve"> punktuose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 nebus priimami, kadangi turi būti įsip</w:t>
      </w:r>
      <w:r w:rsidR="007D28EB" w:rsidRPr="00120A77">
        <w:t>areigojama atlyginti konkrečią S</w:t>
      </w:r>
      <w:r w:rsidR="00170D3B" w:rsidRPr="00120A77">
        <w:t>utarties įvykdymo užtikrini</w:t>
      </w:r>
      <w:r w:rsidR="00D16B17" w:rsidRPr="00120A77">
        <w:t>mo sumą, nurodytą sutarties 11.2</w:t>
      </w:r>
      <w:r w:rsidR="00170D3B" w:rsidRPr="00120A77">
        <w:t xml:space="preserve"> punkte</w:t>
      </w:r>
      <w:r w:rsidR="0077218D">
        <w:t>.</w:t>
      </w:r>
    </w:p>
    <w:p w14:paraId="08E73760" w14:textId="77777777" w:rsidR="00704F63" w:rsidRPr="00120A77" w:rsidRDefault="00704F63" w:rsidP="00024413">
      <w:pPr>
        <w:jc w:val="both"/>
      </w:pPr>
      <w:r w:rsidRPr="00120A77">
        <w:t xml:space="preserve">12.2. Garantas/laiduotojas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r w:rsidR="00C57775" w:rsidRPr="00120A77">
        <w:t>.</w:t>
      </w:r>
    </w:p>
    <w:p w14:paraId="29441014"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os dalies 12.1 punkte 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Sutarties įvykdymo užtikrinimo banko garantijoje arba draudimo bendrovės laidavimo rašte nurodytos sumos sumokėjimas</w:t>
      </w:r>
      <w:r w:rsidR="00C87F0F">
        <w:t xml:space="preserve"> </w:t>
      </w:r>
      <w:r w:rsidR="00024413" w:rsidRPr="00120A77">
        <w:t xml:space="preserve">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pilnai</w:t>
      </w:r>
      <w:r w:rsidR="004E1D41" w:rsidRPr="00120A77">
        <w:t xml:space="preserve">. </w:t>
      </w:r>
    </w:p>
    <w:p w14:paraId="33299D91" w14:textId="77777777" w:rsidR="00024413" w:rsidRPr="008F30C9" w:rsidRDefault="00704F63" w:rsidP="00024413">
      <w:pPr>
        <w:jc w:val="both"/>
      </w:pPr>
      <w:r w:rsidRPr="00120A77">
        <w:t>12.4</w:t>
      </w:r>
      <w:r w:rsidR="00024413" w:rsidRPr="00120A77">
        <w:t xml:space="preserve">. Jei </w:t>
      </w:r>
      <w:r w:rsidR="00923EE3">
        <w:t>S</w:t>
      </w:r>
      <w:r w:rsidR="00024413" w:rsidRPr="00120A77">
        <w:t xml:space="preserve">utarties vykdymo metu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punkte nustatyta </w:t>
      </w:r>
      <w:r w:rsidR="00024413" w:rsidRPr="008F30C9">
        <w:t>tvarka.</w:t>
      </w:r>
    </w:p>
    <w:p w14:paraId="5E8E9665" w14:textId="77777777" w:rsidR="00024413" w:rsidRPr="008F30C9" w:rsidRDefault="00704F63" w:rsidP="00024413">
      <w:pPr>
        <w:jc w:val="both"/>
      </w:pPr>
      <w:r w:rsidRPr="008F30C9">
        <w:lastRenderedPageBreak/>
        <w:t>12.5</w:t>
      </w:r>
      <w:r w:rsidR="00024413" w:rsidRPr="008F30C9">
        <w:t xml:space="preserve">. Sutarties įvykdymo užtikrinimas grąžinamas per 10 (dešimt) dienų nuo šio užtikrinimo galiojimo termino pabaigos </w:t>
      </w:r>
      <w:r w:rsidR="00C759E7" w:rsidRPr="008F30C9">
        <w:rPr>
          <w:b/>
        </w:rPr>
        <w:t>Teikėjui</w:t>
      </w:r>
      <w:r w:rsidR="00024413" w:rsidRPr="008F30C9">
        <w:t xml:space="preserve"> pateikus raštišką prašymą. </w:t>
      </w:r>
    </w:p>
    <w:p w14:paraId="1F2C8EEA"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yra galimas vadovaujantis Viešųjų pirkimų įstatymo 89 straipsnio nuostatomis</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0B7361E8" w14:textId="77777777" w:rsidR="00120A77" w:rsidRPr="00120A77" w:rsidRDefault="00120A77" w:rsidP="00024413">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t>.</w:t>
      </w:r>
      <w:r w:rsidRPr="00120A77">
        <w:t xml:space="preserve"> Toks </w:t>
      </w:r>
      <w:r w:rsidR="00CA0391">
        <w:t>S</w:t>
      </w:r>
      <w:r w:rsidRPr="00120A77">
        <w:t>utarties sąlygų patikslinimas nebus laikomas Sutarties sąlygų keitimu.</w:t>
      </w:r>
    </w:p>
    <w:p w14:paraId="647FABEA"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procentų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EE7AD9">
        <w:rPr>
          <w:i/>
        </w:rPr>
        <w:t>(</w:t>
      </w:r>
      <w:r w:rsidR="004E31A6" w:rsidRPr="004E31A6">
        <w:rPr>
          <w:i/>
        </w:rPr>
        <w:t>jei spec. dalyje nurodyta, kad ši sąlyga taikoma</w:t>
      </w:r>
      <w:r w:rsidR="004E31A6" w:rsidRPr="00010D70">
        <w:rPr>
          <w:i/>
        </w:rPr>
        <w:t>)</w:t>
      </w:r>
      <w:r w:rsidR="004E31A6">
        <w:t>.</w:t>
      </w:r>
    </w:p>
    <w:p w14:paraId="10F31769"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58D5E418" w14:textId="77777777" w:rsidR="00543EA4" w:rsidRPr="008F30C9" w:rsidRDefault="00543EA4" w:rsidP="00024413">
      <w:pPr>
        <w:jc w:val="both"/>
        <w:rPr>
          <w:b/>
        </w:rPr>
      </w:pPr>
    </w:p>
    <w:p w14:paraId="209C5B77" w14:textId="77777777" w:rsidR="000760E7" w:rsidRPr="00120A77" w:rsidRDefault="000760E7" w:rsidP="000760E7">
      <w:pPr>
        <w:pStyle w:val="BodyText"/>
        <w:spacing w:after="0"/>
        <w:ind w:right="125"/>
        <w:jc w:val="both"/>
        <w:rPr>
          <w:b/>
          <w:bCs/>
        </w:rPr>
      </w:pPr>
      <w:r w:rsidRPr="00120A77">
        <w:rPr>
          <w:b/>
          <w:bCs/>
        </w:rPr>
        <w:t>13. Susirašinėjimas</w:t>
      </w:r>
    </w:p>
    <w:p w14:paraId="296DA98A"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 xml:space="preserve">vienas kitam siunčiami pranešimai lietuvių/anglų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F0DEDA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462BCF8" w14:textId="77777777" w:rsidR="008F30C9" w:rsidRPr="00120A77" w:rsidRDefault="008F30C9" w:rsidP="00024413">
      <w:pPr>
        <w:jc w:val="both"/>
        <w:rPr>
          <w:b/>
        </w:rPr>
      </w:pPr>
    </w:p>
    <w:p w14:paraId="5AF82A78"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7D821628"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0298F133"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4069DDF6"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3874F532"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BE6357">
        <w:t>Sutarties s</w:t>
      </w:r>
      <w:r>
        <w:t>pecialiosios dalies 9 punkte.</w:t>
      </w:r>
    </w:p>
    <w:p w14:paraId="79EF4CF0" w14:textId="77777777" w:rsidR="006578B3" w:rsidRDefault="006578B3" w:rsidP="006578B3">
      <w:pPr>
        <w:jc w:val="both"/>
      </w:pPr>
      <w:r>
        <w:lastRenderedPageBreak/>
        <w:t xml:space="preserve">14.5. Sutarties šalys užtikrina, kad su asmens duomenimis tvarkomais vykdant Sutartį susipažins tik tie asmenys, kuriems tai yra būtina vykdant įsipareigojimus pagal Sutartį. </w:t>
      </w:r>
    </w:p>
    <w:p w14:paraId="6C6781DB"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EC767A">
        <w:t>įvardintus subt</w:t>
      </w:r>
      <w:r>
        <w:t>e</w:t>
      </w:r>
      <w:r w:rsidR="00EC767A">
        <w:t>i</w:t>
      </w:r>
      <w:r>
        <w:t xml:space="preserve">kėjus ir </w:t>
      </w:r>
      <w:r w:rsidRPr="00EC767A">
        <w:rPr>
          <w:b/>
        </w:rPr>
        <w:t>Gavėją</w:t>
      </w:r>
      <w:r>
        <w:t xml:space="preserve"> (jei toks nurodytas), kurie yra pasitelkiami </w:t>
      </w:r>
      <w:r w:rsidR="003965A1">
        <w:t>S</w:t>
      </w:r>
      <w:r>
        <w:t>utarties vykdymui ir tik tais atvejais, kai tai yra būtina Sutarties vykdymui 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59ED9356" w14:textId="77777777" w:rsidR="006578B3" w:rsidRDefault="006578B3" w:rsidP="006578B3">
      <w:pPr>
        <w:jc w:val="both"/>
      </w:pPr>
      <w:r>
        <w:t xml:space="preserve">14.7. Jei Sutarties vykdymo metu paaiškėja, kad yra tvarkomi asmens duomenys, kurie nėra aptarti Sutarties sąlygose, Sutarties šalys turi nedelsiant informuoti kitą </w:t>
      </w:r>
      <w:r w:rsidR="003965A1">
        <w:t>Š</w:t>
      </w:r>
      <w:r>
        <w:t>alį dėl tokių duomenų ir išlaikyti šių duomenų konfidencialumą. Nustačius</w:t>
      </w:r>
      <w:r w:rsidR="00505177">
        <w:t>, kad yra tvarkomi Sutartyje nenumatyti asmens duomenys</w:t>
      </w:r>
      <w:r>
        <w:t xml:space="preserve">, yra pildomas </w:t>
      </w:r>
      <w:r w:rsidR="003965A1">
        <w:t xml:space="preserve">Sutarties </w:t>
      </w:r>
      <w:r>
        <w:t xml:space="preserve">specialiosios dalies 9 punktas. </w:t>
      </w:r>
    </w:p>
    <w:p w14:paraId="0A3A2FEC"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754D36DD"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2E3EBD17"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37E8D820"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punkte numatytą įsipareigojimą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3965A1">
        <w:t>/</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7AB80303" w14:textId="77777777" w:rsidR="00F7463F" w:rsidRPr="00120A77" w:rsidRDefault="00F7463F" w:rsidP="00024413">
      <w:pPr>
        <w:jc w:val="both"/>
        <w:rPr>
          <w:b/>
        </w:rPr>
      </w:pPr>
    </w:p>
    <w:p w14:paraId="00587D8F" w14:textId="77777777" w:rsidR="00024413" w:rsidRPr="00120A77" w:rsidRDefault="000760E7" w:rsidP="00024413">
      <w:pPr>
        <w:jc w:val="both"/>
        <w:rPr>
          <w:b/>
        </w:rPr>
      </w:pPr>
      <w:r w:rsidRPr="00120A77">
        <w:rPr>
          <w:b/>
        </w:rPr>
        <w:t>15</w:t>
      </w:r>
      <w:r w:rsidR="00024413" w:rsidRPr="00120A77">
        <w:rPr>
          <w:b/>
        </w:rPr>
        <w:t>. Baigiamosios nuostatos</w:t>
      </w:r>
    </w:p>
    <w:p w14:paraId="5DD586FA" w14:textId="77777777" w:rsidR="00024413" w:rsidRPr="008F30C9" w:rsidRDefault="000760E7" w:rsidP="00024413">
      <w:pPr>
        <w:jc w:val="both"/>
      </w:pPr>
      <w:r w:rsidRPr="00120A77">
        <w:t>15</w:t>
      </w:r>
      <w:r w:rsidR="00024413" w:rsidRPr="00120A77">
        <w:t>.1. S</w:t>
      </w:r>
      <w:r w:rsidR="00EC767A">
        <w:t xml:space="preserve">utartis sudaryta lietuvių/anglų, </w:t>
      </w:r>
      <w:r w:rsidR="00024413" w:rsidRPr="00120A77">
        <w:t>lietuvių ir anglų kalba dviem/keturiais egzemplioriais (po vieną/du kiekvienai Šaliai)</w:t>
      </w:r>
      <w:r w:rsidR="000258E6" w:rsidRPr="00120A77">
        <w:t xml:space="preserve"> </w:t>
      </w:r>
      <w:r w:rsidR="00990D9C" w:rsidRPr="00120A77">
        <w:t>(</w:t>
      </w:r>
      <w:r w:rsidR="00090732" w:rsidRPr="00120A77">
        <w:rPr>
          <w:i/>
        </w:rPr>
        <w:t>taikoma priklausomai nuo to</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neatitikimams tarp tekstų lietuvių ir anglų kalbomis, pirmenybė teikiama tekstui anglų kalba </w:t>
      </w:r>
      <w:r w:rsidR="00F66872" w:rsidRPr="00120A77">
        <w:t xml:space="preserve">(taikoma, jeigu sutartis sudaroma </w:t>
      </w:r>
      <w:r w:rsidR="009956BF" w:rsidRPr="009956BF">
        <w:rPr>
          <w:i/>
        </w:rPr>
        <w:t>su užsienio tiekėju</w:t>
      </w:r>
      <w:r w:rsidR="009956BF">
        <w:t xml:space="preserve"> </w:t>
      </w:r>
      <w:r w:rsidR="00356308" w:rsidRPr="008F30C9">
        <w:rPr>
          <w:i/>
        </w:rPr>
        <w:t>lietuvių ir anglų kalba</w:t>
      </w:r>
      <w:r w:rsidR="00F66872" w:rsidRPr="008F30C9">
        <w:t>).</w:t>
      </w:r>
    </w:p>
    <w:p w14:paraId="63A80F38"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415CBCDF"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DC69593" w14:textId="77777777" w:rsidR="009E1DE7" w:rsidRDefault="009E1DE7" w:rsidP="00024413">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rsidR="00E119DB">
        <w:t>maksimalios S</w:t>
      </w:r>
      <w:r w:rsidRPr="00452596">
        <w:t>utarties</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6664E4B8"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Sutarties įvykdymui 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47A74926"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7AE1CA1"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6D8D46EB" w14:textId="77777777" w:rsidR="00DE080E" w:rsidRPr="00DE080E" w:rsidRDefault="00DE080E" w:rsidP="00DE080E">
      <w:pPr>
        <w:jc w:val="both"/>
      </w:pPr>
      <w:r w:rsidRPr="00DE080E">
        <w:rPr>
          <w:bCs/>
        </w:rPr>
        <w:t xml:space="preserve">15.8. </w:t>
      </w:r>
      <w:r w:rsidRPr="00DE080E">
        <w:t>Subtiekėjo (-ų)/subteikėjo pavadinimas, jo (-ų) vykdomų sutartinių įsipareigojimų dalis yra nurodyti Sutarties specialiojoje dalyje.</w:t>
      </w:r>
    </w:p>
    <w:p w14:paraId="5FE69E14" w14:textId="77777777" w:rsidR="00DE080E" w:rsidRPr="00DE080E" w:rsidRDefault="00DE080E" w:rsidP="00024413">
      <w:pPr>
        <w:jc w:val="both"/>
      </w:pPr>
      <w:r w:rsidRPr="00DE080E">
        <w:t xml:space="preserve">15.9. </w:t>
      </w:r>
      <w:r w:rsidR="00A418A3">
        <w:rPr>
          <w:color w:val="000000"/>
        </w:rPr>
        <w:t xml:space="preserve">Sutarties vykdymo metu </w:t>
      </w:r>
      <w:r w:rsidR="00A418A3" w:rsidRPr="005B7473">
        <w:t xml:space="preserve">Sutartyje nurodytas (-i) subtiekėjas (-ai)/subteikėjas (-ai) gali būti keičiamas (-i) kitu (-ais) subtiekėju (-ais)/subteikėju (-ais) dėl objektyvių aplinkybių, kurių </w:t>
      </w:r>
      <w:r w:rsidR="00A418A3" w:rsidRPr="00EE7AD9">
        <w:rPr>
          <w:b/>
        </w:rPr>
        <w:t>Teikėjui</w:t>
      </w:r>
      <w:r w:rsidR="00A418A3">
        <w:t xml:space="preserve"> </w:t>
      </w:r>
      <w:r w:rsidR="00A418A3" w:rsidRPr="005B7473">
        <w:lastRenderedPageBreak/>
        <w:t xml:space="preserve">nebuvo galima numatyti </w:t>
      </w:r>
      <w:r w:rsidR="00A418A3">
        <w:t>paraiškos/</w:t>
      </w:r>
      <w:r w:rsidR="00A418A3" w:rsidRPr="005B7473">
        <w:t xml:space="preserve">pasiūlymo pateikimo momentu. Sutartyje nustatyto subtiekėjo (-ų)/ subteikėjo (-ų) keitimas kitu galimas tik iš anksto raštu suderinus su </w:t>
      </w:r>
      <w:r w:rsidR="00A418A3" w:rsidRPr="005B7473">
        <w:rPr>
          <w:b/>
        </w:rPr>
        <w:t>Pirkėju</w:t>
      </w:r>
      <w:r w:rsidR="00A418A3" w:rsidRPr="005B7473">
        <w:t>.  Prašymas dėl Sutartyje nustatyto subtiekėjo (ų</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subtiekėjas (-ai)/subteikėjas (ai) </w:t>
      </w:r>
      <w:r w:rsidR="00A418A3">
        <w:t>atitinka</w:t>
      </w:r>
      <w:r w:rsidR="00A418A3" w:rsidRPr="005B7473">
        <w:t xml:space="preserve"> visus subtiekėjui (-ams)/su</w:t>
      </w:r>
      <w:r w:rsidR="00A418A3">
        <w:t>b</w:t>
      </w:r>
      <w:r w:rsidR="00A418A3" w:rsidRPr="005B7473">
        <w:t>teikėjui (-ams)  viešojo pirkimo, kurio pagrindu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dėl subtiekėjo pasikeitimo neprarado pirkimo dokumentuose nustatytos minimalios kvalifikacijos</w:t>
      </w:r>
      <w:r w:rsidR="00A418A3">
        <w:rPr>
          <w:i/>
        </w:rPr>
        <w:t xml:space="preserve">. </w:t>
      </w:r>
      <w:r w:rsidR="00A418A3" w:rsidRPr="00EB3B83">
        <w:rPr>
          <w:color w:val="000000"/>
        </w:rPr>
        <w:t>Sutartyje nustatyto subtiekėjo (-ų)/subteikėjo (-ų) pakeitimas kitu subtiekėju (-ais)/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subtiekėjus</w:t>
      </w:r>
      <w:r w:rsidR="00A418A3" w:rsidRPr="00EB3B83">
        <w:rPr>
          <w:color w:val="000000"/>
        </w:rPr>
        <w:t>)</w:t>
      </w:r>
      <w:r w:rsidR="00AA6705">
        <w:rPr>
          <w:color w:val="000000"/>
        </w:rPr>
        <w:t xml:space="preserve">. </w:t>
      </w:r>
      <w:r w:rsidRPr="00DE080E">
        <w:t xml:space="preserve">Sutartyje nustatyto subtiekėjo (-ų)/subteikėjo (-ų) pakeitimas kitu subtiekėju (-ais)/ subteikėju (-ais) įforminamas rašytiniu Sutarties pakeitimu </w:t>
      </w:r>
      <w:r w:rsidR="00886962">
        <w:t>.</w:t>
      </w:r>
    </w:p>
    <w:p w14:paraId="2D4B5715"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 yra nurodyti</w:t>
      </w:r>
      <w:r w:rsidR="00024413" w:rsidRPr="00DE080E">
        <w:t xml:space="preserve"> Sutarties specialiojoje dalyje. </w:t>
      </w:r>
    </w:p>
    <w:p w14:paraId="3E589719"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67A96515" w14:textId="77777777" w:rsidR="003E14F0" w:rsidRDefault="003E14F0" w:rsidP="00E45F66">
      <w:pPr>
        <w:widowControl w:val="0"/>
        <w:overflowPunct w:val="0"/>
        <w:autoSpaceDE w:val="0"/>
        <w:autoSpaceDN w:val="0"/>
        <w:adjustRightInd w:val="0"/>
        <w:spacing w:line="236" w:lineRule="auto"/>
        <w:ind w:left="8"/>
        <w:jc w:val="center"/>
      </w:pPr>
    </w:p>
    <w:p w14:paraId="6897D003" w14:textId="77777777" w:rsidR="0013714B" w:rsidRDefault="0013714B" w:rsidP="00E45F66">
      <w:pPr>
        <w:widowControl w:val="0"/>
        <w:overflowPunct w:val="0"/>
        <w:autoSpaceDE w:val="0"/>
        <w:autoSpaceDN w:val="0"/>
        <w:adjustRightInd w:val="0"/>
        <w:spacing w:line="236" w:lineRule="auto"/>
        <w:ind w:left="8"/>
        <w:jc w:val="center"/>
      </w:pPr>
    </w:p>
    <w:p w14:paraId="2313E6D2" w14:textId="77777777" w:rsidR="0013714B" w:rsidRDefault="0013714B" w:rsidP="0013714B">
      <w:pPr>
        <w:pStyle w:val="BodyText1"/>
        <w:ind w:firstLine="0"/>
        <w:rPr>
          <w:rFonts w:ascii="Times New Roman" w:hAnsi="Times New Roman"/>
          <w:sz w:val="24"/>
          <w:szCs w:val="24"/>
          <w:lang w:val="lt-LT"/>
        </w:rPr>
      </w:pPr>
      <w:r>
        <w:rPr>
          <w:rFonts w:ascii="Times New Roman" w:hAnsi="Times New Roman"/>
          <w:sz w:val="24"/>
          <w:szCs w:val="24"/>
          <w:lang w:val="lt-LT"/>
        </w:rPr>
        <w:t>PIRKĖJAS</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007B66DB">
        <w:rPr>
          <w:rFonts w:ascii="Times New Roman" w:hAnsi="Times New Roman"/>
          <w:sz w:val="24"/>
          <w:szCs w:val="24"/>
          <w:lang w:val="lt-LT"/>
        </w:rPr>
        <w:tab/>
      </w:r>
      <w:r>
        <w:rPr>
          <w:rFonts w:ascii="Times New Roman" w:hAnsi="Times New Roman"/>
          <w:sz w:val="24"/>
          <w:szCs w:val="24"/>
          <w:lang w:val="lt-LT"/>
        </w:rPr>
        <w:t>TEIKĖJAS</w:t>
      </w:r>
    </w:p>
    <w:p w14:paraId="4D8AD710" w14:textId="77777777" w:rsidR="0013714B" w:rsidRDefault="0013714B" w:rsidP="0013714B">
      <w:pPr>
        <w:rPr>
          <w:b/>
        </w:rPr>
      </w:pPr>
    </w:p>
    <w:p w14:paraId="6269534F" w14:textId="77777777" w:rsidR="0013714B" w:rsidRDefault="0013714B" w:rsidP="0013714B">
      <w:pPr>
        <w:rPr>
          <w:b/>
        </w:rPr>
      </w:pPr>
    </w:p>
    <w:p w14:paraId="7DADD703" w14:textId="77777777" w:rsidR="0013714B" w:rsidRDefault="0013714B" w:rsidP="0013714B">
      <w:pPr>
        <w:rPr>
          <w:b/>
        </w:rPr>
      </w:pPr>
    </w:p>
    <w:p w14:paraId="111E7BB7" w14:textId="77777777" w:rsidR="0013714B" w:rsidRDefault="007B66DB" w:rsidP="0013714B">
      <w:r>
        <w:t>A. V.</w:t>
      </w:r>
      <w:r>
        <w:tab/>
      </w:r>
    </w:p>
    <w:p w14:paraId="16CE4190" w14:textId="562B1D9F" w:rsidR="00C8379A" w:rsidRDefault="00C8379A" w:rsidP="0013714B">
      <w:r>
        <w:br w:type="page"/>
      </w:r>
    </w:p>
    <w:p w14:paraId="4F1C4C7B" w14:textId="77777777" w:rsidR="00DD48CB" w:rsidRDefault="00DD48CB" w:rsidP="0013714B"/>
    <w:p w14:paraId="01B5E6BE" w14:textId="77777777" w:rsidR="00DD48CB" w:rsidRDefault="00DD48CB" w:rsidP="0013714B"/>
    <w:tbl>
      <w:tblPr>
        <w:tblW w:w="9781" w:type="dxa"/>
        <w:jc w:val="center"/>
        <w:tblLayout w:type="fixed"/>
        <w:tblLook w:val="04A0" w:firstRow="1" w:lastRow="0" w:firstColumn="1" w:lastColumn="0" w:noHBand="0" w:noVBand="1"/>
      </w:tblPr>
      <w:tblGrid>
        <w:gridCol w:w="9781"/>
      </w:tblGrid>
      <w:tr w:rsidR="00856976" w:rsidRPr="00807EBB" w14:paraId="4F6B12A2" w14:textId="77777777" w:rsidTr="00BD6CFD">
        <w:trPr>
          <w:trHeight w:val="315"/>
          <w:jc w:val="center"/>
        </w:trPr>
        <w:tc>
          <w:tcPr>
            <w:tcW w:w="4266" w:type="dxa"/>
            <w:tcBorders>
              <w:top w:val="nil"/>
              <w:left w:val="nil"/>
              <w:bottom w:val="nil"/>
              <w:right w:val="nil"/>
            </w:tcBorders>
            <w:shd w:val="clear" w:color="auto" w:fill="auto"/>
            <w:noWrap/>
            <w:hideMark/>
          </w:tcPr>
          <w:p w14:paraId="3A61A7B1" w14:textId="77777777" w:rsidR="00856976" w:rsidRPr="00807EBB" w:rsidRDefault="00856976" w:rsidP="00BD6CFD">
            <w:pPr>
              <w:jc w:val="right"/>
            </w:pPr>
            <w:r>
              <w:t>2024</w:t>
            </w:r>
            <w:r w:rsidRPr="00807EBB">
              <w:t xml:space="preserve"> m. _____________ d. Sutarties Nr.</w:t>
            </w:r>
          </w:p>
        </w:tc>
      </w:tr>
      <w:tr w:rsidR="00856976" w:rsidRPr="00807EBB" w14:paraId="52E9B580" w14:textId="77777777" w:rsidTr="00BD6CFD">
        <w:trPr>
          <w:trHeight w:val="315"/>
          <w:jc w:val="center"/>
        </w:trPr>
        <w:tc>
          <w:tcPr>
            <w:tcW w:w="4266" w:type="dxa"/>
            <w:tcBorders>
              <w:top w:val="nil"/>
              <w:left w:val="nil"/>
              <w:bottom w:val="nil"/>
              <w:right w:val="nil"/>
            </w:tcBorders>
            <w:shd w:val="clear" w:color="auto" w:fill="auto"/>
            <w:noWrap/>
            <w:hideMark/>
          </w:tcPr>
          <w:p w14:paraId="59B6BFD2" w14:textId="77777777" w:rsidR="00856976" w:rsidRPr="00807EBB" w:rsidRDefault="00856976" w:rsidP="00BD6CFD">
            <w:pPr>
              <w:jc w:val="right"/>
            </w:pPr>
            <w:r w:rsidRPr="00807EBB">
              <w:t>1 priedas</w:t>
            </w:r>
          </w:p>
        </w:tc>
      </w:tr>
    </w:tbl>
    <w:p w14:paraId="6AE4E403" w14:textId="77777777" w:rsidR="00856976" w:rsidRDefault="00856976" w:rsidP="00DD48CB">
      <w:pPr>
        <w:pStyle w:val="NormalWeb"/>
        <w:shd w:val="clear" w:color="auto" w:fill="FFFFFF"/>
        <w:spacing w:before="0" w:beforeAutospacing="0" w:after="0" w:afterAutospacing="0"/>
        <w:contextualSpacing/>
        <w:jc w:val="center"/>
        <w:rPr>
          <w:b/>
          <w:color w:val="000000"/>
        </w:rPr>
      </w:pPr>
    </w:p>
    <w:p w14:paraId="1F6FA8DE" w14:textId="77777777" w:rsidR="00C8379A" w:rsidRDefault="00C8379A" w:rsidP="00C8379A">
      <w:pPr>
        <w:pStyle w:val="NormalWeb"/>
        <w:shd w:val="clear" w:color="auto" w:fill="FFFFFF" w:themeFill="background1"/>
        <w:spacing w:before="0" w:beforeAutospacing="0" w:after="0" w:afterAutospacing="0"/>
        <w:jc w:val="center"/>
        <w:rPr>
          <w:b/>
          <w:bCs/>
          <w:color w:val="000000" w:themeColor="text1"/>
        </w:rPr>
      </w:pPr>
      <w:r>
        <w:rPr>
          <w:b/>
          <w:bCs/>
          <w:color w:val="000000" w:themeColor="text1"/>
        </w:rPr>
        <w:t>TURINIO EKSPERTO PASLAUGOS</w:t>
      </w:r>
    </w:p>
    <w:p w14:paraId="19AE1D20" w14:textId="77777777" w:rsidR="00C8379A" w:rsidRPr="00383BA1" w:rsidRDefault="00C8379A" w:rsidP="00C8379A">
      <w:pPr>
        <w:pStyle w:val="NormalWeb"/>
        <w:shd w:val="clear" w:color="auto" w:fill="FFFFFF" w:themeFill="background1"/>
        <w:spacing w:before="0" w:beforeAutospacing="0" w:after="0" w:afterAutospacing="0"/>
        <w:jc w:val="center"/>
        <w:rPr>
          <w:b/>
          <w:bCs/>
          <w:color w:val="000000"/>
        </w:rPr>
      </w:pPr>
      <w:r w:rsidRPr="3E20AFFB">
        <w:rPr>
          <w:b/>
          <w:bCs/>
          <w:color w:val="000000" w:themeColor="text1"/>
        </w:rPr>
        <w:t>TINKLŲ IR INFORMACINIŲ SISTEMŲ KIBERNETINIO SAUGUMO POLITIKOS DOKUMENTŲ ŠABLONŲ PARENGIMO METODIK</w:t>
      </w:r>
      <w:r>
        <w:rPr>
          <w:b/>
          <w:bCs/>
          <w:color w:val="000000" w:themeColor="text1"/>
        </w:rPr>
        <w:t>AI</w:t>
      </w:r>
      <w:r w:rsidRPr="3E20AFFB">
        <w:rPr>
          <w:b/>
          <w:bCs/>
          <w:color w:val="000000" w:themeColor="text1"/>
        </w:rPr>
        <w:t xml:space="preserve"> </w:t>
      </w:r>
      <w:r>
        <w:rPr>
          <w:b/>
          <w:bCs/>
          <w:color w:val="000000" w:themeColor="text1"/>
        </w:rPr>
        <w:t xml:space="preserve">SUKURTI </w:t>
      </w:r>
      <w:r w:rsidRPr="3E20AFFB">
        <w:rPr>
          <w:b/>
          <w:bCs/>
          <w:color w:val="000000" w:themeColor="text1"/>
        </w:rPr>
        <w:t xml:space="preserve"> </w:t>
      </w:r>
    </w:p>
    <w:p w14:paraId="47A00B3F" w14:textId="77777777" w:rsidR="00C8379A" w:rsidRPr="007B7DD2" w:rsidRDefault="00C8379A" w:rsidP="00C8379A">
      <w:pPr>
        <w:jc w:val="center"/>
        <w:rPr>
          <w:b/>
          <w:bCs/>
        </w:rPr>
      </w:pPr>
      <w:r w:rsidRPr="3E20AFFB">
        <w:rPr>
          <w:b/>
          <w:bCs/>
        </w:rPr>
        <w:t>TECHNINĖ SPECIFIKACIJA</w:t>
      </w:r>
    </w:p>
    <w:p w14:paraId="61DC59AF" w14:textId="77777777" w:rsidR="00C8379A" w:rsidRPr="007C08B9" w:rsidRDefault="00C8379A" w:rsidP="00C8379A">
      <w:pPr>
        <w:jc w:val="center"/>
        <w:rPr>
          <w:b/>
          <w:bCs/>
        </w:rPr>
      </w:pPr>
    </w:p>
    <w:p w14:paraId="5D697AB2" w14:textId="77777777" w:rsidR="00C8379A" w:rsidRPr="007C08B9" w:rsidRDefault="00C8379A" w:rsidP="00C8379A">
      <w:pPr>
        <w:jc w:val="center"/>
        <w:rPr>
          <w:b/>
          <w:bCs/>
        </w:rPr>
      </w:pPr>
    </w:p>
    <w:p w14:paraId="3294DCA0" w14:textId="1062B27E" w:rsidR="00C8379A" w:rsidRPr="00C8379A" w:rsidRDefault="00C8379A" w:rsidP="00C8379A">
      <w:pPr>
        <w:pStyle w:val="ListParagraph"/>
        <w:spacing w:line="240" w:lineRule="auto"/>
        <w:ind w:left="0"/>
        <w:jc w:val="center"/>
        <w:rPr>
          <w:rFonts w:eastAsia="Times New Roman"/>
          <w:b/>
          <w:bCs/>
        </w:rPr>
      </w:pPr>
      <w:r w:rsidRPr="00C8379A">
        <w:rPr>
          <w:rFonts w:eastAsia="Times New Roman"/>
          <w:b/>
          <w:bCs/>
        </w:rPr>
        <w:t>I SKYRIUS</w:t>
      </w:r>
    </w:p>
    <w:p w14:paraId="13E0B76D" w14:textId="77777777" w:rsidR="00C8379A" w:rsidRPr="00C8379A" w:rsidRDefault="00C8379A" w:rsidP="00C8379A">
      <w:pPr>
        <w:pStyle w:val="ListParagraph"/>
        <w:spacing w:line="240" w:lineRule="auto"/>
        <w:ind w:left="0"/>
        <w:jc w:val="center"/>
        <w:rPr>
          <w:rFonts w:eastAsia="Times New Roman"/>
          <w:b/>
          <w:bCs/>
        </w:rPr>
      </w:pPr>
      <w:r w:rsidRPr="00C8379A">
        <w:rPr>
          <w:rFonts w:eastAsia="Times New Roman"/>
          <w:b/>
          <w:bCs/>
        </w:rPr>
        <w:t>SITUACIJOS APRAŠYMAS</w:t>
      </w:r>
    </w:p>
    <w:p w14:paraId="2EE98726" w14:textId="77777777" w:rsidR="00C8379A" w:rsidRPr="00C8379A" w:rsidRDefault="00C8379A" w:rsidP="00C8379A">
      <w:pPr>
        <w:jc w:val="both"/>
        <w:rPr>
          <w:b/>
          <w:bCs/>
          <w:color w:val="000000" w:themeColor="text1"/>
        </w:rPr>
      </w:pPr>
    </w:p>
    <w:p w14:paraId="4FF27945" w14:textId="77777777" w:rsidR="00C8379A" w:rsidRPr="00C8379A" w:rsidRDefault="00C8379A" w:rsidP="00C8379A">
      <w:pPr>
        <w:shd w:val="clear" w:color="auto" w:fill="FFFFFF" w:themeFill="background1"/>
        <w:ind w:firstLine="737"/>
        <w:jc w:val="both"/>
        <w:rPr>
          <w:color w:val="000000" w:themeColor="text1"/>
        </w:rPr>
      </w:pPr>
      <w:r w:rsidRPr="00C8379A">
        <w:rPr>
          <w:color w:val="000000" w:themeColor="text1"/>
        </w:rPr>
        <w:t>1. 2024 m. s</w:t>
      </w:r>
      <w:r w:rsidRPr="00C8379A">
        <w:t>palio 18 d. įsigalioja atnaujintas Lietuvos Respublikos kibernetinio saugumo įstatymas (toliau – KSĮ), kuriuo sustiprinamas kibernetinio saugumo valdysenos modelis Lietuvoje. KSĮ numato investicijų į kibernetinį saugumą didinimą ir kibernetinio saugumo ekosistemos sutvirtinimą – tai leis užtikrinti, kad Lietuva taps atsparesnė kibernetinėms grėsmėms.</w:t>
      </w:r>
    </w:p>
    <w:p w14:paraId="24233C50" w14:textId="77777777" w:rsidR="00C8379A" w:rsidRPr="00C8379A" w:rsidRDefault="00C8379A" w:rsidP="00C8379A">
      <w:pPr>
        <w:shd w:val="clear" w:color="auto" w:fill="FFFFFF" w:themeFill="background1"/>
        <w:ind w:firstLine="737"/>
        <w:jc w:val="both"/>
        <w:rPr>
          <w:color w:val="000000" w:themeColor="text1"/>
        </w:rPr>
      </w:pPr>
      <w:r w:rsidRPr="00C8379A">
        <w:rPr>
          <w:color w:val="000000" w:themeColor="text1"/>
        </w:rPr>
        <w:t xml:space="preserve">2. KSĮ į nacionalinę teisę yra perkeliama </w:t>
      </w:r>
      <w:r w:rsidRPr="00C8379A">
        <w:rPr>
          <w:bCs/>
        </w:rPr>
        <w:t xml:space="preserve">2022 m. gruodžio 14 d. Europos Parlamento ir Tarybos direktyva </w:t>
      </w:r>
      <w:hyperlink r:id="rId9" w:tgtFrame="_blank" w:history="1">
        <w:r w:rsidRPr="00C8379A">
          <w:rPr>
            <w:bCs/>
            <w:color w:val="0563C1" w:themeColor="hyperlink"/>
            <w:u w:val="single"/>
          </w:rPr>
          <w:t>(ES) 2022/2555</w:t>
        </w:r>
      </w:hyperlink>
      <w:r w:rsidRPr="00C8379A">
        <w:rPr>
          <w:bCs/>
        </w:rPr>
        <w:t xml:space="preserve"> dėl priemonių aukštam bendram kibernetinio saugumo lygiui visoje Sąjungoje užtikrinti, kuria iš dalies keičiamas Reglamentas </w:t>
      </w:r>
      <w:hyperlink r:id="rId10" w:tgtFrame="_blank" w:history="1">
        <w:r w:rsidRPr="00C8379A">
          <w:rPr>
            <w:bCs/>
            <w:color w:val="0563C1" w:themeColor="hyperlink"/>
            <w:u w:val="single"/>
          </w:rPr>
          <w:t>(ES) Nr. 910/2014</w:t>
        </w:r>
      </w:hyperlink>
      <w:r w:rsidRPr="00C8379A">
        <w:rPr>
          <w:bCs/>
        </w:rPr>
        <w:t xml:space="preserve"> ir Direktyva </w:t>
      </w:r>
      <w:hyperlink r:id="rId11" w:tgtFrame="_blank" w:history="1">
        <w:r w:rsidRPr="00C8379A">
          <w:rPr>
            <w:bCs/>
            <w:color w:val="0563C1" w:themeColor="hyperlink"/>
            <w:u w:val="single"/>
          </w:rPr>
          <w:t>(ES) 2018/1972</w:t>
        </w:r>
      </w:hyperlink>
      <w:r w:rsidRPr="00C8379A">
        <w:rPr>
          <w:bCs/>
        </w:rPr>
        <w:t xml:space="preserve"> ir panaikinama Direktyva </w:t>
      </w:r>
      <w:hyperlink r:id="rId12" w:tgtFrame="_blank" w:history="1">
        <w:r w:rsidRPr="00C8379A">
          <w:rPr>
            <w:bCs/>
            <w:color w:val="0563C1" w:themeColor="hyperlink"/>
            <w:u w:val="single"/>
          </w:rPr>
          <w:t>(ES) 2016/1148</w:t>
        </w:r>
      </w:hyperlink>
      <w:r w:rsidRPr="00C8379A">
        <w:rPr>
          <w:bCs/>
        </w:rPr>
        <w:t xml:space="preserve"> </w:t>
      </w:r>
      <w:r w:rsidRPr="00C8379A">
        <w:t>(TIS 2 direktyva)</w:t>
      </w:r>
      <w:r w:rsidRPr="00C8379A">
        <w:rPr>
          <w:color w:val="000000" w:themeColor="text1"/>
        </w:rPr>
        <w:t>, kuri numato, kad didėjant kibernetinėms grėsmėms organizacijos turi būti pasiruošusios užtikrinti savo tinklų ir sistemų saugumą, nes kibernetiniai incidentai gali turėti rimtų pasekmių tiek jų veiklai, tiek visuomenei. KSĮ bus taikomas skirtinguose sektoriuose veikiančioms įmonėms, viešojo sektoriaus institucijoms ir fiziniams asmenims, kurie bus įtraukti į kibernetinio saugumo subjektų registrą (toliau – kibernetinio saugumo subjektai).</w:t>
      </w:r>
    </w:p>
    <w:p w14:paraId="76CD8048" w14:textId="77777777" w:rsidR="00C8379A" w:rsidRPr="00C8379A" w:rsidRDefault="00C8379A" w:rsidP="00C8379A">
      <w:pPr>
        <w:shd w:val="clear" w:color="auto" w:fill="FFFFFF" w:themeFill="background1"/>
        <w:ind w:firstLine="737"/>
        <w:jc w:val="both"/>
        <w:rPr>
          <w:color w:val="000000" w:themeColor="text1"/>
        </w:rPr>
      </w:pPr>
      <w:r w:rsidRPr="00C8379A">
        <w:rPr>
          <w:color w:val="000000" w:themeColor="text1"/>
        </w:rPr>
        <w:t xml:space="preserve">3. Lietuvos Respublikos krašto apsaugos ministerija, siekdama gerinti kibernetinio saugumo subjektų brandą bei sumažinti neatitikties riziką, parengė Lietuvos Respublikos Vyriausybės nutarimu tvirtinamą Kibernetinio saugumo reikalavimų aprašo projektą. Vienas iš Kibernetinio saugumo reikalavimų aprašo projekto reikalavimų yra kibernetinio saugumo subjektams turėti patvirtintus </w:t>
      </w:r>
      <w:r w:rsidRPr="00C8379A">
        <w:t>tinklų ir informacinių sistemų kibernetinio saugumo politikos</w:t>
      </w:r>
      <w:r w:rsidRPr="00C8379A">
        <w:rPr>
          <w:b/>
          <w:bCs/>
        </w:rPr>
        <w:t xml:space="preserve"> </w:t>
      </w:r>
      <w:r w:rsidRPr="00C8379A">
        <w:t>dokumentus (toliau – kibernetinio saugumo politikos dokumentai).</w:t>
      </w:r>
    </w:p>
    <w:p w14:paraId="44BF4557" w14:textId="77777777" w:rsidR="00C8379A" w:rsidRPr="00C8379A" w:rsidRDefault="00C8379A" w:rsidP="00C8379A">
      <w:pPr>
        <w:jc w:val="both"/>
        <w:rPr>
          <w:b/>
          <w:bCs/>
        </w:rPr>
      </w:pPr>
    </w:p>
    <w:p w14:paraId="78D3E5C1" w14:textId="208C4D4F" w:rsidR="00C8379A" w:rsidRPr="00C8379A" w:rsidRDefault="00C8379A" w:rsidP="00C8379A">
      <w:pPr>
        <w:pStyle w:val="ListParagraph"/>
        <w:spacing w:after="0" w:line="240" w:lineRule="auto"/>
        <w:ind w:left="0"/>
        <w:jc w:val="center"/>
        <w:rPr>
          <w:rFonts w:eastAsia="Times New Roman"/>
          <w:b/>
          <w:bCs/>
        </w:rPr>
      </w:pPr>
      <w:r w:rsidRPr="00C8379A">
        <w:rPr>
          <w:rFonts w:eastAsia="Times New Roman"/>
          <w:b/>
          <w:bCs/>
        </w:rPr>
        <w:t>II SKYRIUS</w:t>
      </w:r>
    </w:p>
    <w:p w14:paraId="7422246E" w14:textId="77777777" w:rsidR="00C8379A" w:rsidRPr="00C8379A" w:rsidRDefault="00C8379A" w:rsidP="00C8379A">
      <w:pPr>
        <w:jc w:val="center"/>
        <w:rPr>
          <w:b/>
          <w:bCs/>
        </w:rPr>
      </w:pPr>
      <w:r w:rsidRPr="00C8379A">
        <w:rPr>
          <w:b/>
          <w:bCs/>
        </w:rPr>
        <w:t>PIRKIMO OBJEKTAS</w:t>
      </w:r>
    </w:p>
    <w:p w14:paraId="5CDC91F6" w14:textId="77777777" w:rsidR="00C8379A" w:rsidRPr="00C8379A" w:rsidRDefault="00C8379A" w:rsidP="00C8379A">
      <w:pPr>
        <w:jc w:val="both"/>
        <w:rPr>
          <w:b/>
          <w:bCs/>
        </w:rPr>
      </w:pPr>
    </w:p>
    <w:p w14:paraId="14D869E7" w14:textId="77777777" w:rsidR="00C8379A" w:rsidRPr="00C8379A" w:rsidRDefault="00C8379A" w:rsidP="00C8379A">
      <w:pPr>
        <w:tabs>
          <w:tab w:val="left" w:pos="1134"/>
        </w:tabs>
        <w:ind w:firstLine="737"/>
        <w:jc w:val="both"/>
      </w:pPr>
      <w:r w:rsidRPr="00C8379A">
        <w:t xml:space="preserve">4. </w:t>
      </w:r>
      <w:r w:rsidRPr="00C8379A">
        <w:rPr>
          <w:b/>
          <w:bCs/>
        </w:rPr>
        <w:t>Perkančioji organizacija</w:t>
      </w:r>
      <w:r w:rsidRPr="00C8379A">
        <w:t xml:space="preserve"> – Krašto apsaugos ministerija (toliau – Perkančioji organizacija).</w:t>
      </w:r>
    </w:p>
    <w:p w14:paraId="4D638D19" w14:textId="77777777" w:rsidR="00C8379A" w:rsidRPr="00C8379A" w:rsidRDefault="00C8379A" w:rsidP="00C8379A">
      <w:pPr>
        <w:tabs>
          <w:tab w:val="left" w:pos="851"/>
        </w:tabs>
        <w:ind w:firstLine="737"/>
        <w:jc w:val="both"/>
      </w:pPr>
      <w:r w:rsidRPr="00C8379A">
        <w:t xml:space="preserve">5. </w:t>
      </w:r>
      <w:r w:rsidRPr="00C8379A">
        <w:rPr>
          <w:b/>
          <w:bCs/>
        </w:rPr>
        <w:t>Pirkimo objektas</w:t>
      </w:r>
      <w:r w:rsidRPr="00C8379A">
        <w:t xml:space="preserve"> – individualizuotų </w:t>
      </w:r>
      <w:r w:rsidRPr="00C8379A">
        <w:rPr>
          <w:color w:val="000000" w:themeColor="text1"/>
        </w:rPr>
        <w:t>tinklų ir informacinių sistemų kibernetinio saugumo politikos dokumentų šablonų parengimo metodikos,</w:t>
      </w:r>
      <w:r w:rsidRPr="00C8379A">
        <w:t xml:space="preserve"> </w:t>
      </w:r>
      <w:r w:rsidRPr="00C8379A">
        <w:rPr>
          <w:color w:val="000000" w:themeColor="text1"/>
        </w:rPr>
        <w:t xml:space="preserve">kuri pažingsniui padėtų kibernetinio saugumo subjektams parengti reikiamus kibernetinio saugumo politikos dokumentus </w:t>
      </w:r>
      <w:r w:rsidRPr="00C8379A">
        <w:t>ir leistų suformuoti individualizuotą kibernetinio saugumo politikos dokumentą,</w:t>
      </w:r>
      <w:r w:rsidRPr="00C8379A">
        <w:rPr>
          <w:color w:val="000000" w:themeColor="text1"/>
        </w:rPr>
        <w:t xml:space="preserve"> sukūrimas </w:t>
      </w:r>
      <w:r w:rsidRPr="00C8379A">
        <w:t>(toliau – Paslauga).</w:t>
      </w:r>
    </w:p>
    <w:p w14:paraId="7F28CB2D" w14:textId="77777777" w:rsidR="00C8379A" w:rsidRPr="00C8379A" w:rsidRDefault="00C8379A" w:rsidP="00C8379A">
      <w:pPr>
        <w:ind w:firstLine="737"/>
        <w:jc w:val="both"/>
      </w:pPr>
      <w:r w:rsidRPr="00C8379A">
        <w:t xml:space="preserve">6. </w:t>
      </w:r>
      <w:r w:rsidRPr="00C8379A">
        <w:rPr>
          <w:b/>
          <w:bCs/>
          <w:color w:val="000000" w:themeColor="text1"/>
        </w:rPr>
        <w:t>Tikslas</w:t>
      </w:r>
      <w:r w:rsidRPr="00C8379A">
        <w:rPr>
          <w:color w:val="000000" w:themeColor="text1"/>
        </w:rPr>
        <w:t xml:space="preserve"> – </w:t>
      </w:r>
      <w:r w:rsidRPr="00C8379A">
        <w:t xml:space="preserve">padėti kibernetinio saugumo subjektams, kaip jie apibrėžti KSĮ, efektyviai ir nuosekliai parengti kibernetinio saugumo politikos dokumentus, užtikrinant jų atitiktį Kibernetinio saugumo reikalavimų aprašo, kuris bus patvirtintas Lietuvos Respublikos Vyriausybės 2018 m. rugpjūčio 13 d. nutarimu Nr. 818 „Dėl Lietuvos Respublikos kibernetinio saugumo įstatymo įgyvendinimo“ (toliau – Kibernetinio saugumo reikalavimų aprašas), reikalavimams, bei kelti organizacijos brandos lygį. </w:t>
      </w:r>
    </w:p>
    <w:p w14:paraId="5B07680B" w14:textId="77777777" w:rsidR="00C8379A" w:rsidRPr="00C8379A" w:rsidRDefault="00C8379A" w:rsidP="00C8379A">
      <w:pPr>
        <w:ind w:firstLine="737"/>
        <w:jc w:val="both"/>
      </w:pPr>
      <w:r w:rsidRPr="00C8379A">
        <w:t xml:space="preserve">7. </w:t>
      </w:r>
      <w:r w:rsidRPr="00C8379A">
        <w:rPr>
          <w:b/>
          <w:bCs/>
        </w:rPr>
        <w:t>Tikslinės auditorijos</w:t>
      </w:r>
      <w:r w:rsidRPr="00C8379A">
        <w:t>:</w:t>
      </w:r>
    </w:p>
    <w:p w14:paraId="462F6103" w14:textId="77777777" w:rsidR="00C8379A" w:rsidRPr="00C8379A" w:rsidRDefault="00C8379A" w:rsidP="00C8379A">
      <w:pPr>
        <w:ind w:firstLine="737"/>
        <w:jc w:val="both"/>
      </w:pPr>
      <w:r w:rsidRPr="00C8379A">
        <w:t>7.1. pagrindinė – kibernetinio saugumo subjektai;</w:t>
      </w:r>
    </w:p>
    <w:p w14:paraId="22A982F6" w14:textId="77777777" w:rsidR="00C8379A" w:rsidRPr="00C8379A" w:rsidRDefault="00C8379A" w:rsidP="00C8379A">
      <w:pPr>
        <w:ind w:firstLine="737"/>
        <w:jc w:val="both"/>
      </w:pPr>
      <w:r w:rsidRPr="00C8379A">
        <w:t>7.2. antrinės – kitos viešojo ir privataus sektoriaus organizacijos.</w:t>
      </w:r>
    </w:p>
    <w:p w14:paraId="5C11ED29" w14:textId="77777777" w:rsidR="00C8379A" w:rsidRPr="00C8379A" w:rsidRDefault="00C8379A" w:rsidP="00C8379A">
      <w:pPr>
        <w:ind w:firstLine="737"/>
        <w:jc w:val="both"/>
        <w:rPr>
          <w:b/>
          <w:bCs/>
        </w:rPr>
      </w:pPr>
      <w:r w:rsidRPr="00C8379A">
        <w:t xml:space="preserve">8. </w:t>
      </w:r>
      <w:r w:rsidRPr="00C8379A">
        <w:rPr>
          <w:b/>
          <w:bCs/>
        </w:rPr>
        <w:t>Siekiamas poveikis:</w:t>
      </w:r>
    </w:p>
    <w:p w14:paraId="36C416E9" w14:textId="77777777" w:rsidR="00C8379A" w:rsidRPr="00C8379A" w:rsidRDefault="00C8379A" w:rsidP="00C8379A">
      <w:pPr>
        <w:ind w:firstLine="737"/>
        <w:jc w:val="both"/>
      </w:pPr>
      <w:r w:rsidRPr="00C8379A">
        <w:lastRenderedPageBreak/>
        <w:t>8.1. tikslinė auditorija geba rengti kibernetinio saugumo politikos dokumentus;</w:t>
      </w:r>
    </w:p>
    <w:p w14:paraId="1BAFBA65" w14:textId="77777777" w:rsidR="00C8379A" w:rsidRPr="00C8379A" w:rsidRDefault="00C8379A" w:rsidP="00C8379A">
      <w:pPr>
        <w:ind w:firstLine="737"/>
        <w:jc w:val="both"/>
      </w:pPr>
      <w:r w:rsidRPr="00C8379A">
        <w:t>8.2. pakeltas tikslinės auditorijos kibernetinės brandos lygis;</w:t>
      </w:r>
    </w:p>
    <w:p w14:paraId="3F8E6EB0" w14:textId="77777777" w:rsidR="00C8379A" w:rsidRDefault="00C8379A" w:rsidP="00C8379A">
      <w:pPr>
        <w:ind w:firstLine="737"/>
        <w:jc w:val="both"/>
        <w:rPr>
          <w:rStyle w:val="normaltextrun"/>
          <w:color w:val="000000"/>
          <w:shd w:val="clear" w:color="auto" w:fill="FFFFFF"/>
        </w:rPr>
      </w:pPr>
      <w:r w:rsidRPr="00C8379A">
        <w:t xml:space="preserve">8.3. </w:t>
      </w:r>
      <w:r w:rsidRPr="00C8379A">
        <w:rPr>
          <w:rStyle w:val="normaltextrun"/>
          <w:color w:val="000000"/>
          <w:shd w:val="clear" w:color="auto" w:fill="FFFFFF"/>
        </w:rPr>
        <w:t>nustatoma kibernetinio saugumo politika.</w:t>
      </w:r>
    </w:p>
    <w:p w14:paraId="5F3BA74B" w14:textId="77777777" w:rsidR="00C8379A" w:rsidRPr="00C8379A" w:rsidRDefault="00C8379A" w:rsidP="00C8379A">
      <w:pPr>
        <w:ind w:firstLine="737"/>
        <w:jc w:val="both"/>
        <w:rPr>
          <w:color w:val="000000"/>
          <w:shd w:val="clear" w:color="auto" w:fill="FFFFFF"/>
        </w:rPr>
      </w:pPr>
    </w:p>
    <w:p w14:paraId="5639200A" w14:textId="37EFF27B" w:rsidR="00C8379A" w:rsidRPr="00C8379A" w:rsidRDefault="00C8379A" w:rsidP="00C8379A">
      <w:pPr>
        <w:pStyle w:val="ListParagraph"/>
        <w:spacing w:after="0" w:line="240" w:lineRule="auto"/>
        <w:ind w:left="0"/>
        <w:jc w:val="center"/>
        <w:rPr>
          <w:rFonts w:eastAsia="Times New Roman"/>
          <w:b/>
          <w:bCs/>
        </w:rPr>
      </w:pPr>
      <w:r w:rsidRPr="00C8379A">
        <w:rPr>
          <w:rFonts w:eastAsia="Times New Roman"/>
          <w:b/>
          <w:bCs/>
        </w:rPr>
        <w:t>III SKYRIUS</w:t>
      </w:r>
    </w:p>
    <w:p w14:paraId="688F121F" w14:textId="77777777" w:rsidR="00C8379A" w:rsidRPr="00C8379A" w:rsidRDefault="00C8379A" w:rsidP="00C8379A">
      <w:pPr>
        <w:jc w:val="center"/>
        <w:rPr>
          <w:b/>
          <w:bCs/>
        </w:rPr>
      </w:pPr>
      <w:r w:rsidRPr="00C8379A">
        <w:rPr>
          <w:b/>
          <w:bCs/>
        </w:rPr>
        <w:t>REIKALAVIMAI PASLAUGAI</w:t>
      </w:r>
    </w:p>
    <w:p w14:paraId="53B71E14" w14:textId="77777777" w:rsidR="00C8379A" w:rsidRPr="00C8379A" w:rsidRDefault="00C8379A" w:rsidP="00C8379A">
      <w:pPr>
        <w:pStyle w:val="ListParagraph"/>
        <w:spacing w:line="240" w:lineRule="auto"/>
        <w:jc w:val="both"/>
        <w:rPr>
          <w:rFonts w:eastAsia="Times New Roman"/>
          <w:b/>
          <w:bCs/>
        </w:rPr>
      </w:pPr>
    </w:p>
    <w:p w14:paraId="3309D7E8" w14:textId="77777777" w:rsidR="00C8379A" w:rsidRPr="00C8379A" w:rsidRDefault="00C8379A" w:rsidP="00C8379A">
      <w:pPr>
        <w:ind w:firstLine="709"/>
        <w:jc w:val="both"/>
      </w:pPr>
      <w:r w:rsidRPr="00C8379A">
        <w:t>9. Paslaugų teikėjas (toliau – Teikėjas) turi pasiūlyti ir pagrįsti Paslaugos koncepciją, jos įgyvendinimo planą: parengti planą, kaip bus įgyvendinama Paslauga visos pirkimo sutarties galiojimo laikotarpiu, išgryninti Paslaugos vizualinius ir techninius sprendimus, pateikti siūlomų sprendimų loginį pagrindimą.</w:t>
      </w:r>
    </w:p>
    <w:p w14:paraId="1BACB5AD" w14:textId="77777777" w:rsidR="00C8379A" w:rsidRPr="00C8379A" w:rsidRDefault="00C8379A" w:rsidP="00C8379A">
      <w:pPr>
        <w:ind w:firstLine="709"/>
        <w:jc w:val="both"/>
      </w:pPr>
      <w:r w:rsidRPr="00C8379A">
        <w:t>10. Teikėjas turi atsižvelgti į siekiamą pridėtinę vertę k</w:t>
      </w:r>
      <w:r w:rsidRPr="00C8379A">
        <w:rPr>
          <w:color w:val="000000" w:themeColor="text1"/>
        </w:rPr>
        <w:t xml:space="preserve">ibernetinio saugumo </w:t>
      </w:r>
      <w:r w:rsidRPr="00C8379A">
        <w:t>subjektams:</w:t>
      </w:r>
    </w:p>
    <w:p w14:paraId="4BC271E2" w14:textId="77777777" w:rsidR="00C8379A" w:rsidRPr="00C8379A" w:rsidRDefault="00C8379A" w:rsidP="00C8379A">
      <w:pPr>
        <w:tabs>
          <w:tab w:val="left" w:pos="1276"/>
        </w:tabs>
        <w:ind w:firstLine="737"/>
        <w:jc w:val="both"/>
      </w:pPr>
      <w:r w:rsidRPr="00C8379A">
        <w:t xml:space="preserve">10.1. efektyvumas ir taupumas. Standartizuoti šablonai pagreitins </w:t>
      </w:r>
      <w:r w:rsidRPr="00C8379A">
        <w:rPr>
          <w:rStyle w:val="normaltextrun"/>
          <w:color w:val="000000"/>
          <w:shd w:val="clear" w:color="auto" w:fill="FFFFFF"/>
        </w:rPr>
        <w:t xml:space="preserve">kibernetinio </w:t>
      </w:r>
      <w:r w:rsidRPr="00C8379A">
        <w:t>saugumo politikos dokumentų rengimo procesą ir užtikrins, kad jie atitiktų visus KSĮ ir jį įgyvendinančiame teisės akte nustatytus reikalavimus;</w:t>
      </w:r>
    </w:p>
    <w:p w14:paraId="7D97C23D" w14:textId="77777777" w:rsidR="00C8379A" w:rsidRPr="00C8379A" w:rsidRDefault="00C8379A" w:rsidP="00C8379A">
      <w:pPr>
        <w:ind w:firstLine="737"/>
        <w:jc w:val="both"/>
      </w:pPr>
      <w:r w:rsidRPr="00C8379A">
        <w:t>10.2. klaidų mažinimas. Standartizuoti šablonai padės išvengti nenuoseklumo, netikslumų  dėl netinkamai parengtų dokumentų;</w:t>
      </w:r>
    </w:p>
    <w:p w14:paraId="4203A7E1" w14:textId="77777777" w:rsidR="00C8379A" w:rsidRPr="00C8379A" w:rsidRDefault="00C8379A" w:rsidP="00C8379A">
      <w:pPr>
        <w:ind w:firstLine="737"/>
        <w:jc w:val="both"/>
      </w:pPr>
      <w:r w:rsidRPr="00C8379A">
        <w:t>10.3. atitiktis normatyviniams reikalavimams. Šablonai bus parengti pagal teisės aktus ir tarptautinius saugumo standartus, todėl organizacijos galės lengvai pateikti reikiamus dokumentus auditams ar patikrinimams atlikti;</w:t>
      </w:r>
    </w:p>
    <w:p w14:paraId="214C372F" w14:textId="77777777" w:rsidR="00C8379A" w:rsidRPr="00C8379A" w:rsidRDefault="00C8379A" w:rsidP="00C8379A">
      <w:pPr>
        <w:ind w:firstLine="737"/>
        <w:jc w:val="both"/>
      </w:pPr>
      <w:r w:rsidRPr="00C8379A">
        <w:t>10.4. patogumas. K</w:t>
      </w:r>
      <w:r w:rsidRPr="00C8379A">
        <w:rPr>
          <w:color w:val="000000" w:themeColor="text1"/>
        </w:rPr>
        <w:t xml:space="preserve">ibernetinio saugumo </w:t>
      </w:r>
      <w:r w:rsidRPr="00C8379A">
        <w:t xml:space="preserve">subjektai turės parengtus šablonus, kuriuose bus integruoti visi būtini elementai, palengvinantys </w:t>
      </w:r>
      <w:r w:rsidRPr="00C8379A">
        <w:rPr>
          <w:rStyle w:val="normaltextrun"/>
          <w:color w:val="000000"/>
          <w:shd w:val="clear" w:color="auto" w:fill="FFFFFF"/>
        </w:rPr>
        <w:t xml:space="preserve">kibernetinio </w:t>
      </w:r>
      <w:r w:rsidRPr="00C8379A">
        <w:t>saugumo politikos dokumentų užpildymą ir pateikimą;</w:t>
      </w:r>
    </w:p>
    <w:p w14:paraId="03EDD4C1" w14:textId="77777777" w:rsidR="00C8379A" w:rsidRPr="00C8379A" w:rsidRDefault="00C8379A" w:rsidP="00C8379A">
      <w:pPr>
        <w:ind w:firstLine="737"/>
        <w:jc w:val="both"/>
      </w:pPr>
      <w:r w:rsidRPr="00C8379A">
        <w:t>10.5. priežiūros supaprastinimas. Šablonai padės prižiūrinčioms institucijoms efektyviau ir greičiau atlikti patikrinimus bei užtikrinti atitiktį teisės aktuose nustatytiems reikalvimams.</w:t>
      </w:r>
    </w:p>
    <w:p w14:paraId="560798F3" w14:textId="77777777" w:rsidR="00C8379A" w:rsidRPr="00C8379A" w:rsidRDefault="00C8379A" w:rsidP="00C8379A">
      <w:pPr>
        <w:ind w:firstLine="737"/>
        <w:jc w:val="both"/>
      </w:pPr>
      <w:r w:rsidRPr="00C8379A">
        <w:t xml:space="preserve">11. Teikėjas turi sugeneruoti ir įgyvendinti techninius sprendinius, kad būtų sukurtas dokumentas (pildymo forma), kuriame integruota metodika, pažingsniui padedanti kibernetinio saugumo subjektams sugeneruoti reikiamus kibernetinio saugumo politikos dokumentus pagal galiojančių teisės aktų reikalavimus. </w:t>
      </w:r>
    </w:p>
    <w:p w14:paraId="7C837BE3" w14:textId="77777777" w:rsidR="00C8379A" w:rsidRPr="00C8379A" w:rsidRDefault="00C8379A" w:rsidP="00C8379A">
      <w:pPr>
        <w:ind w:firstLine="709"/>
        <w:jc w:val="both"/>
        <w:rPr>
          <w:lang w:val="en-US"/>
        </w:rPr>
      </w:pPr>
      <w:r w:rsidRPr="00C8379A">
        <w:t>12. K</w:t>
      </w:r>
      <w:r w:rsidRPr="00C8379A">
        <w:rPr>
          <w:lang w:val="en-US"/>
        </w:rPr>
        <w:t>ibernetinio saugumo politikos dokumentų šablonas bus pateikiamas kaip struktūrizuotas „Microsoft Word“, „Excel“ arba PDF failas. Tai nebus atskira programinė įranga ar internetinė aplikacija, bet paruoštas dokumentas, skirtas organizacijos kibernetinio saugumo politikos dokumentams lengvai ir efektyviai sukurti pagal iš anksto nustatytus standartus ir reikalavimus.</w:t>
      </w:r>
    </w:p>
    <w:p w14:paraId="5B34BCF5" w14:textId="77777777" w:rsidR="00C8379A" w:rsidRPr="00C8379A" w:rsidRDefault="00C8379A" w:rsidP="00C8379A">
      <w:pPr>
        <w:ind w:firstLine="709"/>
        <w:jc w:val="both"/>
        <w:rPr>
          <w:lang w:val="en-US"/>
        </w:rPr>
      </w:pPr>
      <w:r w:rsidRPr="00C8379A">
        <w:rPr>
          <w:lang w:val="en-US"/>
        </w:rPr>
        <w:t>13. Galutinis rezultatas – visiškai užpildytas ir individualiai pritaikytas kibernetinio saugumo dokumentas su aiškiai apibrėžtomis dalimis, instrukcijomis bei pasirinkimo variantais.</w:t>
      </w:r>
    </w:p>
    <w:p w14:paraId="1141E8D6" w14:textId="77777777" w:rsidR="00C8379A" w:rsidRPr="00C8379A" w:rsidRDefault="00C8379A" w:rsidP="00C8379A">
      <w:pPr>
        <w:ind w:firstLine="709"/>
        <w:jc w:val="both"/>
        <w:rPr>
          <w:b/>
          <w:bCs/>
          <w:lang w:val="en-US"/>
        </w:rPr>
      </w:pPr>
      <w:r w:rsidRPr="00C8379A">
        <w:rPr>
          <w:lang w:val="en-US"/>
        </w:rPr>
        <w:t>14.</w:t>
      </w:r>
      <w:r w:rsidRPr="00C8379A">
        <w:rPr>
          <w:b/>
          <w:bCs/>
          <w:lang w:val="en-US"/>
        </w:rPr>
        <w:t xml:space="preserve"> Funkcionalumo techninis veikimas. Pagrindinė struktūra:</w:t>
      </w:r>
    </w:p>
    <w:p w14:paraId="288E0773" w14:textId="77777777" w:rsidR="00C8379A" w:rsidRPr="00C8379A" w:rsidRDefault="00C8379A" w:rsidP="00C8379A">
      <w:pPr>
        <w:ind w:firstLine="709"/>
        <w:jc w:val="both"/>
        <w:rPr>
          <w:lang w:val="en-US"/>
        </w:rPr>
      </w:pPr>
      <w:r w:rsidRPr="00C8379A">
        <w:rPr>
          <w:lang w:val="en-US"/>
        </w:rPr>
        <w:t xml:space="preserve">14.1. </w:t>
      </w:r>
      <w:r w:rsidRPr="00C8379A">
        <w:rPr>
          <w:b/>
          <w:bCs/>
          <w:lang w:val="en-US"/>
        </w:rPr>
        <w:t>formatas</w:t>
      </w:r>
      <w:r w:rsidRPr="00C8379A">
        <w:rPr>
          <w:lang w:val="en-US"/>
        </w:rPr>
        <w:t xml:space="preserve"> – šablonas bus pateikiamas kaip „Microsoft Word“ (DOCX), „Excel“ (XLSX) failas arba PDF su galimybe įvesti tekstą, žymėti pasirinkimus ir koreguoti turinį;</w:t>
      </w:r>
    </w:p>
    <w:p w14:paraId="6BC098F9" w14:textId="77777777" w:rsidR="00C8379A" w:rsidRPr="00C8379A" w:rsidRDefault="00C8379A" w:rsidP="00C8379A">
      <w:pPr>
        <w:ind w:firstLine="709"/>
        <w:jc w:val="both"/>
        <w:rPr>
          <w:lang w:val="en-US"/>
        </w:rPr>
      </w:pPr>
      <w:r w:rsidRPr="00C8379A">
        <w:rPr>
          <w:lang w:val="en-US"/>
        </w:rPr>
        <w:t>14.2</w:t>
      </w:r>
      <w:r w:rsidRPr="00C8379A">
        <w:rPr>
          <w:b/>
          <w:bCs/>
          <w:lang w:val="en-US"/>
        </w:rPr>
        <w:t>. skyriai ir antraštės</w:t>
      </w:r>
      <w:r w:rsidRPr="00C8379A">
        <w:rPr>
          <w:lang w:val="en-US"/>
        </w:rPr>
        <w:t xml:space="preserve"> – bus aiškiai suformuoti skyriai ir antraštės, atitinkančios kibernetinio saugumo politikos dokumentų struktūrą. Pvz.: </w:t>
      </w:r>
      <w:r w:rsidRPr="00C8379A">
        <w:rPr>
          <w:color w:val="000000" w:themeColor="text1"/>
        </w:rPr>
        <w:t xml:space="preserve">tinklų ir informacinių sistemų saugumo politika, kibernetinio saugumo rizikos analizė, už kibernetinį saugumą atsakingų asmenų ir kibernetinio saugumo subjekto vadovo ar jo įgalioto asmens pareigos, kibernetinių incidentų valdymas, veiklos tęstinumas, tiekimo grandinės saugumas, tinklų ir informacinių sistemų įsigijimas, plėtojimas ir priežiūros saugumas, įskaitant spragų valdymą ir atskleidimą, </w:t>
      </w:r>
      <w:r w:rsidRPr="00C8379A">
        <w:rPr>
          <w:color w:val="202124"/>
        </w:rPr>
        <w:t xml:space="preserve">kibernetinio saugumo reikalavimų veiksmingumo vertinimas, </w:t>
      </w:r>
      <w:r w:rsidRPr="00C8379A">
        <w:rPr>
          <w:color w:val="000000" w:themeColor="text1"/>
        </w:rPr>
        <w:t>kibernetinės higienos praktika ir kibernetinio saugumo mokymai, kriptografijos ir šifravimo naudojimo politika ir procedūros, žmogiškųjų išteklių saugumas</w:t>
      </w:r>
      <w:r w:rsidRPr="00C8379A">
        <w:t xml:space="preserve">, fizinės </w:t>
      </w:r>
      <w:r w:rsidRPr="00C8379A">
        <w:rPr>
          <w:color w:val="000000" w:themeColor="text1"/>
        </w:rPr>
        <w:t>prieigos politika ir turto valdymas, prieigos valdymas ir kelių veiksnių tapatumo nustatymo priemonės.</w:t>
      </w:r>
    </w:p>
    <w:p w14:paraId="56B96C43" w14:textId="77777777" w:rsidR="00C8379A" w:rsidRPr="00C8379A" w:rsidRDefault="00C8379A" w:rsidP="00C8379A">
      <w:pPr>
        <w:ind w:firstLine="709"/>
        <w:jc w:val="both"/>
      </w:pPr>
      <w:r w:rsidRPr="00C8379A">
        <w:rPr>
          <w:color w:val="000000" w:themeColor="text1"/>
        </w:rPr>
        <w:t xml:space="preserve">15. </w:t>
      </w:r>
      <w:r w:rsidRPr="00C8379A">
        <w:rPr>
          <w:b/>
          <w:bCs/>
        </w:rPr>
        <w:t xml:space="preserve">Struktūrizuoti reikalavimai kiekvienam skyriui – </w:t>
      </w:r>
      <w:r w:rsidRPr="00C8379A">
        <w:t>kiekviename kibernetinio saugumo poltikos</w:t>
      </w:r>
      <w:r w:rsidRPr="00C8379A" w:rsidDel="00EC4CAB">
        <w:t xml:space="preserve"> </w:t>
      </w:r>
      <w:r w:rsidRPr="00C8379A">
        <w:t>dokumentų šablono skyriuje kibernetinio saugumo subjektui bus aiškiai nurodyta, kad reikia nurodyti šiuos pagrindinius elementus:</w:t>
      </w:r>
    </w:p>
    <w:p w14:paraId="227B1E15" w14:textId="77777777" w:rsidR="00C8379A" w:rsidRPr="00C8379A" w:rsidRDefault="00C8379A" w:rsidP="00C8379A">
      <w:pPr>
        <w:ind w:firstLine="709"/>
        <w:jc w:val="both"/>
      </w:pPr>
      <w:r w:rsidRPr="00C8379A">
        <w:lastRenderedPageBreak/>
        <w:t xml:space="preserve">15.1. </w:t>
      </w:r>
      <w:r w:rsidRPr="00C8379A">
        <w:rPr>
          <w:b/>
          <w:bCs/>
        </w:rPr>
        <w:t>tikslas</w:t>
      </w:r>
      <w:r w:rsidRPr="00C8379A">
        <w:rPr>
          <w:bCs/>
        </w:rPr>
        <w:t xml:space="preserve"> – kibernetinio saugumo</w:t>
      </w:r>
      <w:r w:rsidRPr="00C8379A">
        <w:rPr>
          <w:b/>
          <w:bCs/>
        </w:rPr>
        <w:t xml:space="preserve"> </w:t>
      </w:r>
      <w:r w:rsidRPr="00C8379A">
        <w:t>subjektas turės nurodyti, koks yra konkretaus skyriaus tikslas, t. y. kokią problemą sprendžia arba kokią funkciją atlieka ši saugumo taisyklė ar procedūra;</w:t>
      </w:r>
    </w:p>
    <w:p w14:paraId="683DDA00" w14:textId="77777777" w:rsidR="00C8379A" w:rsidRPr="00C8379A" w:rsidRDefault="00C8379A" w:rsidP="00C8379A">
      <w:pPr>
        <w:ind w:firstLine="709"/>
        <w:jc w:val="both"/>
      </w:pPr>
      <w:r w:rsidRPr="00C8379A">
        <w:t>15.2.</w:t>
      </w:r>
      <w:r w:rsidRPr="00C8379A">
        <w:rPr>
          <w:b/>
          <w:bCs/>
        </w:rPr>
        <w:t xml:space="preserve"> uždaviniai </w:t>
      </w:r>
      <w:r w:rsidRPr="00C8379A">
        <w:rPr>
          <w:bCs/>
        </w:rPr>
        <w:t xml:space="preserve">– </w:t>
      </w:r>
      <w:r w:rsidRPr="00C8379A">
        <w:t>kibernetinio saugumo subjektas nurodys pagrindinius siekiamus rezultatus, kuriuos tikimasi pasiekti taikant kibernetinio saugumo politiką. Šablonas gali pateikti keletą pavyzdinių uždavinių, atitinkančių geriausią praktiką;</w:t>
      </w:r>
    </w:p>
    <w:p w14:paraId="27E1320E" w14:textId="77777777" w:rsidR="00C8379A" w:rsidRPr="00C8379A" w:rsidRDefault="00C8379A" w:rsidP="00C8379A">
      <w:pPr>
        <w:ind w:firstLine="709"/>
        <w:jc w:val="both"/>
      </w:pPr>
      <w:r w:rsidRPr="00C8379A">
        <w:t xml:space="preserve">15.3. </w:t>
      </w:r>
      <w:r w:rsidRPr="00C8379A">
        <w:rPr>
          <w:b/>
          <w:bCs/>
        </w:rPr>
        <w:t xml:space="preserve">apimtis </w:t>
      </w:r>
      <w:r w:rsidRPr="00C8379A">
        <w:rPr>
          <w:bCs/>
        </w:rPr>
        <w:t>– kibernetinio saugumo</w:t>
      </w:r>
      <w:r w:rsidRPr="00C8379A">
        <w:rPr>
          <w:b/>
          <w:bCs/>
        </w:rPr>
        <w:t xml:space="preserve"> </w:t>
      </w:r>
      <w:r w:rsidRPr="00C8379A">
        <w:t>subjektas aprašys, kokiai organizacijos daliai ar informacijos sistemai taikomas šis skyriaus reikalavimas;</w:t>
      </w:r>
    </w:p>
    <w:p w14:paraId="054A06D3" w14:textId="77777777" w:rsidR="00C8379A" w:rsidRPr="00C8379A" w:rsidRDefault="00C8379A" w:rsidP="00C8379A">
      <w:pPr>
        <w:ind w:firstLine="709"/>
        <w:jc w:val="both"/>
      </w:pPr>
      <w:r w:rsidRPr="00C8379A">
        <w:t>15.4.</w:t>
      </w:r>
      <w:r w:rsidRPr="00C8379A">
        <w:rPr>
          <w:b/>
          <w:bCs/>
        </w:rPr>
        <w:t xml:space="preserve"> galimos išimtys </w:t>
      </w:r>
      <w:r w:rsidRPr="00C8379A">
        <w:rPr>
          <w:bCs/>
        </w:rPr>
        <w:t>–</w:t>
      </w:r>
      <w:r w:rsidRPr="00C8379A">
        <w:rPr>
          <w:b/>
          <w:bCs/>
        </w:rPr>
        <w:t xml:space="preserve"> </w:t>
      </w:r>
      <w:r w:rsidRPr="00C8379A">
        <w:rPr>
          <w:bCs/>
        </w:rPr>
        <w:t>kibernetinio saugumo</w:t>
      </w:r>
      <w:r w:rsidRPr="00C8379A">
        <w:rPr>
          <w:b/>
          <w:bCs/>
        </w:rPr>
        <w:t xml:space="preserve"> </w:t>
      </w:r>
      <w:r w:rsidRPr="00C8379A">
        <w:t>subjektas privalės nurodyti, ar yra kokių nors situacijų, kuriose šio skyriaus taisyklės netaikomos. Vedlys pateiks dažniausiai pasitaikančių išimčių sąrašą ir patars, kada ir kaip jas galima taikyti.</w:t>
      </w:r>
    </w:p>
    <w:p w14:paraId="03F487ED" w14:textId="77777777" w:rsidR="00C8379A" w:rsidRPr="00C8379A" w:rsidRDefault="00C8379A" w:rsidP="00C8379A">
      <w:pPr>
        <w:ind w:firstLine="709"/>
        <w:jc w:val="both"/>
        <w:rPr>
          <w:b/>
          <w:bCs/>
          <w:lang w:val="en-US"/>
        </w:rPr>
      </w:pPr>
      <w:r w:rsidRPr="00C8379A">
        <w:rPr>
          <w:lang w:val="en-US"/>
        </w:rPr>
        <w:t>16.</w:t>
      </w:r>
      <w:r w:rsidRPr="00C8379A">
        <w:rPr>
          <w:b/>
          <w:bCs/>
          <w:lang w:val="en-US"/>
        </w:rPr>
        <w:t xml:space="preserve"> Interaktyvumas ir naudojimas:</w:t>
      </w:r>
    </w:p>
    <w:p w14:paraId="570F3636" w14:textId="77777777" w:rsidR="00C8379A" w:rsidRPr="00C8379A" w:rsidRDefault="00C8379A" w:rsidP="00C8379A">
      <w:pPr>
        <w:ind w:firstLine="709"/>
        <w:jc w:val="both"/>
        <w:rPr>
          <w:b/>
          <w:bCs/>
          <w:lang w:val="en-US"/>
        </w:rPr>
      </w:pPr>
      <w:r w:rsidRPr="00C8379A">
        <w:rPr>
          <w:lang w:val="en-US"/>
        </w:rPr>
        <w:t>16.1.</w:t>
      </w:r>
      <w:r w:rsidRPr="00C8379A">
        <w:rPr>
          <w:b/>
          <w:bCs/>
          <w:lang w:val="en-US"/>
        </w:rPr>
        <w:t xml:space="preserve"> teksto įvedimo laukai</w:t>
      </w:r>
      <w:r w:rsidRPr="00C8379A">
        <w:rPr>
          <w:lang w:val="en-US"/>
        </w:rPr>
        <w:t xml:space="preserve"> – kibernetinio saugumo politikos dokumentų šablone bus interaktyvūs teksto laukai, į kuriuos naudotojas galės įrašyti savo organizacijos informaciją, procesus ir procedūras</w:t>
      </w:r>
      <w:r w:rsidRPr="00C8379A">
        <w:rPr>
          <w:bCs/>
          <w:lang w:val="en-US"/>
        </w:rPr>
        <w:t>;</w:t>
      </w:r>
    </w:p>
    <w:p w14:paraId="7D9F8869" w14:textId="77777777" w:rsidR="00C8379A" w:rsidRPr="00C8379A" w:rsidRDefault="00C8379A" w:rsidP="00C8379A">
      <w:pPr>
        <w:ind w:firstLine="709"/>
        <w:jc w:val="both"/>
        <w:rPr>
          <w:lang w:val="en-US"/>
        </w:rPr>
      </w:pPr>
      <w:r w:rsidRPr="00C8379A">
        <w:rPr>
          <w:bCs/>
          <w:lang w:val="en-US"/>
        </w:rPr>
        <w:t>16.2.</w:t>
      </w:r>
      <w:r w:rsidRPr="00C8379A">
        <w:rPr>
          <w:b/>
          <w:bCs/>
          <w:lang w:val="en-US"/>
        </w:rPr>
        <w:t xml:space="preserve"> pasirinkimo variantai</w:t>
      </w:r>
      <w:r w:rsidRPr="00C8379A">
        <w:rPr>
          <w:lang w:val="en-US"/>
        </w:rPr>
        <w:t xml:space="preserve"> – </w:t>
      </w:r>
      <w:r w:rsidRPr="00C8379A">
        <w:rPr>
          <w:bCs/>
        </w:rPr>
        <w:t>kibernetinio saugumo</w:t>
      </w:r>
      <w:r w:rsidRPr="00C8379A">
        <w:rPr>
          <w:b/>
          <w:bCs/>
        </w:rPr>
        <w:t xml:space="preserve"> </w:t>
      </w:r>
      <w:r w:rsidRPr="00C8379A">
        <w:t xml:space="preserve">subjektas galės pasirinkti iš pateiktų atsakymų variantų, kurie bus pritaikyti konkrečioms situacijoms. Pavyzdžiui, kai reikia aprašyti naudotojų prieigos valdymo politiką, vedlys pasiūlys keletą standartinių pasirinkimų (pvz., „Slaptažodžių sudėtingumo reikalavimai“) su galimybe koreguoti pagal organizacijos poreikius. </w:t>
      </w:r>
      <w:r w:rsidRPr="00C8379A">
        <w:rPr>
          <w:lang w:val="en-US"/>
        </w:rPr>
        <w:t>Šablone (kur reikia) bus pateikti keli galimi atsakymo arba pasirinkimo variantai (pvz., išskleidžiamieji meniu, žymimieji langeliai), leidžiantys pasirinkti tinkamiausią atsakymą pagal organizacijos poreikius.</w:t>
      </w:r>
    </w:p>
    <w:p w14:paraId="6C411954" w14:textId="77777777" w:rsidR="00C8379A" w:rsidRPr="00C8379A" w:rsidRDefault="00C8379A" w:rsidP="00C8379A">
      <w:pPr>
        <w:ind w:firstLine="709"/>
        <w:jc w:val="both"/>
        <w:rPr>
          <w:b/>
          <w:bCs/>
          <w:lang w:val="en-US"/>
        </w:rPr>
      </w:pPr>
      <w:r w:rsidRPr="00C8379A">
        <w:rPr>
          <w:lang w:val="en-US"/>
        </w:rPr>
        <w:t>17</w:t>
      </w:r>
      <w:r w:rsidRPr="00C8379A">
        <w:rPr>
          <w:b/>
          <w:bCs/>
          <w:lang w:val="en-US"/>
        </w:rPr>
        <w:t>. Įdiegta metodika ir instrukcijos:</w:t>
      </w:r>
    </w:p>
    <w:p w14:paraId="1875AF04" w14:textId="77777777" w:rsidR="00C8379A" w:rsidRPr="00C8379A" w:rsidRDefault="00C8379A" w:rsidP="00C8379A">
      <w:pPr>
        <w:ind w:firstLine="709"/>
        <w:jc w:val="both"/>
        <w:rPr>
          <w:lang w:val="en-US"/>
        </w:rPr>
      </w:pPr>
      <w:r w:rsidRPr="00C8379A">
        <w:rPr>
          <w:lang w:val="en-US"/>
        </w:rPr>
        <w:t xml:space="preserve">17.1. </w:t>
      </w:r>
      <w:r w:rsidRPr="00C8379A">
        <w:rPr>
          <w:b/>
          <w:bCs/>
          <w:lang w:val="en-US"/>
        </w:rPr>
        <w:t xml:space="preserve">gairės ir pavyzdžiai </w:t>
      </w:r>
      <w:r w:rsidRPr="00C8379A">
        <w:rPr>
          <w:lang w:val="en-US"/>
        </w:rPr>
        <w:t xml:space="preserve">– šablone bus pateikiamos metodinės gairės ir paaiškinimai, kurie padės suprasti, kaip tinkamai užpildyti kiekvieną skyrių. Pvz., kiekvienas saugumo reikalavimas turės aiškų paaiškinimą, kokie punktai turi būti aprašyti. </w:t>
      </w:r>
      <w:r w:rsidRPr="00C8379A">
        <w:t>Įterpti žymekliai ir paaiškinimai rodys, kur įvesti informaciją arba pasirinkti iš numatytų variantų;</w:t>
      </w:r>
    </w:p>
    <w:p w14:paraId="75C7FDE6" w14:textId="77777777" w:rsidR="00C8379A" w:rsidRPr="00C8379A" w:rsidRDefault="00C8379A" w:rsidP="00C8379A">
      <w:pPr>
        <w:ind w:firstLine="709"/>
        <w:jc w:val="both"/>
        <w:rPr>
          <w:lang w:val="en-US"/>
        </w:rPr>
      </w:pPr>
      <w:r w:rsidRPr="00C8379A">
        <w:rPr>
          <w:lang w:val="en-US"/>
        </w:rPr>
        <w:t>17.2.</w:t>
      </w:r>
      <w:r w:rsidRPr="00C8379A">
        <w:rPr>
          <w:b/>
          <w:bCs/>
          <w:lang w:val="en-US"/>
        </w:rPr>
        <w:t xml:space="preserve"> standartų atitiktis</w:t>
      </w:r>
      <w:r w:rsidRPr="00C8379A">
        <w:rPr>
          <w:lang w:val="en-US"/>
        </w:rPr>
        <w:t xml:space="preserve"> – šablonas bus sukurtas remiantis </w:t>
      </w:r>
      <w:r w:rsidRPr="00C8379A">
        <w:rPr>
          <w:color w:val="000000" w:themeColor="text1"/>
          <w:lang w:val="en-US"/>
        </w:rPr>
        <w:t>KSĮ, K</w:t>
      </w:r>
      <w:r w:rsidRPr="00C8379A">
        <w:rPr>
          <w:color w:val="000000" w:themeColor="text1"/>
        </w:rPr>
        <w:t xml:space="preserve">ibernetinio saugumo reikalavimų aprašu, </w:t>
      </w:r>
      <w:r w:rsidRPr="00C8379A">
        <w:rPr>
          <w:lang w:val="en-US"/>
        </w:rPr>
        <w:t>kad užtikrintų dokumento atitiktį reikalavimams.</w:t>
      </w:r>
    </w:p>
    <w:p w14:paraId="14644B68" w14:textId="77777777" w:rsidR="00C8379A" w:rsidRPr="00C8379A" w:rsidRDefault="00C8379A" w:rsidP="00C8379A">
      <w:pPr>
        <w:ind w:firstLine="709"/>
        <w:jc w:val="both"/>
        <w:rPr>
          <w:lang w:val="en-US"/>
        </w:rPr>
      </w:pPr>
      <w:r w:rsidRPr="00C8379A">
        <w:rPr>
          <w:lang w:val="en-US"/>
        </w:rPr>
        <w:t>18.</w:t>
      </w:r>
      <w:r w:rsidRPr="00C8379A">
        <w:rPr>
          <w:b/>
          <w:bCs/>
          <w:lang w:val="en-US"/>
        </w:rPr>
        <w:t xml:space="preserve"> Redagavimo funkcijos,</w:t>
      </w:r>
      <w:r w:rsidRPr="00C8379A">
        <w:rPr>
          <w:lang w:val="en-US"/>
        </w:rPr>
        <w:t xml:space="preserve"> </w:t>
      </w:r>
      <w:r w:rsidRPr="00C8379A">
        <w:rPr>
          <w:b/>
          <w:bCs/>
          <w:lang w:val="en-US"/>
        </w:rPr>
        <w:t xml:space="preserve">laisvo teksto redagavimas </w:t>
      </w:r>
      <w:r w:rsidRPr="00C8379A">
        <w:rPr>
          <w:lang w:val="en-US"/>
        </w:rPr>
        <w:t xml:space="preserve">– </w:t>
      </w:r>
      <w:r w:rsidRPr="00C8379A">
        <w:rPr>
          <w:bCs/>
        </w:rPr>
        <w:t>kibernetinio saugumo</w:t>
      </w:r>
      <w:r w:rsidRPr="00C8379A">
        <w:rPr>
          <w:b/>
          <w:bCs/>
        </w:rPr>
        <w:t xml:space="preserve"> </w:t>
      </w:r>
      <w:r w:rsidRPr="00C8379A">
        <w:rPr>
          <w:lang w:val="en-US"/>
        </w:rPr>
        <w:t>subjektui bus suteikta galimybė laisvai redaguoti bet kurią šablono dalį, kad dokumentas būtų pritaikytas konkrečiai organizacijai.</w:t>
      </w:r>
    </w:p>
    <w:p w14:paraId="66AD8927" w14:textId="77777777" w:rsidR="00C8379A" w:rsidRPr="00C8379A" w:rsidRDefault="00C8379A" w:rsidP="00C8379A">
      <w:pPr>
        <w:ind w:firstLine="709"/>
        <w:jc w:val="both"/>
        <w:rPr>
          <w:b/>
          <w:bCs/>
          <w:lang w:val="en-US"/>
        </w:rPr>
      </w:pPr>
      <w:r w:rsidRPr="00C8379A">
        <w:rPr>
          <w:lang w:val="en-US"/>
        </w:rPr>
        <w:t>19.</w:t>
      </w:r>
      <w:r w:rsidRPr="00C8379A">
        <w:rPr>
          <w:b/>
          <w:bCs/>
          <w:lang w:val="en-US"/>
        </w:rPr>
        <w:t xml:space="preserve"> Integracija ir suderinamumas:</w:t>
      </w:r>
    </w:p>
    <w:p w14:paraId="2A739C19" w14:textId="77777777" w:rsidR="00C8379A" w:rsidRPr="00C8379A" w:rsidRDefault="00C8379A" w:rsidP="00C8379A">
      <w:pPr>
        <w:ind w:firstLine="709"/>
        <w:jc w:val="both"/>
        <w:rPr>
          <w:lang w:val="en-US"/>
        </w:rPr>
      </w:pPr>
      <w:r w:rsidRPr="00C8379A">
        <w:rPr>
          <w:lang w:val="en-US"/>
        </w:rPr>
        <w:t>19.1.</w:t>
      </w:r>
      <w:r w:rsidRPr="00C8379A">
        <w:rPr>
          <w:b/>
          <w:bCs/>
          <w:lang w:val="en-US"/>
        </w:rPr>
        <w:t xml:space="preserve"> failų palaikymas</w:t>
      </w:r>
      <w:r w:rsidRPr="00C8379A">
        <w:rPr>
          <w:lang w:val="en-US"/>
        </w:rPr>
        <w:t xml:space="preserve"> – vedlio šablonas bus suderinamas su „Microsoft Word“ ir „Excel“ programomis, taip pat PDF peržiūros ir redagavimo programomis, tokiomis kaip „Adobe Acrobat Reader“;</w:t>
      </w:r>
    </w:p>
    <w:p w14:paraId="30383962" w14:textId="77777777" w:rsidR="00C8379A" w:rsidRPr="00C8379A" w:rsidRDefault="00C8379A" w:rsidP="00C8379A">
      <w:pPr>
        <w:ind w:firstLine="709"/>
        <w:jc w:val="both"/>
        <w:rPr>
          <w:lang w:val="en-US"/>
        </w:rPr>
      </w:pPr>
      <w:r w:rsidRPr="00C8379A">
        <w:rPr>
          <w:lang w:val="en-US"/>
        </w:rPr>
        <w:t>19.2.</w:t>
      </w:r>
      <w:r w:rsidRPr="00C8379A">
        <w:rPr>
          <w:b/>
          <w:bCs/>
          <w:lang w:val="en-US"/>
        </w:rPr>
        <w:t xml:space="preserve"> darbo aplinka</w:t>
      </w:r>
      <w:r w:rsidRPr="00C8379A">
        <w:rPr>
          <w:lang w:val="en-US"/>
        </w:rPr>
        <w:t xml:space="preserve"> – šablonas turėtų veikti „Windows“, „MacOS“ operacinėse sistemose bei būti lengvai atidaromas ir redaguojamas tiek darbalaukyje, tiek debesijos platformose (pvz., „OneDrive“, „Google Drive“).</w:t>
      </w:r>
    </w:p>
    <w:p w14:paraId="77FE3752" w14:textId="77777777" w:rsidR="00C8379A" w:rsidRPr="00C8379A" w:rsidRDefault="00C8379A" w:rsidP="00C8379A">
      <w:pPr>
        <w:ind w:firstLine="709"/>
        <w:jc w:val="both"/>
        <w:rPr>
          <w:b/>
          <w:bCs/>
          <w:lang w:val="en-US"/>
        </w:rPr>
      </w:pPr>
      <w:r w:rsidRPr="00C8379A">
        <w:rPr>
          <w:lang w:val="en-US"/>
        </w:rPr>
        <w:t>20.</w:t>
      </w:r>
      <w:r w:rsidRPr="00C8379A">
        <w:rPr>
          <w:b/>
          <w:bCs/>
          <w:lang w:val="en-US"/>
        </w:rPr>
        <w:t xml:space="preserve"> Naudojimo techninė struktūra:</w:t>
      </w:r>
    </w:p>
    <w:p w14:paraId="6E9D3302" w14:textId="77777777" w:rsidR="00C8379A" w:rsidRPr="00C8379A" w:rsidRDefault="00C8379A" w:rsidP="00C8379A">
      <w:pPr>
        <w:ind w:firstLine="709"/>
        <w:jc w:val="both"/>
        <w:rPr>
          <w:b/>
          <w:bCs/>
          <w:lang w:val="en-US"/>
        </w:rPr>
      </w:pPr>
      <w:r w:rsidRPr="00C8379A">
        <w:rPr>
          <w:lang w:val="en-US"/>
        </w:rPr>
        <w:t>20.1.</w:t>
      </w:r>
      <w:r w:rsidRPr="00C8379A">
        <w:rPr>
          <w:b/>
          <w:bCs/>
          <w:lang w:val="en-US"/>
        </w:rPr>
        <w:t xml:space="preserve"> dokumento sukūrimas</w:t>
      </w:r>
      <w:r w:rsidRPr="00C8379A">
        <w:rPr>
          <w:lang w:val="en-US"/>
        </w:rPr>
        <w:t xml:space="preserve"> – </w:t>
      </w:r>
      <w:r w:rsidRPr="00C8379A">
        <w:rPr>
          <w:bCs/>
        </w:rPr>
        <w:t>kibernetinio saugumo</w:t>
      </w:r>
      <w:r w:rsidRPr="00C8379A">
        <w:rPr>
          <w:lang w:val="en-US"/>
        </w:rPr>
        <w:t xml:space="preserve"> subjektas atsisiųstą šabloną galės užpildyti tiesiogiai savo kompiuteryje, naudodamasis įprastomis „Word“ arba „Excel“ redagavimo funkcijomis. Šablonas bus sukurtas taip, kad būtų išvengta klaidų ir užtikrintas dokumentų nuoseklumas;</w:t>
      </w:r>
    </w:p>
    <w:p w14:paraId="1FBAB510" w14:textId="77777777" w:rsidR="00C8379A" w:rsidRPr="00C8379A" w:rsidRDefault="00C8379A" w:rsidP="00C8379A">
      <w:pPr>
        <w:ind w:firstLine="709"/>
        <w:jc w:val="both"/>
        <w:rPr>
          <w:lang w:val="en-US"/>
        </w:rPr>
      </w:pPr>
      <w:r w:rsidRPr="00C8379A">
        <w:rPr>
          <w:lang w:val="en-US"/>
        </w:rPr>
        <w:t xml:space="preserve">20.2. pateikiamas rezultatas turėtų neužimti daugiau nei 10 MB </w:t>
      </w:r>
    </w:p>
    <w:p w14:paraId="58C0D87D" w14:textId="77777777" w:rsidR="00C8379A" w:rsidRPr="00C8379A" w:rsidRDefault="00C8379A" w:rsidP="00C8379A">
      <w:pPr>
        <w:ind w:firstLine="709"/>
        <w:jc w:val="both"/>
        <w:rPr>
          <w:lang w:val="en-US"/>
        </w:rPr>
      </w:pPr>
      <w:r w:rsidRPr="00C8379A">
        <w:rPr>
          <w:lang w:val="en-US"/>
        </w:rPr>
        <w:t xml:space="preserve">20.3. naudojamas šriftas turi būti standartinis </w:t>
      </w:r>
      <w:r w:rsidRPr="00C8379A">
        <w:t>„Office“</w:t>
      </w:r>
      <w:r w:rsidRPr="00C8379A">
        <w:rPr>
          <w:lang w:val="en-US"/>
        </w:rPr>
        <w:t xml:space="preserve"> pakete naudojamas šriftas;</w:t>
      </w:r>
    </w:p>
    <w:p w14:paraId="793E1DA8" w14:textId="77777777" w:rsidR="00C8379A" w:rsidRPr="00C8379A" w:rsidRDefault="00C8379A" w:rsidP="00C8379A">
      <w:pPr>
        <w:ind w:firstLine="709"/>
        <w:jc w:val="both"/>
        <w:rPr>
          <w:lang w:val="en-US"/>
        </w:rPr>
      </w:pPr>
      <w:r w:rsidRPr="00C8379A">
        <w:rPr>
          <w:lang w:val="en-US"/>
        </w:rPr>
        <w:t>20.4. produktas turi būti pateikiamas lietuvių kalba.</w:t>
      </w:r>
    </w:p>
    <w:p w14:paraId="5F04A599" w14:textId="77777777" w:rsidR="00C8379A" w:rsidRPr="00C8379A" w:rsidRDefault="00C8379A" w:rsidP="00C8379A">
      <w:pPr>
        <w:ind w:firstLine="709"/>
        <w:jc w:val="both"/>
        <w:rPr>
          <w:lang w:val="en-US"/>
        </w:rPr>
      </w:pPr>
      <w:r w:rsidRPr="00C8379A">
        <w:rPr>
          <w:lang w:val="en-US"/>
        </w:rPr>
        <w:t>21.</w:t>
      </w:r>
      <w:r w:rsidRPr="00C8379A">
        <w:rPr>
          <w:b/>
          <w:bCs/>
          <w:lang w:val="en-US"/>
        </w:rPr>
        <w:t xml:space="preserve"> Rezultatas:</w:t>
      </w:r>
    </w:p>
    <w:p w14:paraId="5051CA41" w14:textId="77777777" w:rsidR="00C8379A" w:rsidRPr="00C8379A" w:rsidRDefault="00C8379A" w:rsidP="00C8379A">
      <w:pPr>
        <w:ind w:firstLine="709"/>
        <w:jc w:val="both"/>
        <w:rPr>
          <w:lang w:val="en-US"/>
        </w:rPr>
      </w:pPr>
      <w:r w:rsidRPr="00C8379A">
        <w:rPr>
          <w:lang w:val="en-US"/>
        </w:rPr>
        <w:t>21.1.</w:t>
      </w:r>
      <w:r w:rsidRPr="00C8379A">
        <w:rPr>
          <w:b/>
          <w:bCs/>
          <w:lang w:val="en-US"/>
        </w:rPr>
        <w:t xml:space="preserve"> galutinis rezultatas </w:t>
      </w:r>
      <w:r w:rsidRPr="00C8379A">
        <w:rPr>
          <w:lang w:val="en-US"/>
        </w:rPr>
        <w:t>– naudotojas gaus visiškai parengtą kibernetinio saugumo politikos dokumentą (-us), kurio (-ių) struktūra atitinka geriausią praktiką ir teisės aktų reikalavimus;</w:t>
      </w:r>
    </w:p>
    <w:p w14:paraId="6CC8FA20" w14:textId="77777777" w:rsidR="00C8379A" w:rsidRPr="00C8379A" w:rsidRDefault="00C8379A" w:rsidP="00C8379A">
      <w:pPr>
        <w:ind w:firstLine="709"/>
        <w:jc w:val="both"/>
        <w:rPr>
          <w:lang w:val="en-US"/>
        </w:rPr>
      </w:pPr>
      <w:r w:rsidRPr="00C8379A">
        <w:rPr>
          <w:lang w:val="en-US"/>
        </w:rPr>
        <w:t>21.2</w:t>
      </w:r>
      <w:r w:rsidRPr="00C8379A">
        <w:rPr>
          <w:bCs/>
          <w:lang w:val="en-US"/>
        </w:rPr>
        <w:t>.</w:t>
      </w:r>
      <w:r w:rsidRPr="00C8379A">
        <w:rPr>
          <w:b/>
          <w:bCs/>
          <w:lang w:val="en-US"/>
        </w:rPr>
        <w:t xml:space="preserve"> eksportavimo galimybės</w:t>
      </w:r>
      <w:r w:rsidRPr="00C8379A">
        <w:rPr>
          <w:lang w:val="en-US"/>
        </w:rPr>
        <w:t xml:space="preserve"> – vedlio šabloną bus galima eksportuoti į skirtinguo formato dokumentuose, pvz., PDF, kad dokumentu būtų lengvai dalijamasi su kitomis organizacijos dalimis arba išorinėmis institucijomis.</w:t>
      </w:r>
    </w:p>
    <w:p w14:paraId="753087A5" w14:textId="77777777" w:rsidR="00C8379A" w:rsidRPr="00C8379A" w:rsidRDefault="00C8379A" w:rsidP="00C8379A">
      <w:pPr>
        <w:jc w:val="both"/>
        <w:rPr>
          <w:b/>
          <w:bCs/>
          <w:color w:val="000000" w:themeColor="text1"/>
        </w:rPr>
      </w:pPr>
    </w:p>
    <w:p w14:paraId="61D0C60B" w14:textId="5EC9D449" w:rsidR="00C8379A" w:rsidRPr="00C8379A" w:rsidRDefault="00C8379A" w:rsidP="00C8379A">
      <w:pPr>
        <w:pStyle w:val="ListParagraph"/>
        <w:spacing w:after="0" w:line="240" w:lineRule="auto"/>
        <w:ind w:left="0"/>
        <w:jc w:val="center"/>
        <w:rPr>
          <w:rFonts w:eastAsia="Times New Roman"/>
          <w:b/>
          <w:bCs/>
        </w:rPr>
      </w:pPr>
      <w:r w:rsidRPr="00C8379A">
        <w:rPr>
          <w:rFonts w:eastAsia="Times New Roman"/>
          <w:b/>
          <w:bCs/>
        </w:rPr>
        <w:t>IV SKYRIUS</w:t>
      </w:r>
    </w:p>
    <w:p w14:paraId="214A6CA3" w14:textId="77777777" w:rsidR="00C8379A" w:rsidRPr="00C8379A" w:rsidRDefault="00C8379A" w:rsidP="00C8379A">
      <w:pPr>
        <w:pStyle w:val="ListParagraph"/>
        <w:spacing w:after="0" w:line="240" w:lineRule="auto"/>
        <w:ind w:left="0"/>
        <w:jc w:val="center"/>
        <w:rPr>
          <w:rFonts w:eastAsia="Times New Roman"/>
          <w:b/>
          <w:bCs/>
          <w:color w:val="000000" w:themeColor="text1"/>
        </w:rPr>
      </w:pPr>
      <w:r w:rsidRPr="00C8379A">
        <w:rPr>
          <w:rFonts w:eastAsia="Times New Roman"/>
          <w:b/>
          <w:bCs/>
          <w:color w:val="000000" w:themeColor="text1"/>
        </w:rPr>
        <w:lastRenderedPageBreak/>
        <w:t>BENDRIEJI REIKALAVIMAI</w:t>
      </w:r>
    </w:p>
    <w:p w14:paraId="3F367E7C" w14:textId="77777777" w:rsidR="00C8379A" w:rsidRPr="00C8379A" w:rsidRDefault="00C8379A" w:rsidP="00C8379A">
      <w:pPr>
        <w:pStyle w:val="ListParagraph"/>
        <w:spacing w:line="240" w:lineRule="auto"/>
        <w:ind w:left="0"/>
        <w:jc w:val="both"/>
        <w:rPr>
          <w:rFonts w:eastAsia="Times New Roman"/>
          <w:b/>
          <w:bCs/>
          <w:color w:val="000000" w:themeColor="text1"/>
        </w:rPr>
      </w:pPr>
    </w:p>
    <w:p w14:paraId="7D0D8D88" w14:textId="77777777" w:rsidR="00C8379A" w:rsidRPr="00C8379A" w:rsidRDefault="00C8379A" w:rsidP="00C8379A">
      <w:pPr>
        <w:pStyle w:val="Body"/>
        <w:widowControl/>
        <w:tabs>
          <w:tab w:val="left" w:pos="1134"/>
        </w:tabs>
        <w:ind w:firstLine="709"/>
        <w:jc w:val="both"/>
        <w:rPr>
          <w:rFonts w:eastAsia="Times New Roman" w:cs="Times New Roman"/>
          <w:sz w:val="24"/>
          <w:szCs w:val="24"/>
        </w:rPr>
      </w:pPr>
      <w:bookmarkStart w:id="0" w:name="_GoBack"/>
      <w:bookmarkEnd w:id="0"/>
      <w:r w:rsidRPr="00C8379A">
        <w:rPr>
          <w:rFonts w:eastAsia="Times New Roman" w:cs="Times New Roman"/>
          <w:sz w:val="24"/>
          <w:szCs w:val="24"/>
        </w:rPr>
        <w:t xml:space="preserve">23. Teikėjas per 2 savaites nuo Paslaugos sutarties įsigaliojimo turi parengti ir su Perkančiąja organizacija suderinti išsamų Paslaugos teikimo planą, nurodydamas atskirus darbų ir tarpinių ataskaitų teikimo etapus ir įgyvendinimo terminus, pagal kuriuos Perkančioji organizacija vykdys Paslaugos teikimo kontrolę. </w:t>
      </w:r>
    </w:p>
    <w:p w14:paraId="0BFB9E82" w14:textId="77777777" w:rsidR="00C8379A" w:rsidRPr="00C8379A" w:rsidRDefault="00C8379A" w:rsidP="00C8379A">
      <w:pPr>
        <w:pStyle w:val="Body"/>
        <w:widowControl/>
        <w:tabs>
          <w:tab w:val="left" w:pos="1134"/>
        </w:tabs>
        <w:ind w:firstLine="709"/>
        <w:jc w:val="both"/>
        <w:rPr>
          <w:rFonts w:eastAsia="Times New Roman" w:cs="Times New Roman"/>
          <w:sz w:val="24"/>
          <w:szCs w:val="24"/>
        </w:rPr>
      </w:pPr>
      <w:r w:rsidRPr="00C8379A">
        <w:rPr>
          <w:rFonts w:eastAsia="Times New Roman" w:cs="Times New Roman"/>
          <w:sz w:val="24"/>
          <w:szCs w:val="24"/>
        </w:rPr>
        <w:t>24. Rengdamas šabloną, Teikėjas turi glaudžiai bendradarbiauti su Perkančiąja organizacija ir jos ir kitų susijusių institucijų ekspertais, koreguoti pateiktus rezultatus pagal Perkančiosios organizacijos pastabas. Perkančioji organizacija gali kviesti Teikėją dalyvauti susitikimuose, kad būtų aptariami atskiri Paslaugos rengimo etapai, rezultatai ir išvados. Perkančioji organizacija gali paprašyti gyvai pristatyti rezultatus Perkančiosios organizacijos sudarytai komisijai ar kitiems įgaliotiems atstovams. Susitikimų vietą nurodo Perkančioji organizacija.</w:t>
      </w:r>
    </w:p>
    <w:p w14:paraId="4EFC9DB1" w14:textId="77777777" w:rsidR="00C8379A" w:rsidRPr="00C8379A" w:rsidRDefault="00C8379A" w:rsidP="00C8379A">
      <w:pPr>
        <w:pStyle w:val="Body"/>
        <w:widowControl/>
        <w:tabs>
          <w:tab w:val="left" w:pos="1134"/>
        </w:tabs>
        <w:ind w:firstLine="709"/>
        <w:jc w:val="both"/>
        <w:rPr>
          <w:rFonts w:eastAsia="Times New Roman" w:cs="Times New Roman"/>
          <w:sz w:val="24"/>
          <w:szCs w:val="24"/>
        </w:rPr>
      </w:pPr>
      <w:r w:rsidRPr="00C8379A">
        <w:rPr>
          <w:rFonts w:eastAsia="Times New Roman" w:cs="Times New Roman"/>
          <w:color w:val="auto"/>
          <w:sz w:val="24"/>
          <w:szCs w:val="24"/>
        </w:rPr>
        <w:t>25. Paslauga turi būti suteiktos per 4 mėn. nuo Paslaugos sutarties pasirašymo dienos.</w:t>
      </w:r>
    </w:p>
    <w:p w14:paraId="4C3A7F8B" w14:textId="77777777" w:rsidR="00C8379A" w:rsidRDefault="00C8379A" w:rsidP="00C8379A">
      <w:pPr>
        <w:pStyle w:val="Body"/>
        <w:widowControl/>
        <w:tabs>
          <w:tab w:val="left" w:pos="993"/>
        </w:tabs>
        <w:spacing w:line="276" w:lineRule="auto"/>
        <w:jc w:val="both"/>
        <w:rPr>
          <w:rFonts w:eastAsia="Times New Roman" w:cs="Times New Roman"/>
          <w:color w:val="auto"/>
          <w:sz w:val="24"/>
          <w:szCs w:val="24"/>
        </w:rPr>
      </w:pPr>
    </w:p>
    <w:p w14:paraId="7B3BD514" w14:textId="77777777" w:rsidR="00C8379A" w:rsidRPr="007C08B9" w:rsidRDefault="00C8379A" w:rsidP="00C8379A">
      <w:pPr>
        <w:tabs>
          <w:tab w:val="left" w:pos="993"/>
        </w:tabs>
        <w:spacing w:line="276" w:lineRule="auto"/>
        <w:jc w:val="center"/>
      </w:pPr>
      <w:r w:rsidRPr="3E20AFFB">
        <w:t>___________________________</w:t>
      </w:r>
    </w:p>
    <w:p w14:paraId="416A5B73" w14:textId="77777777" w:rsidR="00C8379A" w:rsidRPr="007C08B9" w:rsidRDefault="00C8379A" w:rsidP="00C8379A">
      <w:pPr>
        <w:tabs>
          <w:tab w:val="left" w:pos="3645"/>
        </w:tabs>
        <w:spacing w:line="276" w:lineRule="auto"/>
        <w:jc w:val="both"/>
        <w:rPr>
          <w:color w:val="000000"/>
        </w:rPr>
      </w:pPr>
    </w:p>
    <w:p w14:paraId="515E7878" w14:textId="77777777" w:rsidR="00856976" w:rsidRDefault="00856976" w:rsidP="00DD48CB">
      <w:pPr>
        <w:tabs>
          <w:tab w:val="left" w:pos="3645"/>
        </w:tabs>
        <w:ind w:firstLine="737"/>
        <w:contextualSpacing/>
        <w:jc w:val="both"/>
      </w:pPr>
    </w:p>
    <w:p w14:paraId="5D6E6AEB" w14:textId="7597F4CA" w:rsidR="00C8379A" w:rsidRDefault="00C8379A" w:rsidP="00C8379A">
      <w:pPr>
        <w:tabs>
          <w:tab w:val="left" w:pos="3645"/>
        </w:tabs>
        <w:contextualSpacing/>
        <w:jc w:val="both"/>
      </w:pPr>
      <w:r>
        <w:br w:type="page"/>
      </w:r>
    </w:p>
    <w:p w14:paraId="6196DA73" w14:textId="77777777" w:rsidR="00856976" w:rsidRDefault="00856976" w:rsidP="00C8379A">
      <w:pPr>
        <w:tabs>
          <w:tab w:val="left" w:pos="3645"/>
        </w:tabs>
        <w:contextualSpacing/>
        <w:jc w:val="both"/>
      </w:pPr>
    </w:p>
    <w:tbl>
      <w:tblPr>
        <w:tblW w:w="9781" w:type="dxa"/>
        <w:jc w:val="center"/>
        <w:tblLayout w:type="fixed"/>
        <w:tblLook w:val="04A0" w:firstRow="1" w:lastRow="0" w:firstColumn="1" w:lastColumn="0" w:noHBand="0" w:noVBand="1"/>
      </w:tblPr>
      <w:tblGrid>
        <w:gridCol w:w="9781"/>
      </w:tblGrid>
      <w:tr w:rsidR="00856976" w:rsidRPr="00807EBB" w14:paraId="139720AC" w14:textId="77777777" w:rsidTr="00BD6CFD">
        <w:trPr>
          <w:trHeight w:val="315"/>
          <w:jc w:val="center"/>
        </w:trPr>
        <w:tc>
          <w:tcPr>
            <w:tcW w:w="4266" w:type="dxa"/>
            <w:tcBorders>
              <w:top w:val="nil"/>
              <w:left w:val="nil"/>
              <w:bottom w:val="nil"/>
              <w:right w:val="nil"/>
            </w:tcBorders>
            <w:shd w:val="clear" w:color="auto" w:fill="auto"/>
            <w:noWrap/>
            <w:hideMark/>
          </w:tcPr>
          <w:p w14:paraId="7008905D" w14:textId="77777777" w:rsidR="00856976" w:rsidRPr="00807EBB" w:rsidRDefault="00856976" w:rsidP="00BD6CFD">
            <w:pPr>
              <w:jc w:val="right"/>
            </w:pPr>
            <w:r>
              <w:t>2024</w:t>
            </w:r>
            <w:r w:rsidRPr="00807EBB">
              <w:t xml:space="preserve"> m. _____________ d. Sutarties Nr.</w:t>
            </w:r>
          </w:p>
        </w:tc>
      </w:tr>
      <w:tr w:rsidR="00856976" w:rsidRPr="00807EBB" w14:paraId="01A08D19" w14:textId="77777777" w:rsidTr="00BD6CFD">
        <w:trPr>
          <w:trHeight w:val="315"/>
          <w:jc w:val="center"/>
        </w:trPr>
        <w:tc>
          <w:tcPr>
            <w:tcW w:w="4266" w:type="dxa"/>
            <w:tcBorders>
              <w:top w:val="nil"/>
              <w:left w:val="nil"/>
              <w:bottom w:val="nil"/>
              <w:right w:val="nil"/>
            </w:tcBorders>
            <w:shd w:val="clear" w:color="auto" w:fill="auto"/>
            <w:noWrap/>
            <w:hideMark/>
          </w:tcPr>
          <w:p w14:paraId="27CD14B8" w14:textId="77777777" w:rsidR="00856976" w:rsidRPr="00807EBB" w:rsidRDefault="00856976" w:rsidP="00BD6CFD">
            <w:pPr>
              <w:jc w:val="right"/>
            </w:pPr>
            <w:r>
              <w:t>2</w:t>
            </w:r>
            <w:r w:rsidRPr="00807EBB">
              <w:t xml:space="preserve"> priedas</w:t>
            </w:r>
          </w:p>
        </w:tc>
      </w:tr>
      <w:tr w:rsidR="00C8379A" w:rsidRPr="00807EBB" w14:paraId="1D630438" w14:textId="77777777" w:rsidTr="00BD6CFD">
        <w:trPr>
          <w:trHeight w:val="315"/>
          <w:jc w:val="center"/>
        </w:trPr>
        <w:tc>
          <w:tcPr>
            <w:tcW w:w="4266" w:type="dxa"/>
            <w:tcBorders>
              <w:top w:val="nil"/>
              <w:left w:val="nil"/>
              <w:bottom w:val="nil"/>
              <w:right w:val="nil"/>
            </w:tcBorders>
            <w:shd w:val="clear" w:color="auto" w:fill="auto"/>
            <w:noWrap/>
          </w:tcPr>
          <w:p w14:paraId="21C1A852" w14:textId="77777777" w:rsidR="00C8379A" w:rsidRDefault="00C8379A" w:rsidP="00BD6CFD">
            <w:pPr>
              <w:jc w:val="right"/>
            </w:pPr>
          </w:p>
        </w:tc>
      </w:tr>
    </w:tbl>
    <w:p w14:paraId="075198AE" w14:textId="77777777" w:rsidR="00856976" w:rsidRPr="00882CB4" w:rsidRDefault="00856976" w:rsidP="00856976">
      <w:pPr>
        <w:jc w:val="center"/>
        <w:rPr>
          <w:b/>
        </w:rPr>
      </w:pPr>
      <w:r w:rsidRPr="00882CB4">
        <w:rPr>
          <w:b/>
        </w:rPr>
        <w:t>PASIŪLYMAS</w:t>
      </w:r>
    </w:p>
    <w:p w14:paraId="605AFF36" w14:textId="77777777" w:rsidR="00856976" w:rsidRPr="00DD48CB" w:rsidRDefault="00856976" w:rsidP="00DD48CB">
      <w:pPr>
        <w:tabs>
          <w:tab w:val="left" w:pos="3645"/>
        </w:tabs>
        <w:ind w:firstLine="737"/>
        <w:contextualSpacing/>
        <w:jc w:val="both"/>
      </w:pPr>
    </w:p>
    <w:p w14:paraId="1DFDA235" w14:textId="77777777" w:rsidR="00DD48CB" w:rsidRDefault="00DD48CB" w:rsidP="00DD48CB">
      <w:pPr>
        <w:tabs>
          <w:tab w:val="left" w:pos="3645"/>
        </w:tabs>
        <w:contextualSpacing/>
        <w:jc w:val="center"/>
      </w:pPr>
    </w:p>
    <w:p w14:paraId="2644967C" w14:textId="77777777" w:rsidR="00DD48CB" w:rsidRPr="0060348F" w:rsidRDefault="00DD48CB" w:rsidP="0013714B"/>
    <w:sectPr w:rsidR="00DD48CB" w:rsidRPr="0060348F" w:rsidSect="003C2FF9">
      <w:headerReference w:type="even" r:id="rId13"/>
      <w:headerReference w:type="default" r:id="rId14"/>
      <w:pgSz w:w="11906" w:h="16838"/>
      <w:pgMar w:top="993" w:right="746" w:bottom="1276"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92AD9" w14:textId="77777777" w:rsidR="00DB6CFE" w:rsidRDefault="00DB6CFE">
      <w:r>
        <w:separator/>
      </w:r>
    </w:p>
  </w:endnote>
  <w:endnote w:type="continuationSeparator" w:id="0">
    <w:p w14:paraId="3CFEB0CD" w14:textId="77777777" w:rsidR="00DB6CFE" w:rsidRDefault="00DB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05A8" w14:textId="77777777" w:rsidR="00DB6CFE" w:rsidRDefault="00DB6CFE">
      <w:r>
        <w:separator/>
      </w:r>
    </w:p>
  </w:footnote>
  <w:footnote w:type="continuationSeparator" w:id="0">
    <w:p w14:paraId="08DCD4FD" w14:textId="77777777" w:rsidR="00DB6CFE" w:rsidRDefault="00DB6CFE">
      <w:r>
        <w:continuationSeparator/>
      </w:r>
    </w:p>
  </w:footnote>
  <w:footnote w:id="1">
    <w:p w14:paraId="2714713C" w14:textId="77777777" w:rsidR="009B1640" w:rsidRDefault="009B164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3E6F" w14:textId="77777777" w:rsidR="009B1640" w:rsidRDefault="009B164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E278E" w14:textId="77777777" w:rsidR="009B1640" w:rsidRDefault="009B1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6908" w14:textId="3E00D155" w:rsidR="009B1640" w:rsidRDefault="009B1640">
    <w:pPr>
      <w:pStyle w:val="Header"/>
      <w:jc w:val="center"/>
    </w:pPr>
    <w:r>
      <w:fldChar w:fldCharType="begin"/>
    </w:r>
    <w:r>
      <w:instrText>PAGE   \* MERGEFORMAT</w:instrText>
    </w:r>
    <w:r>
      <w:fldChar w:fldCharType="separate"/>
    </w:r>
    <w:r w:rsidR="004B74C4">
      <w:rPr>
        <w:noProof/>
      </w:rPr>
      <w:t>20</w:t>
    </w:r>
    <w:r>
      <w:fldChar w:fldCharType="end"/>
    </w:r>
  </w:p>
  <w:p w14:paraId="6DDF3F61" w14:textId="77777777" w:rsidR="009B1640" w:rsidRDefault="009B1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B48D9"/>
    <w:multiLevelType w:val="hybridMultilevel"/>
    <w:tmpl w:val="6509BC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7B230"/>
    <w:multiLevelType w:val="hybridMultilevel"/>
    <w:tmpl w:val="AE5AB2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3B43A0"/>
    <w:multiLevelType w:val="hybridMultilevel"/>
    <w:tmpl w:val="BBA3450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0001"/>
    <w:multiLevelType w:val="multilevel"/>
    <w:tmpl w:val="00000001"/>
    <w:lvl w:ilvl="0">
      <w:start w:val="1"/>
      <w:numFmt w:val="decimal"/>
      <w:suff w:val="space"/>
      <w:lvlText w:val="%1."/>
      <w:lvlJc w:val="left"/>
      <w:pPr>
        <w:tabs>
          <w:tab w:val="num" w:pos="7230"/>
        </w:tabs>
        <w:ind w:left="8382" w:hanging="432"/>
      </w:pPr>
      <w:rPr>
        <w:rFonts w:cs="Times New Roman"/>
      </w:rPr>
    </w:lvl>
    <w:lvl w:ilvl="1">
      <w:start w:val="1"/>
      <w:numFmt w:val="decimal"/>
      <w:suff w:val="space"/>
      <w:lvlText w:val="%1.%2."/>
      <w:lvlJc w:val="left"/>
      <w:pPr>
        <w:tabs>
          <w:tab w:val="num" w:pos="7465"/>
        </w:tabs>
        <w:ind w:left="7645" w:firstLine="720"/>
      </w:pPr>
      <w:rPr>
        <w:rFonts w:cs="Times New Roman"/>
        <w:b w:val="0"/>
        <w:i w:val="0"/>
        <w:strike/>
      </w:rPr>
    </w:lvl>
    <w:lvl w:ilvl="2">
      <w:start w:val="1"/>
      <w:numFmt w:val="decimal"/>
      <w:suff w:val="space"/>
      <w:lvlText w:val="%1.%2.%3."/>
      <w:lvlJc w:val="left"/>
      <w:pPr>
        <w:tabs>
          <w:tab w:val="num" w:pos="7230"/>
        </w:tabs>
        <w:ind w:left="7524" w:firstLine="720"/>
      </w:pPr>
      <w:rPr>
        <w:rFonts w:cs="Times New Roman"/>
      </w:rPr>
    </w:lvl>
    <w:lvl w:ilvl="3">
      <w:start w:val="1"/>
      <w:numFmt w:val="decimal"/>
      <w:lvlText w:val="%1.%2.%3.%4"/>
      <w:lvlJc w:val="left"/>
      <w:pPr>
        <w:tabs>
          <w:tab w:val="num" w:pos="8814"/>
        </w:tabs>
        <w:ind w:left="8814" w:hanging="864"/>
      </w:pPr>
      <w:rPr>
        <w:rFonts w:cs="Times New Roman"/>
      </w:rPr>
    </w:lvl>
    <w:lvl w:ilvl="4">
      <w:start w:val="1"/>
      <w:numFmt w:val="decimal"/>
      <w:lvlText w:val="%1.%2.%3.%4.%5"/>
      <w:lvlJc w:val="left"/>
      <w:pPr>
        <w:tabs>
          <w:tab w:val="num" w:pos="8958"/>
        </w:tabs>
        <w:ind w:left="8958" w:hanging="1008"/>
      </w:pPr>
      <w:rPr>
        <w:rFonts w:cs="Times New Roman"/>
      </w:rPr>
    </w:lvl>
    <w:lvl w:ilvl="5">
      <w:start w:val="1"/>
      <w:numFmt w:val="decimal"/>
      <w:lvlText w:val="%1.%2.%3.%4.%5.%6"/>
      <w:lvlJc w:val="left"/>
      <w:pPr>
        <w:tabs>
          <w:tab w:val="num" w:pos="9102"/>
        </w:tabs>
        <w:ind w:left="9102" w:hanging="1152"/>
      </w:pPr>
      <w:rPr>
        <w:rFonts w:cs="Times New Roman"/>
      </w:rPr>
    </w:lvl>
    <w:lvl w:ilvl="6">
      <w:start w:val="1"/>
      <w:numFmt w:val="decimal"/>
      <w:lvlText w:val="%1.%2.%3.%4.%5.%6.%7"/>
      <w:lvlJc w:val="left"/>
      <w:pPr>
        <w:tabs>
          <w:tab w:val="num" w:pos="9246"/>
        </w:tabs>
        <w:ind w:left="9246" w:hanging="1296"/>
      </w:pPr>
      <w:rPr>
        <w:rFonts w:cs="Times New Roman"/>
      </w:rPr>
    </w:lvl>
    <w:lvl w:ilvl="7">
      <w:start w:val="1"/>
      <w:numFmt w:val="decimal"/>
      <w:lvlText w:val="%1.%2.%3.%4.%5.%6.%7.%8"/>
      <w:lvlJc w:val="left"/>
      <w:pPr>
        <w:tabs>
          <w:tab w:val="num" w:pos="9390"/>
        </w:tabs>
        <w:ind w:left="9390" w:hanging="1440"/>
      </w:pPr>
      <w:rPr>
        <w:rFonts w:cs="Times New Roman"/>
      </w:rPr>
    </w:lvl>
    <w:lvl w:ilvl="8">
      <w:start w:val="1"/>
      <w:numFmt w:val="decimal"/>
      <w:lvlText w:val="%1.%2.%3.%4.%5.%6.%7.%8.%9"/>
      <w:lvlJc w:val="left"/>
      <w:pPr>
        <w:tabs>
          <w:tab w:val="num" w:pos="9534"/>
        </w:tabs>
        <w:ind w:left="9534" w:hanging="1584"/>
      </w:pPr>
      <w:rPr>
        <w:rFonts w:cs="Times New Roman"/>
      </w:rPr>
    </w:lvl>
  </w:abstractNum>
  <w:abstractNum w:abstractNumId="4" w15:restartNumberingAfterBreak="0">
    <w:nsid w:val="025E70D9"/>
    <w:multiLevelType w:val="hybridMultilevel"/>
    <w:tmpl w:val="5C188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BC6C31"/>
    <w:multiLevelType w:val="multilevel"/>
    <w:tmpl w:val="56349DFE"/>
    <w:lvl w:ilvl="0">
      <w:start w:val="1"/>
      <w:numFmt w:val="upperRoman"/>
      <w:lvlText w:val="%1."/>
      <w:lvlJc w:val="left"/>
      <w:pPr>
        <w:ind w:left="153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F14067"/>
    <w:multiLevelType w:val="hybridMultilevel"/>
    <w:tmpl w:val="CB02B0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897DC3"/>
    <w:multiLevelType w:val="hybridMultilevel"/>
    <w:tmpl w:val="CD0835BE"/>
    <w:lvl w:ilvl="0" w:tplc="A95838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F801EC"/>
    <w:multiLevelType w:val="hybridMultilevel"/>
    <w:tmpl w:val="C27EDBA0"/>
    <w:lvl w:ilvl="0" w:tplc="0427000F">
      <w:start w:val="1"/>
      <w:numFmt w:val="decimal"/>
      <w:lvlText w:val="%1."/>
      <w:lvlJc w:val="left"/>
      <w:pPr>
        <w:ind w:left="189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8B0797"/>
    <w:multiLevelType w:val="hybridMultilevel"/>
    <w:tmpl w:val="AB22DFF0"/>
    <w:lvl w:ilvl="0" w:tplc="D01A293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D0AA5"/>
    <w:multiLevelType w:val="hybridMultilevel"/>
    <w:tmpl w:val="05921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85828"/>
    <w:multiLevelType w:val="multilevel"/>
    <w:tmpl w:val="A3D0D59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81C8C"/>
    <w:multiLevelType w:val="multilevel"/>
    <w:tmpl w:val="A6301F76"/>
    <w:lvl w:ilvl="0">
      <w:start w:val="5"/>
      <w:numFmt w:val="decimal"/>
      <w:lvlText w:val="%1."/>
      <w:lvlJc w:val="left"/>
      <w:pPr>
        <w:ind w:left="2610" w:hanging="360"/>
      </w:pPr>
      <w:rPr>
        <w:rFonts w:hint="default"/>
      </w:rPr>
    </w:lvl>
    <w:lvl w:ilvl="1">
      <w:start w:val="2"/>
      <w:numFmt w:val="decimal"/>
      <w:isLgl/>
      <w:lvlText w:val="%1.%2."/>
      <w:lvlJc w:val="left"/>
      <w:pPr>
        <w:ind w:left="2610" w:hanging="360"/>
      </w:pPr>
      <w:rPr>
        <w:rFonts w:hint="default"/>
        <w:b w:val="0"/>
      </w:rPr>
    </w:lvl>
    <w:lvl w:ilvl="2">
      <w:start w:val="1"/>
      <w:numFmt w:val="decimal"/>
      <w:isLgl/>
      <w:lvlText w:val="%1.%2.%3."/>
      <w:lvlJc w:val="left"/>
      <w:pPr>
        <w:ind w:left="2970" w:hanging="720"/>
      </w:pPr>
      <w:rPr>
        <w:rFonts w:hint="default"/>
        <w:b w:val="0"/>
      </w:rPr>
    </w:lvl>
    <w:lvl w:ilvl="3">
      <w:start w:val="1"/>
      <w:numFmt w:val="decimal"/>
      <w:isLgl/>
      <w:lvlText w:val="%1.%2.%3.%4."/>
      <w:lvlJc w:val="left"/>
      <w:pPr>
        <w:ind w:left="2970" w:hanging="720"/>
      </w:pPr>
      <w:rPr>
        <w:rFonts w:hint="default"/>
        <w:b w:val="0"/>
      </w:rPr>
    </w:lvl>
    <w:lvl w:ilvl="4">
      <w:start w:val="1"/>
      <w:numFmt w:val="decimal"/>
      <w:isLgl/>
      <w:lvlText w:val="%1.%2.%3.%4.%5."/>
      <w:lvlJc w:val="left"/>
      <w:pPr>
        <w:ind w:left="3330" w:hanging="1080"/>
      </w:pPr>
      <w:rPr>
        <w:rFonts w:hint="default"/>
        <w:b w:val="0"/>
      </w:rPr>
    </w:lvl>
    <w:lvl w:ilvl="5">
      <w:start w:val="1"/>
      <w:numFmt w:val="decimal"/>
      <w:isLgl/>
      <w:lvlText w:val="%1.%2.%3.%4.%5.%6."/>
      <w:lvlJc w:val="left"/>
      <w:pPr>
        <w:ind w:left="3330" w:hanging="1080"/>
      </w:pPr>
      <w:rPr>
        <w:rFonts w:hint="default"/>
        <w:b w:val="0"/>
      </w:rPr>
    </w:lvl>
    <w:lvl w:ilvl="6">
      <w:start w:val="1"/>
      <w:numFmt w:val="decimal"/>
      <w:isLgl/>
      <w:lvlText w:val="%1.%2.%3.%4.%5.%6.%7."/>
      <w:lvlJc w:val="left"/>
      <w:pPr>
        <w:ind w:left="3690" w:hanging="1440"/>
      </w:pPr>
      <w:rPr>
        <w:rFonts w:hint="default"/>
        <w:b w:val="0"/>
      </w:rPr>
    </w:lvl>
    <w:lvl w:ilvl="7">
      <w:start w:val="1"/>
      <w:numFmt w:val="decimal"/>
      <w:isLgl/>
      <w:lvlText w:val="%1.%2.%3.%4.%5.%6.%7.%8."/>
      <w:lvlJc w:val="left"/>
      <w:pPr>
        <w:ind w:left="3690" w:hanging="1440"/>
      </w:pPr>
      <w:rPr>
        <w:rFonts w:hint="default"/>
        <w:b w:val="0"/>
      </w:rPr>
    </w:lvl>
    <w:lvl w:ilvl="8">
      <w:start w:val="1"/>
      <w:numFmt w:val="decimal"/>
      <w:isLgl/>
      <w:lvlText w:val="%1.%2.%3.%4.%5.%6.%7.%8.%9."/>
      <w:lvlJc w:val="left"/>
      <w:pPr>
        <w:ind w:left="4050" w:hanging="1800"/>
      </w:pPr>
      <w:rPr>
        <w:rFonts w:hint="default"/>
        <w:b w:val="0"/>
      </w:rPr>
    </w:lvl>
  </w:abstractNum>
  <w:abstractNum w:abstractNumId="14" w15:restartNumberingAfterBreak="0">
    <w:nsid w:val="2AA947B3"/>
    <w:multiLevelType w:val="hybridMultilevel"/>
    <w:tmpl w:val="B8DC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2442DD"/>
    <w:multiLevelType w:val="multilevel"/>
    <w:tmpl w:val="E5523F4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D39154E"/>
    <w:multiLevelType w:val="hybridMultilevel"/>
    <w:tmpl w:val="0BD07A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CC6A22"/>
    <w:multiLevelType w:val="hybridMultilevel"/>
    <w:tmpl w:val="3EF6AEEA"/>
    <w:lvl w:ilvl="0" w:tplc="04270001">
      <w:start w:val="1"/>
      <w:numFmt w:val="bullet"/>
      <w:lvlText w:val=""/>
      <w:lvlJc w:val="left"/>
      <w:pPr>
        <w:ind w:left="720" w:hanging="360"/>
      </w:pPr>
      <w:rPr>
        <w:rFonts w:ascii="Symbol" w:hAnsi="Symbol" w:hint="default"/>
      </w:rPr>
    </w:lvl>
    <w:lvl w:ilvl="1" w:tplc="CA247200">
      <w:start w:val="2023"/>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9A4BD3"/>
    <w:multiLevelType w:val="multilevel"/>
    <w:tmpl w:val="46D85EF0"/>
    <w:lvl w:ilvl="0">
      <w:start w:val="8"/>
      <w:numFmt w:val="decimal"/>
      <w:lvlText w:val="%1."/>
      <w:lvlJc w:val="left"/>
      <w:pPr>
        <w:ind w:left="360" w:hanging="360"/>
      </w:pPr>
      <w:rPr>
        <w:rFonts w:eastAsia="Calibri" w:hint="default"/>
        <w:b/>
      </w:rPr>
    </w:lvl>
    <w:lvl w:ilvl="1">
      <w:start w:val="5"/>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9" w15:restartNumberingAfterBreak="0">
    <w:nsid w:val="345C5D75"/>
    <w:multiLevelType w:val="hybridMultilevel"/>
    <w:tmpl w:val="48520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2259A"/>
    <w:multiLevelType w:val="hybridMultilevel"/>
    <w:tmpl w:val="CAD863C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464984"/>
    <w:multiLevelType w:val="hybridMultilevel"/>
    <w:tmpl w:val="296A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C606D2"/>
    <w:multiLevelType w:val="hybridMultilevel"/>
    <w:tmpl w:val="CEC039BC"/>
    <w:lvl w:ilvl="0" w:tplc="0B566236">
      <w:start w:val="1"/>
      <w:numFmt w:val="bullet"/>
      <w:lvlText w:val="-"/>
      <w:lvlJc w:val="left"/>
      <w:pPr>
        <w:ind w:left="720" w:hanging="360"/>
      </w:pPr>
      <w:rPr>
        <w:rFonts w:ascii="Verdana" w:hAnsi="Verdan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9095078"/>
    <w:multiLevelType w:val="multilevel"/>
    <w:tmpl w:val="E166AB3C"/>
    <w:lvl w:ilvl="0">
      <w:start w:val="3"/>
      <w:numFmt w:val="decimal"/>
      <w:lvlText w:val="%1."/>
      <w:lvlJc w:val="left"/>
      <w:pPr>
        <w:ind w:left="720" w:hanging="360"/>
      </w:pPr>
      <w:rPr>
        <w:rFonts w:hint="default"/>
        <w:b/>
      </w:rPr>
    </w:lvl>
    <w:lvl w:ilvl="1">
      <w:start w:val="1"/>
      <w:numFmt w:val="decimal"/>
      <w:isLgl/>
      <w:lvlText w:val="%1.%2."/>
      <w:lvlJc w:val="left"/>
      <w:pPr>
        <w:ind w:left="1108" w:hanging="540"/>
      </w:pPr>
      <w:rPr>
        <w:rFonts w:eastAsia="Calibri" w:hint="default"/>
        <w:b w:val="0"/>
      </w:rPr>
    </w:lvl>
    <w:lvl w:ilvl="2">
      <w:start w:val="3"/>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4" w15:restartNumberingAfterBreak="0">
    <w:nsid w:val="39F94C33"/>
    <w:multiLevelType w:val="hybridMultilevel"/>
    <w:tmpl w:val="822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4D19"/>
    <w:multiLevelType w:val="hybridMultilevel"/>
    <w:tmpl w:val="20D4B3F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8B91AC1"/>
    <w:multiLevelType w:val="multilevel"/>
    <w:tmpl w:val="7B4CA08E"/>
    <w:lvl w:ilvl="0">
      <w:start w:val="1"/>
      <w:numFmt w:val="decimal"/>
      <w:lvlText w:val="%1."/>
      <w:lvlJc w:val="left"/>
      <w:pPr>
        <w:ind w:left="5464"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F279B5"/>
    <w:multiLevelType w:val="multilevel"/>
    <w:tmpl w:val="1CD45E4A"/>
    <w:lvl w:ilvl="0">
      <w:start w:val="3"/>
      <w:numFmt w:val="decimal"/>
      <w:lvlText w:val="%1."/>
      <w:lvlJc w:val="left"/>
      <w:pPr>
        <w:ind w:left="2250" w:hanging="360"/>
      </w:pPr>
      <w:rPr>
        <w:rFonts w:hint="default"/>
      </w:rPr>
    </w:lvl>
    <w:lvl w:ilvl="1">
      <w:start w:val="2"/>
      <w:numFmt w:val="decimal"/>
      <w:isLgl/>
      <w:lvlText w:val="%1.%2."/>
      <w:lvlJc w:val="left"/>
      <w:pPr>
        <w:ind w:left="243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330" w:hanging="1440"/>
      </w:pPr>
      <w:rPr>
        <w:rFonts w:hint="default"/>
      </w:rPr>
    </w:lvl>
    <w:lvl w:ilvl="7">
      <w:start w:val="1"/>
      <w:numFmt w:val="decimal"/>
      <w:isLgl/>
      <w:lvlText w:val="%1.%2.%3.%4.%5.%6.%7.%8."/>
      <w:lvlJc w:val="left"/>
      <w:pPr>
        <w:ind w:left="3330" w:hanging="1440"/>
      </w:pPr>
      <w:rPr>
        <w:rFonts w:hint="default"/>
      </w:rPr>
    </w:lvl>
    <w:lvl w:ilvl="8">
      <w:start w:val="1"/>
      <w:numFmt w:val="decimal"/>
      <w:isLgl/>
      <w:lvlText w:val="%1.%2.%3.%4.%5.%6.%7.%8.%9."/>
      <w:lvlJc w:val="left"/>
      <w:pPr>
        <w:ind w:left="3690" w:hanging="1800"/>
      </w:pPr>
      <w:rPr>
        <w:rFonts w:hint="default"/>
      </w:rPr>
    </w:lvl>
  </w:abstractNum>
  <w:abstractNum w:abstractNumId="28" w15:restartNumberingAfterBreak="0">
    <w:nsid w:val="56B521F1"/>
    <w:multiLevelType w:val="hybridMultilevel"/>
    <w:tmpl w:val="A708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A6B05"/>
    <w:multiLevelType w:val="hybridMultilevel"/>
    <w:tmpl w:val="EBCA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B758D5"/>
    <w:multiLevelType w:val="multilevel"/>
    <w:tmpl w:val="7512AAA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93630B7"/>
    <w:multiLevelType w:val="hybridMultilevel"/>
    <w:tmpl w:val="4A145E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434954"/>
    <w:multiLevelType w:val="hybridMultilevel"/>
    <w:tmpl w:val="C51439F0"/>
    <w:lvl w:ilvl="0" w:tplc="D01A293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F812149"/>
    <w:multiLevelType w:val="hybridMultilevel"/>
    <w:tmpl w:val="6888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A4182"/>
    <w:multiLevelType w:val="hybridMultilevel"/>
    <w:tmpl w:val="D4986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77521C"/>
    <w:multiLevelType w:val="hybridMultilevel"/>
    <w:tmpl w:val="94F4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0A65B0"/>
    <w:multiLevelType w:val="hybridMultilevel"/>
    <w:tmpl w:val="6ABA0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4262F7"/>
    <w:multiLevelType w:val="multilevel"/>
    <w:tmpl w:val="EDAEDE0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D83737"/>
    <w:multiLevelType w:val="multilevel"/>
    <w:tmpl w:val="DC089C42"/>
    <w:lvl w:ilvl="0">
      <w:start w:val="8"/>
      <w:numFmt w:val="decimal"/>
      <w:lvlText w:val="%1"/>
      <w:lvlJc w:val="left"/>
      <w:pPr>
        <w:ind w:left="420" w:hanging="420"/>
      </w:pPr>
      <w:rPr>
        <w:rFonts w:eastAsia="Calibri" w:hint="default"/>
      </w:rPr>
    </w:lvl>
    <w:lvl w:ilvl="1">
      <w:start w:val="12"/>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1" w15:restartNumberingAfterBreak="0">
    <w:nsid w:val="7AA676E5"/>
    <w:multiLevelType w:val="multilevel"/>
    <w:tmpl w:val="EFCC00D8"/>
    <w:lvl w:ilvl="0">
      <w:start w:val="8"/>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2" w15:restartNumberingAfterBreak="0">
    <w:nsid w:val="7B2C2154"/>
    <w:multiLevelType w:val="hybridMultilevel"/>
    <w:tmpl w:val="ABEAC75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D8C30C9"/>
    <w:multiLevelType w:val="hybridMultilevel"/>
    <w:tmpl w:val="9C86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5"/>
  </w:num>
  <w:num w:numId="3">
    <w:abstractNumId w:val="34"/>
  </w:num>
  <w:num w:numId="4">
    <w:abstractNumId w:val="36"/>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lvlOverride w:ilvl="2"/>
    <w:lvlOverride w:ilvl="3"/>
    <w:lvlOverride w:ilvl="4"/>
    <w:lvlOverride w:ilvl="5"/>
    <w:lvlOverride w:ilvl="6"/>
    <w:lvlOverride w:ilvl="7"/>
    <w:lvlOverride w:ilvl="8"/>
  </w:num>
  <w:num w:numId="8">
    <w:abstractNumId w:val="22"/>
  </w:num>
  <w:num w:numId="9">
    <w:abstractNumId w:val="23"/>
  </w:num>
  <w:num w:numId="10">
    <w:abstractNumId w:val="8"/>
  </w:num>
  <w:num w:numId="11">
    <w:abstractNumId w:val="3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7"/>
  </w:num>
  <w:num w:numId="15">
    <w:abstractNumId w:val="19"/>
  </w:num>
  <w:num w:numId="16">
    <w:abstractNumId w:val="14"/>
  </w:num>
  <w:num w:numId="17">
    <w:abstractNumId w:val="24"/>
  </w:num>
  <w:num w:numId="18">
    <w:abstractNumId w:val="29"/>
  </w:num>
  <w:num w:numId="19">
    <w:abstractNumId w:val="26"/>
  </w:num>
  <w:num w:numId="20">
    <w:abstractNumId w:val="16"/>
  </w:num>
  <w:num w:numId="21">
    <w:abstractNumId w:val="18"/>
  </w:num>
  <w:num w:numId="22">
    <w:abstractNumId w:val="41"/>
  </w:num>
  <w:num w:numId="23">
    <w:abstractNumId w:val="40"/>
  </w:num>
  <w:num w:numId="24">
    <w:abstractNumId w:val="35"/>
  </w:num>
  <w:num w:numId="25">
    <w:abstractNumId w:val="43"/>
  </w:num>
  <w:num w:numId="26">
    <w:abstractNumId w:val="21"/>
  </w:num>
  <w:num w:numId="27">
    <w:abstractNumId w:val="11"/>
  </w:num>
  <w:num w:numId="28">
    <w:abstractNumId w:val="27"/>
  </w:num>
  <w:num w:numId="29">
    <w:abstractNumId w:val="38"/>
  </w:num>
  <w:num w:numId="30">
    <w:abstractNumId w:val="7"/>
  </w:num>
  <w:num w:numId="31">
    <w:abstractNumId w:val="20"/>
  </w:num>
  <w:num w:numId="32">
    <w:abstractNumId w:val="25"/>
  </w:num>
  <w:num w:numId="33">
    <w:abstractNumId w:val="13"/>
  </w:num>
  <w:num w:numId="34">
    <w:abstractNumId w:val="12"/>
  </w:num>
  <w:num w:numId="35">
    <w:abstractNumId w:val="42"/>
  </w:num>
  <w:num w:numId="36">
    <w:abstractNumId w:val="32"/>
  </w:num>
  <w:num w:numId="37">
    <w:abstractNumId w:val="6"/>
  </w:num>
  <w:num w:numId="38">
    <w:abstractNumId w:val="4"/>
  </w:num>
  <w:num w:numId="39">
    <w:abstractNumId w:val="28"/>
  </w:num>
  <w:num w:numId="40">
    <w:abstractNumId w:val="30"/>
  </w:num>
  <w:num w:numId="41">
    <w:abstractNumId w:val="17"/>
  </w:num>
  <w:num w:numId="42">
    <w:abstractNumId w:val="0"/>
  </w:num>
  <w:num w:numId="43">
    <w:abstractNumId w:val="1"/>
  </w:num>
  <w:num w:numId="44">
    <w:abstractNumId w:val="3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60E7"/>
    <w:rsid w:val="0007692D"/>
    <w:rsid w:val="000810B4"/>
    <w:rsid w:val="00081861"/>
    <w:rsid w:val="00085201"/>
    <w:rsid w:val="00085219"/>
    <w:rsid w:val="00085968"/>
    <w:rsid w:val="00085CD2"/>
    <w:rsid w:val="00090732"/>
    <w:rsid w:val="00092783"/>
    <w:rsid w:val="000C2EF7"/>
    <w:rsid w:val="000C3C8E"/>
    <w:rsid w:val="000D08D0"/>
    <w:rsid w:val="000D0CFD"/>
    <w:rsid w:val="000D1313"/>
    <w:rsid w:val="000E29A0"/>
    <w:rsid w:val="000E60FA"/>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579EA"/>
    <w:rsid w:val="001608D7"/>
    <w:rsid w:val="00161C3F"/>
    <w:rsid w:val="00161EAC"/>
    <w:rsid w:val="00164811"/>
    <w:rsid w:val="00164D40"/>
    <w:rsid w:val="00170B08"/>
    <w:rsid w:val="00170D3B"/>
    <w:rsid w:val="001768C8"/>
    <w:rsid w:val="00180313"/>
    <w:rsid w:val="00182221"/>
    <w:rsid w:val="00184A4C"/>
    <w:rsid w:val="001956A6"/>
    <w:rsid w:val="001968E9"/>
    <w:rsid w:val="001978B8"/>
    <w:rsid w:val="001A3760"/>
    <w:rsid w:val="001A4291"/>
    <w:rsid w:val="001A7B7D"/>
    <w:rsid w:val="001B14A6"/>
    <w:rsid w:val="001B1E97"/>
    <w:rsid w:val="001C1A9E"/>
    <w:rsid w:val="001C39A9"/>
    <w:rsid w:val="001C4405"/>
    <w:rsid w:val="001C756B"/>
    <w:rsid w:val="001D29C1"/>
    <w:rsid w:val="001D52B7"/>
    <w:rsid w:val="001E2C99"/>
    <w:rsid w:val="001E2FB7"/>
    <w:rsid w:val="001E45CA"/>
    <w:rsid w:val="001E58A3"/>
    <w:rsid w:val="002035B2"/>
    <w:rsid w:val="00207DD3"/>
    <w:rsid w:val="00211220"/>
    <w:rsid w:val="0021235C"/>
    <w:rsid w:val="002127B9"/>
    <w:rsid w:val="00215952"/>
    <w:rsid w:val="002166BE"/>
    <w:rsid w:val="00216B9D"/>
    <w:rsid w:val="00217A4F"/>
    <w:rsid w:val="0022491F"/>
    <w:rsid w:val="00230596"/>
    <w:rsid w:val="002340B5"/>
    <w:rsid w:val="00240DE2"/>
    <w:rsid w:val="00245BE0"/>
    <w:rsid w:val="00246F7A"/>
    <w:rsid w:val="0025011F"/>
    <w:rsid w:val="00251E19"/>
    <w:rsid w:val="002530CF"/>
    <w:rsid w:val="00254ADF"/>
    <w:rsid w:val="00256250"/>
    <w:rsid w:val="00256B01"/>
    <w:rsid w:val="002577C7"/>
    <w:rsid w:val="00262E1F"/>
    <w:rsid w:val="00266459"/>
    <w:rsid w:val="00274A99"/>
    <w:rsid w:val="002761F1"/>
    <w:rsid w:val="00280798"/>
    <w:rsid w:val="0029153B"/>
    <w:rsid w:val="002915DC"/>
    <w:rsid w:val="00296DD7"/>
    <w:rsid w:val="002976AB"/>
    <w:rsid w:val="002A0421"/>
    <w:rsid w:val="002A177A"/>
    <w:rsid w:val="002A7B79"/>
    <w:rsid w:val="002B0141"/>
    <w:rsid w:val="002B601C"/>
    <w:rsid w:val="002B6A7C"/>
    <w:rsid w:val="002B7628"/>
    <w:rsid w:val="002C5032"/>
    <w:rsid w:val="002D54CF"/>
    <w:rsid w:val="002E0CFE"/>
    <w:rsid w:val="002E158A"/>
    <w:rsid w:val="002E192F"/>
    <w:rsid w:val="002E2C5C"/>
    <w:rsid w:val="002F6AC9"/>
    <w:rsid w:val="002F7051"/>
    <w:rsid w:val="002F7A63"/>
    <w:rsid w:val="00301C58"/>
    <w:rsid w:val="003106F9"/>
    <w:rsid w:val="00314E97"/>
    <w:rsid w:val="003230E2"/>
    <w:rsid w:val="00324E5A"/>
    <w:rsid w:val="00324EE5"/>
    <w:rsid w:val="003315AD"/>
    <w:rsid w:val="00331966"/>
    <w:rsid w:val="003341DB"/>
    <w:rsid w:val="0033753D"/>
    <w:rsid w:val="00350ADC"/>
    <w:rsid w:val="003511D6"/>
    <w:rsid w:val="00354A22"/>
    <w:rsid w:val="00356308"/>
    <w:rsid w:val="00364D48"/>
    <w:rsid w:val="003672FE"/>
    <w:rsid w:val="00372210"/>
    <w:rsid w:val="00374793"/>
    <w:rsid w:val="0037682E"/>
    <w:rsid w:val="00386B69"/>
    <w:rsid w:val="00390740"/>
    <w:rsid w:val="00392BDF"/>
    <w:rsid w:val="00395ABF"/>
    <w:rsid w:val="003965A1"/>
    <w:rsid w:val="003A0C1D"/>
    <w:rsid w:val="003A259B"/>
    <w:rsid w:val="003A7B63"/>
    <w:rsid w:val="003B34EE"/>
    <w:rsid w:val="003B64FD"/>
    <w:rsid w:val="003C2FF9"/>
    <w:rsid w:val="003C77CA"/>
    <w:rsid w:val="003D14A2"/>
    <w:rsid w:val="003E04CF"/>
    <w:rsid w:val="003E14F0"/>
    <w:rsid w:val="003E26A7"/>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35A0"/>
    <w:rsid w:val="0046409F"/>
    <w:rsid w:val="00465C11"/>
    <w:rsid w:val="00474178"/>
    <w:rsid w:val="00476864"/>
    <w:rsid w:val="00481AA6"/>
    <w:rsid w:val="004825EB"/>
    <w:rsid w:val="004876D3"/>
    <w:rsid w:val="00493A30"/>
    <w:rsid w:val="004A1813"/>
    <w:rsid w:val="004A79F8"/>
    <w:rsid w:val="004B08E7"/>
    <w:rsid w:val="004B74C4"/>
    <w:rsid w:val="004C18B5"/>
    <w:rsid w:val="004D39DC"/>
    <w:rsid w:val="004D5396"/>
    <w:rsid w:val="004D6B00"/>
    <w:rsid w:val="004D7B28"/>
    <w:rsid w:val="004E1D41"/>
    <w:rsid w:val="004E31A6"/>
    <w:rsid w:val="004E367C"/>
    <w:rsid w:val="004E5661"/>
    <w:rsid w:val="004F0014"/>
    <w:rsid w:val="004F4928"/>
    <w:rsid w:val="004F672E"/>
    <w:rsid w:val="004F7C00"/>
    <w:rsid w:val="005033EE"/>
    <w:rsid w:val="00503F8D"/>
    <w:rsid w:val="00505177"/>
    <w:rsid w:val="005061C4"/>
    <w:rsid w:val="005113CB"/>
    <w:rsid w:val="0051309D"/>
    <w:rsid w:val="00513960"/>
    <w:rsid w:val="00515FB4"/>
    <w:rsid w:val="00516509"/>
    <w:rsid w:val="00531948"/>
    <w:rsid w:val="00542ABC"/>
    <w:rsid w:val="00543EA4"/>
    <w:rsid w:val="00550E07"/>
    <w:rsid w:val="00550EC2"/>
    <w:rsid w:val="00553C7F"/>
    <w:rsid w:val="005565B3"/>
    <w:rsid w:val="00560810"/>
    <w:rsid w:val="00562B76"/>
    <w:rsid w:val="005656ED"/>
    <w:rsid w:val="00572BE8"/>
    <w:rsid w:val="005764B3"/>
    <w:rsid w:val="005828D0"/>
    <w:rsid w:val="005920C6"/>
    <w:rsid w:val="005A167F"/>
    <w:rsid w:val="005A1C01"/>
    <w:rsid w:val="005B4B99"/>
    <w:rsid w:val="005B5E33"/>
    <w:rsid w:val="005C2463"/>
    <w:rsid w:val="005C29A5"/>
    <w:rsid w:val="005C325F"/>
    <w:rsid w:val="005D029C"/>
    <w:rsid w:val="005D5E6A"/>
    <w:rsid w:val="005E606E"/>
    <w:rsid w:val="005E627E"/>
    <w:rsid w:val="005E72B1"/>
    <w:rsid w:val="005F19EC"/>
    <w:rsid w:val="005F5F76"/>
    <w:rsid w:val="005F66BA"/>
    <w:rsid w:val="006035C7"/>
    <w:rsid w:val="00603D2E"/>
    <w:rsid w:val="00605AD6"/>
    <w:rsid w:val="006103E1"/>
    <w:rsid w:val="0061234B"/>
    <w:rsid w:val="00615ED2"/>
    <w:rsid w:val="006179F7"/>
    <w:rsid w:val="006179FB"/>
    <w:rsid w:val="00622D50"/>
    <w:rsid w:val="00623015"/>
    <w:rsid w:val="006241CF"/>
    <w:rsid w:val="006363ED"/>
    <w:rsid w:val="006425E5"/>
    <w:rsid w:val="00642FD5"/>
    <w:rsid w:val="00643742"/>
    <w:rsid w:val="00647E19"/>
    <w:rsid w:val="00654BC4"/>
    <w:rsid w:val="00656B7D"/>
    <w:rsid w:val="006578B3"/>
    <w:rsid w:val="006644F0"/>
    <w:rsid w:val="0066705E"/>
    <w:rsid w:val="006761B4"/>
    <w:rsid w:val="006778CB"/>
    <w:rsid w:val="00677CFB"/>
    <w:rsid w:val="0068785C"/>
    <w:rsid w:val="00687E0C"/>
    <w:rsid w:val="00690634"/>
    <w:rsid w:val="0069102E"/>
    <w:rsid w:val="00695321"/>
    <w:rsid w:val="006B3F6B"/>
    <w:rsid w:val="006B4C3C"/>
    <w:rsid w:val="006B57C4"/>
    <w:rsid w:val="006C1154"/>
    <w:rsid w:val="006C7A00"/>
    <w:rsid w:val="006D32E2"/>
    <w:rsid w:val="006E7E9C"/>
    <w:rsid w:val="00704F63"/>
    <w:rsid w:val="007057FE"/>
    <w:rsid w:val="00717B8D"/>
    <w:rsid w:val="00720B51"/>
    <w:rsid w:val="00726CD6"/>
    <w:rsid w:val="007404F0"/>
    <w:rsid w:val="0074128E"/>
    <w:rsid w:val="00743A91"/>
    <w:rsid w:val="00751D78"/>
    <w:rsid w:val="00756B4F"/>
    <w:rsid w:val="00761264"/>
    <w:rsid w:val="00763913"/>
    <w:rsid w:val="00764763"/>
    <w:rsid w:val="007648E2"/>
    <w:rsid w:val="007649CE"/>
    <w:rsid w:val="007653DE"/>
    <w:rsid w:val="00771A25"/>
    <w:rsid w:val="0077218D"/>
    <w:rsid w:val="00775E3A"/>
    <w:rsid w:val="0079345C"/>
    <w:rsid w:val="007936E4"/>
    <w:rsid w:val="00794DD2"/>
    <w:rsid w:val="00796BED"/>
    <w:rsid w:val="007A29B2"/>
    <w:rsid w:val="007A2C84"/>
    <w:rsid w:val="007A7C7C"/>
    <w:rsid w:val="007B1CB8"/>
    <w:rsid w:val="007B421F"/>
    <w:rsid w:val="007B6244"/>
    <w:rsid w:val="007B667E"/>
    <w:rsid w:val="007B66DB"/>
    <w:rsid w:val="007B6B43"/>
    <w:rsid w:val="007C0AFD"/>
    <w:rsid w:val="007C6ED7"/>
    <w:rsid w:val="007C738A"/>
    <w:rsid w:val="007D0D5D"/>
    <w:rsid w:val="007D28EB"/>
    <w:rsid w:val="007E0EE7"/>
    <w:rsid w:val="007E58F0"/>
    <w:rsid w:val="007F3FDA"/>
    <w:rsid w:val="007F723F"/>
    <w:rsid w:val="008007EA"/>
    <w:rsid w:val="00803CFE"/>
    <w:rsid w:val="008046F2"/>
    <w:rsid w:val="008051A9"/>
    <w:rsid w:val="00813FBA"/>
    <w:rsid w:val="00817D4E"/>
    <w:rsid w:val="00817E7F"/>
    <w:rsid w:val="00820F7D"/>
    <w:rsid w:val="00824FD9"/>
    <w:rsid w:val="00827AA3"/>
    <w:rsid w:val="00827F97"/>
    <w:rsid w:val="00832A48"/>
    <w:rsid w:val="00835DCA"/>
    <w:rsid w:val="00837D2A"/>
    <w:rsid w:val="0084509B"/>
    <w:rsid w:val="008466E7"/>
    <w:rsid w:val="00847DF7"/>
    <w:rsid w:val="008548CF"/>
    <w:rsid w:val="008567BF"/>
    <w:rsid w:val="00856976"/>
    <w:rsid w:val="00857575"/>
    <w:rsid w:val="008576F2"/>
    <w:rsid w:val="00860F29"/>
    <w:rsid w:val="008743D0"/>
    <w:rsid w:val="00875FFE"/>
    <w:rsid w:val="00880BB5"/>
    <w:rsid w:val="00882525"/>
    <w:rsid w:val="00886962"/>
    <w:rsid w:val="008869C5"/>
    <w:rsid w:val="00893E50"/>
    <w:rsid w:val="00894413"/>
    <w:rsid w:val="008A1F9D"/>
    <w:rsid w:val="008A2864"/>
    <w:rsid w:val="008B25CA"/>
    <w:rsid w:val="008B6661"/>
    <w:rsid w:val="008B677C"/>
    <w:rsid w:val="008C0C0A"/>
    <w:rsid w:val="008C6D2F"/>
    <w:rsid w:val="008C7438"/>
    <w:rsid w:val="008D1081"/>
    <w:rsid w:val="008D2668"/>
    <w:rsid w:val="008D2997"/>
    <w:rsid w:val="008D634E"/>
    <w:rsid w:val="008E117F"/>
    <w:rsid w:val="008E30AE"/>
    <w:rsid w:val="008E4F1B"/>
    <w:rsid w:val="008F2C73"/>
    <w:rsid w:val="008F30C9"/>
    <w:rsid w:val="008F3933"/>
    <w:rsid w:val="008F3B0A"/>
    <w:rsid w:val="008F694D"/>
    <w:rsid w:val="00902A94"/>
    <w:rsid w:val="009116C2"/>
    <w:rsid w:val="00911DDC"/>
    <w:rsid w:val="00911EE3"/>
    <w:rsid w:val="00914129"/>
    <w:rsid w:val="00921672"/>
    <w:rsid w:val="00923A29"/>
    <w:rsid w:val="00923EE3"/>
    <w:rsid w:val="00924461"/>
    <w:rsid w:val="009247F1"/>
    <w:rsid w:val="00930586"/>
    <w:rsid w:val="00945821"/>
    <w:rsid w:val="009479F2"/>
    <w:rsid w:val="00953DB6"/>
    <w:rsid w:val="00955E11"/>
    <w:rsid w:val="009617FC"/>
    <w:rsid w:val="00961A1A"/>
    <w:rsid w:val="00961C75"/>
    <w:rsid w:val="00965008"/>
    <w:rsid w:val="009650AD"/>
    <w:rsid w:val="009671C1"/>
    <w:rsid w:val="00971626"/>
    <w:rsid w:val="00976AA4"/>
    <w:rsid w:val="00977A8D"/>
    <w:rsid w:val="009845AC"/>
    <w:rsid w:val="00990D9C"/>
    <w:rsid w:val="00994A62"/>
    <w:rsid w:val="009956BF"/>
    <w:rsid w:val="009974E2"/>
    <w:rsid w:val="009A17C5"/>
    <w:rsid w:val="009A27D5"/>
    <w:rsid w:val="009B0A4F"/>
    <w:rsid w:val="009B1640"/>
    <w:rsid w:val="009B4B0D"/>
    <w:rsid w:val="009B4FD4"/>
    <w:rsid w:val="009B50F0"/>
    <w:rsid w:val="009C2878"/>
    <w:rsid w:val="009C4586"/>
    <w:rsid w:val="009C5E4A"/>
    <w:rsid w:val="009D270B"/>
    <w:rsid w:val="009D7713"/>
    <w:rsid w:val="009D7D63"/>
    <w:rsid w:val="009E1DE7"/>
    <w:rsid w:val="009E5C55"/>
    <w:rsid w:val="009F1E59"/>
    <w:rsid w:val="009F2518"/>
    <w:rsid w:val="00A00364"/>
    <w:rsid w:val="00A07057"/>
    <w:rsid w:val="00A109EC"/>
    <w:rsid w:val="00A12D20"/>
    <w:rsid w:val="00A170FF"/>
    <w:rsid w:val="00A179BF"/>
    <w:rsid w:val="00A307D6"/>
    <w:rsid w:val="00A374B7"/>
    <w:rsid w:val="00A418A3"/>
    <w:rsid w:val="00A46006"/>
    <w:rsid w:val="00A46EFB"/>
    <w:rsid w:val="00A47B36"/>
    <w:rsid w:val="00A53097"/>
    <w:rsid w:val="00A567E1"/>
    <w:rsid w:val="00A5680A"/>
    <w:rsid w:val="00A63B00"/>
    <w:rsid w:val="00A64A50"/>
    <w:rsid w:val="00A663AD"/>
    <w:rsid w:val="00A745FB"/>
    <w:rsid w:val="00A77A6E"/>
    <w:rsid w:val="00A84F67"/>
    <w:rsid w:val="00A85070"/>
    <w:rsid w:val="00A85B88"/>
    <w:rsid w:val="00A87C53"/>
    <w:rsid w:val="00A90953"/>
    <w:rsid w:val="00A90D21"/>
    <w:rsid w:val="00A9208F"/>
    <w:rsid w:val="00A972C2"/>
    <w:rsid w:val="00AA6705"/>
    <w:rsid w:val="00AB08F9"/>
    <w:rsid w:val="00AB39FF"/>
    <w:rsid w:val="00AB4BB5"/>
    <w:rsid w:val="00AB5FFB"/>
    <w:rsid w:val="00AC7FAF"/>
    <w:rsid w:val="00AD36EF"/>
    <w:rsid w:val="00AD3C1D"/>
    <w:rsid w:val="00AD5C52"/>
    <w:rsid w:val="00AD7FA9"/>
    <w:rsid w:val="00AE4A7D"/>
    <w:rsid w:val="00AF32A7"/>
    <w:rsid w:val="00AF6247"/>
    <w:rsid w:val="00B019FD"/>
    <w:rsid w:val="00B041F9"/>
    <w:rsid w:val="00B06782"/>
    <w:rsid w:val="00B07DF8"/>
    <w:rsid w:val="00B07F8F"/>
    <w:rsid w:val="00B12138"/>
    <w:rsid w:val="00B2260B"/>
    <w:rsid w:val="00B32241"/>
    <w:rsid w:val="00B342D8"/>
    <w:rsid w:val="00B41D7D"/>
    <w:rsid w:val="00B427B1"/>
    <w:rsid w:val="00B5367F"/>
    <w:rsid w:val="00B54971"/>
    <w:rsid w:val="00B5511A"/>
    <w:rsid w:val="00B704A3"/>
    <w:rsid w:val="00B9181F"/>
    <w:rsid w:val="00B97F60"/>
    <w:rsid w:val="00BA3959"/>
    <w:rsid w:val="00BA4756"/>
    <w:rsid w:val="00BA6671"/>
    <w:rsid w:val="00BA66CE"/>
    <w:rsid w:val="00BB4449"/>
    <w:rsid w:val="00BB485F"/>
    <w:rsid w:val="00BB5776"/>
    <w:rsid w:val="00BB5EA8"/>
    <w:rsid w:val="00BB7253"/>
    <w:rsid w:val="00BC24AF"/>
    <w:rsid w:val="00BC289E"/>
    <w:rsid w:val="00BC6383"/>
    <w:rsid w:val="00BC7840"/>
    <w:rsid w:val="00BD02C3"/>
    <w:rsid w:val="00BD0C86"/>
    <w:rsid w:val="00BD5856"/>
    <w:rsid w:val="00BD6350"/>
    <w:rsid w:val="00BD6CFD"/>
    <w:rsid w:val="00BE16AC"/>
    <w:rsid w:val="00BE2AC2"/>
    <w:rsid w:val="00BE3144"/>
    <w:rsid w:val="00BE5FA9"/>
    <w:rsid w:val="00BE6357"/>
    <w:rsid w:val="00BE6F53"/>
    <w:rsid w:val="00BE797F"/>
    <w:rsid w:val="00BF7E2D"/>
    <w:rsid w:val="00C011C7"/>
    <w:rsid w:val="00C06AEE"/>
    <w:rsid w:val="00C06D39"/>
    <w:rsid w:val="00C10DE4"/>
    <w:rsid w:val="00C12B7E"/>
    <w:rsid w:val="00C13092"/>
    <w:rsid w:val="00C17187"/>
    <w:rsid w:val="00C20C89"/>
    <w:rsid w:val="00C231FA"/>
    <w:rsid w:val="00C24169"/>
    <w:rsid w:val="00C24272"/>
    <w:rsid w:val="00C3591A"/>
    <w:rsid w:val="00C43123"/>
    <w:rsid w:val="00C44F18"/>
    <w:rsid w:val="00C54FC5"/>
    <w:rsid w:val="00C551B6"/>
    <w:rsid w:val="00C57282"/>
    <w:rsid w:val="00C57775"/>
    <w:rsid w:val="00C57B4B"/>
    <w:rsid w:val="00C6015A"/>
    <w:rsid w:val="00C61937"/>
    <w:rsid w:val="00C708D3"/>
    <w:rsid w:val="00C72AA5"/>
    <w:rsid w:val="00C759E7"/>
    <w:rsid w:val="00C8379A"/>
    <w:rsid w:val="00C848FF"/>
    <w:rsid w:val="00C87F0F"/>
    <w:rsid w:val="00C90106"/>
    <w:rsid w:val="00C979AE"/>
    <w:rsid w:val="00CA0391"/>
    <w:rsid w:val="00CA6A55"/>
    <w:rsid w:val="00CC559A"/>
    <w:rsid w:val="00CC7120"/>
    <w:rsid w:val="00CC766E"/>
    <w:rsid w:val="00CD73D7"/>
    <w:rsid w:val="00CE3FF1"/>
    <w:rsid w:val="00CF25C0"/>
    <w:rsid w:val="00CF3387"/>
    <w:rsid w:val="00CF3A43"/>
    <w:rsid w:val="00CF44BB"/>
    <w:rsid w:val="00D00FDC"/>
    <w:rsid w:val="00D03519"/>
    <w:rsid w:val="00D14114"/>
    <w:rsid w:val="00D14F83"/>
    <w:rsid w:val="00D16644"/>
    <w:rsid w:val="00D16B17"/>
    <w:rsid w:val="00D20519"/>
    <w:rsid w:val="00D219FA"/>
    <w:rsid w:val="00D2213B"/>
    <w:rsid w:val="00D22855"/>
    <w:rsid w:val="00D300F0"/>
    <w:rsid w:val="00D32DD6"/>
    <w:rsid w:val="00D34651"/>
    <w:rsid w:val="00D349BF"/>
    <w:rsid w:val="00D34CA8"/>
    <w:rsid w:val="00D35A56"/>
    <w:rsid w:val="00D37D1B"/>
    <w:rsid w:val="00D40A49"/>
    <w:rsid w:val="00D41FD9"/>
    <w:rsid w:val="00D451A7"/>
    <w:rsid w:val="00D53F1A"/>
    <w:rsid w:val="00D632AB"/>
    <w:rsid w:val="00D64D72"/>
    <w:rsid w:val="00D64D8B"/>
    <w:rsid w:val="00D66A8C"/>
    <w:rsid w:val="00D721FD"/>
    <w:rsid w:val="00D74486"/>
    <w:rsid w:val="00D7765A"/>
    <w:rsid w:val="00D86795"/>
    <w:rsid w:val="00D87ADF"/>
    <w:rsid w:val="00D97659"/>
    <w:rsid w:val="00DA2A98"/>
    <w:rsid w:val="00DA3CC9"/>
    <w:rsid w:val="00DA3F35"/>
    <w:rsid w:val="00DB0AE3"/>
    <w:rsid w:val="00DB1288"/>
    <w:rsid w:val="00DB2386"/>
    <w:rsid w:val="00DB25C9"/>
    <w:rsid w:val="00DB6CFE"/>
    <w:rsid w:val="00DC3DC5"/>
    <w:rsid w:val="00DC4026"/>
    <w:rsid w:val="00DC71E5"/>
    <w:rsid w:val="00DD13EF"/>
    <w:rsid w:val="00DD19CA"/>
    <w:rsid w:val="00DD35CB"/>
    <w:rsid w:val="00DD48CB"/>
    <w:rsid w:val="00DD5EDE"/>
    <w:rsid w:val="00DD7B50"/>
    <w:rsid w:val="00DE080E"/>
    <w:rsid w:val="00DE12A5"/>
    <w:rsid w:val="00DE41CF"/>
    <w:rsid w:val="00DE6679"/>
    <w:rsid w:val="00DE7356"/>
    <w:rsid w:val="00DF052B"/>
    <w:rsid w:val="00DF1FD7"/>
    <w:rsid w:val="00DF317C"/>
    <w:rsid w:val="00DF5C90"/>
    <w:rsid w:val="00E02B41"/>
    <w:rsid w:val="00E031D3"/>
    <w:rsid w:val="00E0683B"/>
    <w:rsid w:val="00E07BD7"/>
    <w:rsid w:val="00E119DB"/>
    <w:rsid w:val="00E2047B"/>
    <w:rsid w:val="00E20E5C"/>
    <w:rsid w:val="00E272B2"/>
    <w:rsid w:val="00E32F82"/>
    <w:rsid w:val="00E36032"/>
    <w:rsid w:val="00E451C4"/>
    <w:rsid w:val="00E45F66"/>
    <w:rsid w:val="00E6390D"/>
    <w:rsid w:val="00E65793"/>
    <w:rsid w:val="00E662FF"/>
    <w:rsid w:val="00E70C4B"/>
    <w:rsid w:val="00E72321"/>
    <w:rsid w:val="00E762D3"/>
    <w:rsid w:val="00E8116B"/>
    <w:rsid w:val="00E86C82"/>
    <w:rsid w:val="00EA1B44"/>
    <w:rsid w:val="00EB01C5"/>
    <w:rsid w:val="00EB452D"/>
    <w:rsid w:val="00EB76D5"/>
    <w:rsid w:val="00EC508C"/>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CB7"/>
    <w:rsid w:val="00F3053F"/>
    <w:rsid w:val="00F30929"/>
    <w:rsid w:val="00F3211C"/>
    <w:rsid w:val="00F364CE"/>
    <w:rsid w:val="00F3762D"/>
    <w:rsid w:val="00F43FE1"/>
    <w:rsid w:val="00F4417E"/>
    <w:rsid w:val="00F534B9"/>
    <w:rsid w:val="00F647DB"/>
    <w:rsid w:val="00F6527D"/>
    <w:rsid w:val="00F65840"/>
    <w:rsid w:val="00F66872"/>
    <w:rsid w:val="00F71B2D"/>
    <w:rsid w:val="00F7463F"/>
    <w:rsid w:val="00F7497D"/>
    <w:rsid w:val="00F7593F"/>
    <w:rsid w:val="00F80E77"/>
    <w:rsid w:val="00F80F86"/>
    <w:rsid w:val="00F829B1"/>
    <w:rsid w:val="00F82A53"/>
    <w:rsid w:val="00F84B82"/>
    <w:rsid w:val="00F91255"/>
    <w:rsid w:val="00F917A5"/>
    <w:rsid w:val="00F96C38"/>
    <w:rsid w:val="00FA0609"/>
    <w:rsid w:val="00FA1B0D"/>
    <w:rsid w:val="00FA214E"/>
    <w:rsid w:val="00FA26A4"/>
    <w:rsid w:val="00FA5A24"/>
    <w:rsid w:val="00FA6927"/>
    <w:rsid w:val="00FA7243"/>
    <w:rsid w:val="00FB618A"/>
    <w:rsid w:val="00FC684D"/>
    <w:rsid w:val="00FD1114"/>
    <w:rsid w:val="00FD1637"/>
    <w:rsid w:val="00FD7FDF"/>
    <w:rsid w:val="00FE218A"/>
    <w:rsid w:val="00FE2630"/>
    <w:rsid w:val="00FE30C6"/>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D494C1"/>
  <w15:chartTrackingRefBased/>
  <w15:docId w15:val="{F5CF5FCB-4330-4DC7-855A-E7461C88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qFormat/>
    <w:rsid w:val="00DD48CB"/>
    <w:pPr>
      <w:keepNext/>
      <w:tabs>
        <w:tab w:val="num" w:pos="7230"/>
      </w:tabs>
      <w:suppressAutoHyphens/>
      <w:spacing w:before="360" w:after="360"/>
      <w:ind w:left="8382" w:hanging="432"/>
      <w:jc w:val="center"/>
      <w:outlineLvl w:val="0"/>
    </w:pPr>
    <w:rPr>
      <w:sz w:val="28"/>
      <w:szCs w:val="22"/>
      <w:lang w:eastAsia="ar-SA"/>
    </w:rPr>
  </w:style>
  <w:style w:type="paragraph" w:styleId="Heading2">
    <w:name w:val="heading 2"/>
    <w:aliases w:val="Title Header2"/>
    <w:basedOn w:val="Normal"/>
    <w:next w:val="Normal"/>
    <w:link w:val="Heading2Char"/>
    <w:qFormat/>
    <w:rsid w:val="006644F0"/>
    <w:pPr>
      <w:keepNext/>
      <w:widowControl w:val="0"/>
      <w:autoSpaceDE w:val="0"/>
      <w:autoSpaceDN w:val="0"/>
      <w:adjustRightInd w:val="0"/>
      <w:jc w:val="both"/>
      <w:outlineLvl w:val="1"/>
    </w:pPr>
    <w:rPr>
      <w:b/>
      <w:szCs w:val="20"/>
      <w:lang w:eastAsia="en-US"/>
    </w:rPr>
  </w:style>
  <w:style w:type="paragraph" w:styleId="Heading3">
    <w:name w:val="heading 3"/>
    <w:aliases w:val="Section Header3,Sub-Clause Paragraph"/>
    <w:basedOn w:val="Normal"/>
    <w:next w:val="Normal"/>
    <w:link w:val="Heading3Char"/>
    <w:semiHidden/>
    <w:unhideWhenUsed/>
    <w:qFormat/>
    <w:rsid w:val="00DD48CB"/>
    <w:pPr>
      <w:keepNext/>
      <w:tabs>
        <w:tab w:val="num" w:pos="7230"/>
      </w:tabs>
      <w:suppressAutoHyphens/>
      <w:ind w:left="7524" w:firstLine="720"/>
      <w:jc w:val="both"/>
      <w:outlineLvl w:val="2"/>
    </w:pPr>
    <w:rPr>
      <w:szCs w:val="20"/>
      <w:lang w:eastAsia="ar-SA"/>
    </w:rPr>
  </w:style>
  <w:style w:type="paragraph" w:styleId="Heading4">
    <w:name w:val="heading 4"/>
    <w:aliases w:val="Heading 4 Char Char Char Char,Heading 4 Char Char Char Char Char,Sub-Clause Sub-paragraph"/>
    <w:basedOn w:val="Normal"/>
    <w:next w:val="Normal"/>
    <w:link w:val="Heading4Char"/>
    <w:semiHidden/>
    <w:unhideWhenUsed/>
    <w:qFormat/>
    <w:rsid w:val="00DD48CB"/>
    <w:pPr>
      <w:keepNext/>
      <w:tabs>
        <w:tab w:val="num" w:pos="8814"/>
      </w:tabs>
      <w:suppressAutoHyphens/>
      <w:ind w:left="8814" w:hanging="864"/>
      <w:outlineLvl w:val="3"/>
    </w:pPr>
    <w:rPr>
      <w:sz w:val="44"/>
      <w:szCs w:val="20"/>
      <w:lang w:eastAsia="ar-SA"/>
    </w:rPr>
  </w:style>
  <w:style w:type="paragraph" w:styleId="Heading5">
    <w:name w:val="heading 5"/>
    <w:basedOn w:val="Normal"/>
    <w:next w:val="Normal"/>
    <w:link w:val="Heading5Char"/>
    <w:semiHidden/>
    <w:unhideWhenUsed/>
    <w:qFormat/>
    <w:rsid w:val="00DD48CB"/>
    <w:pPr>
      <w:keepNext/>
      <w:tabs>
        <w:tab w:val="num" w:pos="8958"/>
      </w:tabs>
      <w:suppressAutoHyphens/>
      <w:ind w:left="8958" w:hanging="1008"/>
      <w:outlineLvl w:val="4"/>
    </w:pPr>
    <w:rPr>
      <w:b/>
      <w:sz w:val="40"/>
      <w:szCs w:val="20"/>
      <w:lang w:eastAsia="ar-SA"/>
    </w:rPr>
  </w:style>
  <w:style w:type="paragraph" w:styleId="Heading6">
    <w:name w:val="heading 6"/>
    <w:basedOn w:val="Normal"/>
    <w:next w:val="Normal"/>
    <w:link w:val="Heading6Char"/>
    <w:semiHidden/>
    <w:unhideWhenUsed/>
    <w:qFormat/>
    <w:rsid w:val="00DD48CB"/>
    <w:pPr>
      <w:keepNext/>
      <w:tabs>
        <w:tab w:val="num" w:pos="9102"/>
      </w:tabs>
      <w:suppressAutoHyphens/>
      <w:ind w:left="9102" w:hanging="1152"/>
      <w:outlineLvl w:val="5"/>
    </w:pPr>
    <w:rPr>
      <w:b/>
      <w:sz w:val="36"/>
      <w:szCs w:val="20"/>
      <w:lang w:eastAsia="ar-SA"/>
    </w:rPr>
  </w:style>
  <w:style w:type="paragraph" w:styleId="Heading7">
    <w:name w:val="heading 7"/>
    <w:basedOn w:val="Normal"/>
    <w:next w:val="Normal"/>
    <w:link w:val="Heading7Char"/>
    <w:semiHidden/>
    <w:unhideWhenUsed/>
    <w:qFormat/>
    <w:rsid w:val="00DD48CB"/>
    <w:pPr>
      <w:keepNext/>
      <w:tabs>
        <w:tab w:val="num" w:pos="9246"/>
      </w:tabs>
      <w:suppressAutoHyphens/>
      <w:ind w:left="9246" w:hanging="1296"/>
      <w:outlineLvl w:val="6"/>
    </w:pPr>
    <w:rPr>
      <w:sz w:val="48"/>
      <w:szCs w:val="20"/>
      <w:lang w:eastAsia="ar-SA"/>
    </w:rPr>
  </w:style>
  <w:style w:type="paragraph" w:styleId="Heading8">
    <w:name w:val="heading 8"/>
    <w:basedOn w:val="Normal"/>
    <w:next w:val="Normal"/>
    <w:link w:val="Heading8Char"/>
    <w:semiHidden/>
    <w:unhideWhenUsed/>
    <w:qFormat/>
    <w:rsid w:val="00DD48CB"/>
    <w:pPr>
      <w:keepNext/>
      <w:tabs>
        <w:tab w:val="num" w:pos="9390"/>
      </w:tabs>
      <w:suppressAutoHyphens/>
      <w:ind w:left="9390" w:hanging="1440"/>
      <w:outlineLvl w:val="7"/>
    </w:pPr>
    <w:rPr>
      <w:b/>
      <w:sz w:val="18"/>
      <w:szCs w:val="20"/>
      <w:lang w:eastAsia="ar-SA"/>
    </w:rPr>
  </w:style>
  <w:style w:type="paragraph" w:styleId="Heading9">
    <w:name w:val="heading 9"/>
    <w:basedOn w:val="Normal"/>
    <w:next w:val="Normal"/>
    <w:link w:val="Heading9Char"/>
    <w:semiHidden/>
    <w:unhideWhenUsed/>
    <w:qFormat/>
    <w:rsid w:val="00DD48CB"/>
    <w:pPr>
      <w:keepNext/>
      <w:tabs>
        <w:tab w:val="num" w:pos="9534"/>
      </w:tabs>
      <w:suppressAutoHyphens/>
      <w:ind w:left="953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rsid w:val="00424903"/>
    <w:rPr>
      <w:rFonts w:ascii="Tahoma" w:hAnsi="Tahoma" w:cs="Tahoma"/>
      <w:sz w:val="16"/>
      <w:szCs w:val="16"/>
    </w:rPr>
  </w:style>
  <w:style w:type="character" w:styleId="CommentReference">
    <w:name w:val="annotation reference"/>
    <w:uiPriority w:val="99"/>
    <w:rsid w:val="007404F0"/>
    <w:rPr>
      <w:sz w:val="16"/>
      <w:szCs w:val="16"/>
    </w:rPr>
  </w:style>
  <w:style w:type="paragraph" w:styleId="CommentText">
    <w:name w:val="annotation text"/>
    <w:basedOn w:val="Normal"/>
    <w:link w:val="CommentTextChar"/>
    <w:uiPriority w:val="99"/>
    <w:rsid w:val="007404F0"/>
    <w:rPr>
      <w:sz w:val="20"/>
      <w:szCs w:val="20"/>
    </w:rPr>
  </w:style>
  <w:style w:type="paragraph" w:styleId="CommentSubject">
    <w:name w:val="annotation subject"/>
    <w:basedOn w:val="CommentText"/>
    <w:next w:val="CommentText"/>
    <w:link w:val="CommentSubjectChar"/>
    <w:uiPriority w:val="99"/>
    <w:semiHidden/>
    <w:rsid w:val="007404F0"/>
    <w:rPr>
      <w:b/>
      <w:bCs/>
    </w:rPr>
  </w:style>
  <w:style w:type="paragraph" w:styleId="FootnoteText">
    <w:name w:val="footnote text"/>
    <w:basedOn w:val="Normal"/>
    <w:link w:val="FootnoteTextChar"/>
    <w:uiPriority w:val="99"/>
    <w:semiHidden/>
    <w:rsid w:val="00DC71E5"/>
    <w:rPr>
      <w:sz w:val="20"/>
      <w:szCs w:val="20"/>
    </w:rPr>
  </w:style>
  <w:style w:type="character" w:styleId="FootnoteReference">
    <w:name w:val="footnote reference"/>
    <w:uiPriority w:val="99"/>
    <w:semiHidden/>
    <w:rsid w:val="00DC71E5"/>
    <w:rPr>
      <w:vertAlign w:val="superscript"/>
    </w:rPr>
  </w:style>
  <w:style w:type="table" w:styleId="TableGrid">
    <w:name w:val="Table Grid"/>
    <w:basedOn w:val="TableNormal"/>
    <w:uiPriority w:val="3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let EY,List Paragraph Red,lp1,Bullet 1,Use Case List Paragraph,Numbering,ERP-List Paragraph,List Paragraph1,List Paragraph11,List Paragraph2,List Paragraph21,Lentele,List not in Table,Sąrašo pastraipa1,List Paragraph211,Buletai"/>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uiPriority w:val="99"/>
    <w:rsid w:val="0044016F"/>
    <w:rPr>
      <w:rFonts w:ascii="Times New Roman" w:eastAsia="Times New Roman" w:hAnsi="Times New Roman"/>
    </w:rPr>
  </w:style>
  <w:style w:type="character" w:customStyle="1" w:styleId="ListParagraphChar">
    <w:name w:val="List Paragraph Char"/>
    <w:aliases w:val="Bullet EY Char,List Paragraph Red Char,lp1 Char,Bullet 1 Char,Use Case List Paragraph Char,Numbering Char,ERP-List Paragraph Char,List Paragraph1 Char,List Paragraph11 Char,List Paragraph2 Char,List Paragraph21 Char,Lentele Char"/>
    <w:link w:val="ListParagraph"/>
    <w:uiPriority w:val="34"/>
    <w:rsid w:val="001978B8"/>
    <w:rPr>
      <w:rFonts w:ascii="Times New Roman" w:hAnsi="Times New Roman"/>
      <w:sz w:val="24"/>
      <w:szCs w:val="24"/>
      <w:lang w:val="lt-LT"/>
    </w:rPr>
  </w:style>
  <w:style w:type="character" w:styleId="Hyperlink">
    <w:name w:val="Hyperlink"/>
    <w:uiPriority w:val="99"/>
    <w:unhideWhenUsed/>
    <w:rsid w:val="00827F97"/>
    <w:rPr>
      <w:color w:val="0563C1"/>
      <w:u w:val="single"/>
    </w:rPr>
  </w:style>
  <w:style w:type="paragraph" w:customStyle="1" w:styleId="Default">
    <w:name w:val="Default"/>
    <w:rsid w:val="00827F97"/>
    <w:pPr>
      <w:autoSpaceDE w:val="0"/>
      <w:autoSpaceDN w:val="0"/>
      <w:adjustRightInd w:val="0"/>
    </w:pPr>
    <w:rPr>
      <w:rFonts w:ascii="Times New Roman" w:eastAsia="Times New Roman" w:hAnsi="Times New Roman"/>
      <w:color w:val="000000"/>
      <w:sz w:val="24"/>
      <w:szCs w:val="24"/>
    </w:rPr>
  </w:style>
  <w:style w:type="character" w:customStyle="1" w:styleId="Heading1Char">
    <w:name w:val="Heading 1 Char"/>
    <w:link w:val="Heading1"/>
    <w:rsid w:val="00DD48CB"/>
    <w:rPr>
      <w:rFonts w:ascii="Times New Roman" w:eastAsia="Times New Roman" w:hAnsi="Times New Roman"/>
      <w:sz w:val="28"/>
      <w:szCs w:val="22"/>
      <w:lang w:val="lt-LT" w:eastAsia="ar-SA"/>
    </w:rPr>
  </w:style>
  <w:style w:type="character" w:customStyle="1" w:styleId="Heading3Char">
    <w:name w:val="Heading 3 Char"/>
    <w:aliases w:val="Section Header3 Char,Sub-Clause Paragraph Char"/>
    <w:link w:val="Heading3"/>
    <w:semiHidden/>
    <w:rsid w:val="00DD48CB"/>
    <w:rPr>
      <w:rFonts w:ascii="Times New Roman" w:eastAsia="Times New Roman" w:hAnsi="Times New Roman"/>
      <w:sz w:val="24"/>
      <w:lang w:val="lt-LT" w:eastAsia="ar-SA"/>
    </w:rPr>
  </w:style>
  <w:style w:type="character" w:customStyle="1" w:styleId="Heading4Char">
    <w:name w:val="Heading 4 Char"/>
    <w:aliases w:val="Heading 4 Char Char Char Char Char1,Heading 4 Char Char Char Char Char Char,Sub-Clause Sub-paragraph Char"/>
    <w:link w:val="Heading4"/>
    <w:semiHidden/>
    <w:rsid w:val="00DD48CB"/>
    <w:rPr>
      <w:rFonts w:ascii="Times New Roman" w:eastAsia="Times New Roman" w:hAnsi="Times New Roman"/>
      <w:sz w:val="44"/>
      <w:lang w:val="lt-LT" w:eastAsia="ar-SA"/>
    </w:rPr>
  </w:style>
  <w:style w:type="character" w:customStyle="1" w:styleId="Heading5Char">
    <w:name w:val="Heading 5 Char"/>
    <w:link w:val="Heading5"/>
    <w:semiHidden/>
    <w:rsid w:val="00DD48CB"/>
    <w:rPr>
      <w:rFonts w:ascii="Times New Roman" w:eastAsia="Times New Roman" w:hAnsi="Times New Roman"/>
      <w:b/>
      <w:sz w:val="40"/>
      <w:lang w:val="lt-LT" w:eastAsia="ar-SA"/>
    </w:rPr>
  </w:style>
  <w:style w:type="character" w:customStyle="1" w:styleId="Heading6Char">
    <w:name w:val="Heading 6 Char"/>
    <w:link w:val="Heading6"/>
    <w:semiHidden/>
    <w:rsid w:val="00DD48CB"/>
    <w:rPr>
      <w:rFonts w:ascii="Times New Roman" w:eastAsia="Times New Roman" w:hAnsi="Times New Roman"/>
      <w:b/>
      <w:sz w:val="36"/>
      <w:lang w:val="lt-LT" w:eastAsia="ar-SA"/>
    </w:rPr>
  </w:style>
  <w:style w:type="character" w:customStyle="1" w:styleId="Heading7Char">
    <w:name w:val="Heading 7 Char"/>
    <w:link w:val="Heading7"/>
    <w:semiHidden/>
    <w:rsid w:val="00DD48CB"/>
    <w:rPr>
      <w:rFonts w:ascii="Times New Roman" w:eastAsia="Times New Roman" w:hAnsi="Times New Roman"/>
      <w:sz w:val="48"/>
      <w:lang w:val="lt-LT" w:eastAsia="ar-SA"/>
    </w:rPr>
  </w:style>
  <w:style w:type="character" w:customStyle="1" w:styleId="Heading8Char">
    <w:name w:val="Heading 8 Char"/>
    <w:link w:val="Heading8"/>
    <w:semiHidden/>
    <w:rsid w:val="00DD48CB"/>
    <w:rPr>
      <w:rFonts w:ascii="Times New Roman" w:eastAsia="Times New Roman" w:hAnsi="Times New Roman"/>
      <w:b/>
      <w:sz w:val="18"/>
      <w:lang w:val="lt-LT" w:eastAsia="ar-SA"/>
    </w:rPr>
  </w:style>
  <w:style w:type="character" w:customStyle="1" w:styleId="Heading9Char">
    <w:name w:val="Heading 9 Char"/>
    <w:link w:val="Heading9"/>
    <w:semiHidden/>
    <w:rsid w:val="00DD48CB"/>
    <w:rPr>
      <w:rFonts w:ascii="Times New Roman" w:eastAsia="Times New Roman" w:hAnsi="Times New Roman"/>
      <w:sz w:val="40"/>
      <w:lang w:val="lt-LT" w:eastAsia="ar-SA"/>
    </w:rPr>
  </w:style>
  <w:style w:type="character" w:customStyle="1" w:styleId="Heading2Char">
    <w:name w:val="Heading 2 Char"/>
    <w:aliases w:val="Title Header2 Char"/>
    <w:link w:val="Heading2"/>
    <w:rsid w:val="00DD48CB"/>
    <w:rPr>
      <w:rFonts w:ascii="Times New Roman" w:eastAsia="Times New Roman" w:hAnsi="Times New Roman"/>
      <w:b/>
      <w:sz w:val="24"/>
      <w:lang w:val="lt-LT"/>
    </w:rPr>
  </w:style>
  <w:style w:type="character" w:customStyle="1" w:styleId="CommentSubjectChar">
    <w:name w:val="Comment Subject Char"/>
    <w:link w:val="CommentSubject"/>
    <w:uiPriority w:val="99"/>
    <w:semiHidden/>
    <w:rsid w:val="00DD48CB"/>
    <w:rPr>
      <w:rFonts w:ascii="Times New Roman" w:eastAsia="Times New Roman" w:hAnsi="Times New Roman"/>
      <w:b/>
      <w:bCs/>
      <w:lang w:val="lt-LT" w:eastAsia="lt-LT"/>
    </w:rPr>
  </w:style>
  <w:style w:type="character" w:customStyle="1" w:styleId="BalloonTextChar">
    <w:name w:val="Balloon Text Char"/>
    <w:link w:val="BalloonText"/>
    <w:uiPriority w:val="99"/>
    <w:semiHidden/>
    <w:rsid w:val="00DD48CB"/>
    <w:rPr>
      <w:rFonts w:ascii="Tahoma" w:eastAsia="Times New Roman" w:hAnsi="Tahoma" w:cs="Tahoma"/>
      <w:sz w:val="16"/>
      <w:szCs w:val="16"/>
      <w:lang w:val="lt-LT" w:eastAsia="lt-LT"/>
    </w:rPr>
  </w:style>
  <w:style w:type="paragraph" w:styleId="NormalWeb">
    <w:name w:val="Normal (Web)"/>
    <w:basedOn w:val="Normal"/>
    <w:uiPriority w:val="99"/>
    <w:semiHidden/>
    <w:unhideWhenUsed/>
    <w:rsid w:val="00DD48CB"/>
    <w:pPr>
      <w:spacing w:before="100" w:beforeAutospacing="1" w:after="100" w:afterAutospacing="1"/>
    </w:pPr>
  </w:style>
  <w:style w:type="paragraph" w:customStyle="1" w:styleId="Body">
    <w:name w:val="Body"/>
    <w:rsid w:val="00DD48CB"/>
    <w:pPr>
      <w:widowControl w:val="0"/>
    </w:pPr>
    <w:rPr>
      <w:rFonts w:ascii="Times New Roman" w:eastAsia="Arial Unicode MS" w:hAnsi="Times New Roman" w:cs="Arial Unicode MS"/>
      <w:color w:val="000000"/>
      <w:u w:color="000000"/>
    </w:rPr>
  </w:style>
  <w:style w:type="character" w:styleId="FollowedHyperlink">
    <w:name w:val="FollowedHyperlink"/>
    <w:uiPriority w:val="99"/>
    <w:semiHidden/>
    <w:unhideWhenUsed/>
    <w:rsid w:val="00DD48CB"/>
    <w:rPr>
      <w:color w:val="954F72"/>
      <w:u w:val="single"/>
    </w:rPr>
  </w:style>
  <w:style w:type="character" w:customStyle="1" w:styleId="FooterChar">
    <w:name w:val="Footer Char"/>
    <w:link w:val="Footer"/>
    <w:uiPriority w:val="99"/>
    <w:rsid w:val="00DD48CB"/>
    <w:rPr>
      <w:rFonts w:ascii="Times New Roman" w:eastAsia="Times New Roman" w:hAnsi="Times New Roman"/>
      <w:sz w:val="24"/>
      <w:szCs w:val="24"/>
      <w:lang w:val="lt-LT" w:eastAsia="lt-LT"/>
    </w:rPr>
  </w:style>
  <w:style w:type="paragraph" w:styleId="Revision">
    <w:name w:val="Revision"/>
    <w:hidden/>
    <w:uiPriority w:val="99"/>
    <w:semiHidden/>
    <w:rsid w:val="00DD48CB"/>
    <w:rPr>
      <w:rFonts w:cs="Arial"/>
      <w:sz w:val="22"/>
      <w:szCs w:val="22"/>
      <w:lang w:eastAsia="en-US"/>
    </w:rPr>
  </w:style>
  <w:style w:type="character" w:customStyle="1" w:styleId="FootnoteTextChar">
    <w:name w:val="Footnote Text Char"/>
    <w:link w:val="FootnoteText"/>
    <w:uiPriority w:val="99"/>
    <w:semiHidden/>
    <w:rsid w:val="00DD48CB"/>
    <w:rPr>
      <w:rFonts w:ascii="Times New Roman" w:eastAsia="Times New Roman" w:hAnsi="Times New Roman"/>
      <w:lang w:val="lt-LT" w:eastAsia="lt-LT"/>
    </w:rPr>
  </w:style>
  <w:style w:type="paragraph" w:customStyle="1" w:styleId="null">
    <w:name w:val="null"/>
    <w:basedOn w:val="Normal"/>
    <w:rsid w:val="00DD48CB"/>
    <w:pPr>
      <w:spacing w:before="100" w:beforeAutospacing="1" w:after="100" w:afterAutospacing="1"/>
    </w:pPr>
    <w:rPr>
      <w:rFonts w:eastAsia="Calibri"/>
      <w:lang w:val="en-US" w:eastAsia="en-US"/>
    </w:rPr>
  </w:style>
  <w:style w:type="character" w:customStyle="1" w:styleId="normaltextrun">
    <w:name w:val="normaltextrun"/>
    <w:basedOn w:val="DefaultParagraphFont"/>
    <w:rsid w:val="00C83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44476385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2016L1148&amp;local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18L1972&amp;local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LIT/TXT/?uri=CELEX:32014R0910&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22L2555&amp;locale=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F7AC8-CCAB-4D6B-83B8-3763DEAC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20</Pages>
  <Words>43165</Words>
  <Characters>24605</Characters>
  <Application>Microsoft Office Word</Application>
  <DocSecurity>0</DocSecurity>
  <Lines>205</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67635</CharactersWithSpaces>
  <SharedDoc>false</SharedDoc>
  <HLinks>
    <vt:vector size="60" baseType="variant">
      <vt:variant>
        <vt:i4>917598</vt:i4>
      </vt:variant>
      <vt:variant>
        <vt:i4>30</vt:i4>
      </vt:variant>
      <vt:variant>
        <vt:i4>0</vt:i4>
      </vt:variant>
      <vt:variant>
        <vt:i4>5</vt:i4>
      </vt:variant>
      <vt:variant>
        <vt:lpwstr>https://2021.esinvesticijos.lt/igyvendinimas-1/viesinimas</vt:lpwstr>
      </vt:variant>
      <vt:variant>
        <vt:lpwstr/>
      </vt:variant>
      <vt:variant>
        <vt:i4>1835034</vt:i4>
      </vt:variant>
      <vt:variant>
        <vt:i4>27</vt:i4>
      </vt:variant>
      <vt:variant>
        <vt:i4>0</vt:i4>
      </vt:variant>
      <vt:variant>
        <vt:i4>5</vt:i4>
      </vt:variant>
      <vt:variant>
        <vt:lpwstr>https://www.kantar.lt/lt/news/tv-auditorijos-tyrimo-rezultatai-2024-m-sausis/</vt:lpwstr>
      </vt:variant>
      <vt:variant>
        <vt:lpwstr/>
      </vt:variant>
      <vt:variant>
        <vt:i4>3211309</vt:i4>
      </vt:variant>
      <vt:variant>
        <vt:i4>24</vt:i4>
      </vt:variant>
      <vt:variant>
        <vt:i4>0</vt:i4>
      </vt:variant>
      <vt:variant>
        <vt:i4>5</vt:i4>
      </vt:variant>
      <vt:variant>
        <vt:lpwstr>https://www.kantar.lt/lt/news/radijo-auditorijos-tyrimas-2023-ruduo-2024-ziema/</vt:lpwstr>
      </vt:variant>
      <vt:variant>
        <vt:lpwstr/>
      </vt:variant>
      <vt:variant>
        <vt:i4>7209067</vt:i4>
      </vt:variant>
      <vt:variant>
        <vt:i4>21</vt:i4>
      </vt:variant>
      <vt:variant>
        <vt:i4>0</vt:i4>
      </vt:variant>
      <vt:variant>
        <vt:i4>5</vt:i4>
      </vt:variant>
      <vt:variant>
        <vt:lpwstr>http://www.kam.lt/</vt:lpwstr>
      </vt:variant>
      <vt:variant>
        <vt:lpwstr/>
      </vt:variant>
      <vt:variant>
        <vt:i4>2424886</vt:i4>
      </vt:variant>
      <vt:variant>
        <vt:i4>18</vt:i4>
      </vt:variant>
      <vt:variant>
        <vt:i4>0</vt:i4>
      </vt:variant>
      <vt:variant>
        <vt:i4>5</vt:i4>
      </vt:variant>
      <vt:variant>
        <vt:lpwstr>https://www.kantar.lt/lt/news/kantar-populiariausiu-2021-m-spaudos-leidiniu-penketukai/</vt:lpwstr>
      </vt:variant>
      <vt:variant>
        <vt:lpwstr/>
      </vt:variant>
      <vt:variant>
        <vt:i4>4915213</vt:i4>
      </vt:variant>
      <vt:variant>
        <vt:i4>14</vt:i4>
      </vt:variant>
      <vt:variant>
        <vt:i4>0</vt:i4>
      </vt:variant>
      <vt:variant>
        <vt:i4>5</vt:i4>
      </vt:variant>
      <vt:variant>
        <vt:lpwstr>https://www.kantar.lt/lt/news/tv-auditorijos-tyrimo-rezultatai-2024-m-rugpjutis/</vt:lpwstr>
      </vt:variant>
      <vt:variant>
        <vt:lpwstr/>
      </vt:variant>
      <vt:variant>
        <vt:i4>589902</vt:i4>
      </vt:variant>
      <vt:variant>
        <vt:i4>12</vt:i4>
      </vt:variant>
      <vt:variant>
        <vt:i4>0</vt:i4>
      </vt:variant>
      <vt:variant>
        <vt:i4>5</vt:i4>
      </vt:variant>
      <vt:variant>
        <vt:lpwstr>http://www.kantar.lt/lt/top/paslaugos/media-auditoriju-tyrimai/tv-auditorijos-tyrimas/duomenys-1/</vt:lpwstr>
      </vt:variant>
      <vt:variant>
        <vt:lpwstr/>
      </vt:variant>
      <vt:variant>
        <vt:i4>1638485</vt:i4>
      </vt:variant>
      <vt:variant>
        <vt:i4>9</vt:i4>
      </vt:variant>
      <vt:variant>
        <vt:i4>0</vt:i4>
      </vt:variant>
      <vt:variant>
        <vt:i4>5</vt:i4>
      </vt:variant>
      <vt:variant>
        <vt:lpwstr>https://e-public.gemius.com/lt/rankings/9790</vt:lpwstr>
      </vt:variant>
      <vt:variant>
        <vt:lpwstr/>
      </vt:variant>
      <vt:variant>
        <vt:i4>2097212</vt:i4>
      </vt:variant>
      <vt:variant>
        <vt:i4>6</vt:i4>
      </vt:variant>
      <vt:variant>
        <vt:i4>0</vt:i4>
      </vt:variant>
      <vt:variant>
        <vt:i4>5</vt:i4>
      </vt:variant>
      <vt:variant>
        <vt:lpwstr>https://vpt.lrv.lt/media/viesa/saugykla/2024/1/w2fscibRf-4.pdf</vt:lpwstr>
      </vt:variant>
      <vt:variant>
        <vt:lpwstr/>
      </vt:variant>
      <vt:variant>
        <vt:i4>4653087</vt:i4>
      </vt:variant>
      <vt:variant>
        <vt:i4>0</vt:i4>
      </vt:variant>
      <vt:variant>
        <vt:i4>0</vt:i4>
      </vt:variant>
      <vt:variant>
        <vt:i4>5</vt:i4>
      </vt:variant>
      <vt:variant>
        <vt:lpwstr>https://www.enisa.europa.eu/publications/enisa-threat-landscape-2023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Windows User</cp:lastModifiedBy>
  <cp:revision>17</cp:revision>
  <cp:lastPrinted>2012-01-12T10:43:00Z</cp:lastPrinted>
  <dcterms:created xsi:type="dcterms:W3CDTF">2024-12-13T11:43:00Z</dcterms:created>
  <dcterms:modified xsi:type="dcterms:W3CDTF">2024-12-27T05:52:00Z</dcterms:modified>
</cp:coreProperties>
</file>