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E489E" w14:textId="1FD7FF63" w:rsidR="00D612A5" w:rsidRPr="00140E52" w:rsidRDefault="00D612A5" w:rsidP="00436CD7">
      <w:pPr>
        <w:pStyle w:val="ListParagraph"/>
        <w:suppressAutoHyphens w:val="0"/>
        <w:spacing w:before="120" w:after="120" w:line="360" w:lineRule="auto"/>
        <w:ind w:left="924" w:right="0"/>
        <w:contextualSpacing w:val="0"/>
        <w:rPr>
          <w:b/>
          <w:bCs/>
          <w:caps/>
          <w:sz w:val="24"/>
          <w:szCs w:val="24"/>
        </w:rPr>
      </w:pPr>
      <w:r w:rsidRPr="00140E52">
        <w:rPr>
          <w:b/>
          <w:bCs/>
          <w:caps/>
          <w:sz w:val="24"/>
          <w:szCs w:val="24"/>
        </w:rPr>
        <w:t>TS</w:t>
      </w:r>
      <w:r w:rsidR="00436CD7">
        <w:rPr>
          <w:b/>
          <w:bCs/>
          <w:caps/>
          <w:sz w:val="24"/>
          <w:szCs w:val="24"/>
        </w:rPr>
        <w:t>-1</w:t>
      </w:r>
      <w:r w:rsidRPr="00140E52">
        <w:rPr>
          <w:b/>
          <w:bCs/>
          <w:caps/>
          <w:sz w:val="24"/>
          <w:szCs w:val="24"/>
        </w:rPr>
        <w:t>1 Pėsčiųjų tvorelė</w:t>
      </w:r>
    </w:p>
    <w:p w14:paraId="45A4C57E" w14:textId="2BA1F2C0" w:rsidR="00D612A5" w:rsidRPr="00140E52" w:rsidRDefault="00D612A5" w:rsidP="00D612A5">
      <w:pPr>
        <w:spacing w:line="360" w:lineRule="auto"/>
        <w:ind w:firstLine="540"/>
        <w:jc w:val="both"/>
        <w:rPr>
          <w:kern w:val="24"/>
          <w:sz w:val="24"/>
          <w:szCs w:val="24"/>
        </w:rPr>
      </w:pPr>
      <w:bookmarkStart w:id="0" w:name="_Toc506892253"/>
      <w:r w:rsidRPr="00140E52">
        <w:rPr>
          <w:kern w:val="24"/>
          <w:sz w:val="24"/>
          <w:szCs w:val="24"/>
        </w:rPr>
        <w:t>Pėsčiųjų tvorelė – 1</w:t>
      </w:r>
      <w:r w:rsidR="00BC3E01">
        <w:rPr>
          <w:kern w:val="24"/>
          <w:sz w:val="24"/>
          <w:szCs w:val="24"/>
        </w:rPr>
        <w:t>9</w:t>
      </w:r>
      <w:r w:rsidRPr="00140E52">
        <w:rPr>
          <w:kern w:val="24"/>
          <w:sz w:val="24"/>
          <w:szCs w:val="24"/>
        </w:rPr>
        <w:t xml:space="preserve">50 mm ilgio statramsčiai iš </w:t>
      </w:r>
      <w:r w:rsidR="00E302F6">
        <w:rPr>
          <w:kern w:val="24"/>
          <w:sz w:val="24"/>
          <w:szCs w:val="24"/>
        </w:rPr>
        <w:t xml:space="preserve">nemažesnių kaip </w:t>
      </w:r>
      <w:r w:rsidRPr="00140E52">
        <w:rPr>
          <w:kern w:val="24"/>
          <w:sz w:val="24"/>
          <w:szCs w:val="24"/>
        </w:rPr>
        <w:t xml:space="preserve">60,3 × 2,0 mm skersmens plieninių cinkuotų vamzdžių, </w:t>
      </w:r>
      <w:r w:rsidR="00E302F6">
        <w:rPr>
          <w:kern w:val="24"/>
          <w:sz w:val="24"/>
          <w:szCs w:val="24"/>
        </w:rPr>
        <w:t xml:space="preserve">užpildo segmento </w:t>
      </w:r>
      <w:r w:rsidRPr="00140E52">
        <w:rPr>
          <w:kern w:val="24"/>
          <w:sz w:val="24"/>
          <w:szCs w:val="24"/>
        </w:rPr>
        <w:t xml:space="preserve">elementai iš 33,7×3,2 mm skersmens cinkuotų vamzdžių. </w:t>
      </w:r>
      <w:r w:rsidRPr="00140E52">
        <w:rPr>
          <w:sz w:val="24"/>
          <w:szCs w:val="24"/>
        </w:rPr>
        <w:t xml:space="preserve">Tvorelės aukštis nuo žemės paviršiaus turi būti </w:t>
      </w:r>
      <w:r w:rsidR="00BC3E01">
        <w:rPr>
          <w:sz w:val="24"/>
          <w:szCs w:val="24"/>
        </w:rPr>
        <w:t xml:space="preserve">nemažesnis kaip </w:t>
      </w:r>
      <w:r w:rsidRPr="00140E52">
        <w:rPr>
          <w:sz w:val="24"/>
          <w:szCs w:val="24"/>
        </w:rPr>
        <w:t>1,</w:t>
      </w:r>
      <w:r w:rsidR="00BC3E01">
        <w:rPr>
          <w:sz w:val="24"/>
          <w:szCs w:val="24"/>
        </w:rPr>
        <w:t>3</w:t>
      </w:r>
      <w:r w:rsidRPr="00140E52">
        <w:rPr>
          <w:sz w:val="24"/>
          <w:szCs w:val="24"/>
        </w:rPr>
        <w:t xml:space="preserve"> m.</w:t>
      </w:r>
    </w:p>
    <w:p w14:paraId="5D39426C" w14:textId="089685FF" w:rsidR="00D612A5" w:rsidRPr="00140E52" w:rsidRDefault="00D612A5" w:rsidP="00D612A5">
      <w:pPr>
        <w:spacing w:line="360" w:lineRule="auto"/>
        <w:ind w:firstLine="540"/>
        <w:jc w:val="both"/>
        <w:rPr>
          <w:kern w:val="24"/>
          <w:sz w:val="24"/>
          <w:szCs w:val="24"/>
        </w:rPr>
      </w:pPr>
      <w:r w:rsidRPr="00140E52">
        <w:rPr>
          <w:kern w:val="24"/>
          <w:sz w:val="24"/>
          <w:szCs w:val="24"/>
        </w:rPr>
        <w:t>Plienas S235JR, pamatų betono klasė</w:t>
      </w:r>
      <w:r w:rsidRPr="00140E52">
        <w:rPr>
          <w:sz w:val="24"/>
          <w:szCs w:val="24"/>
          <w:lang w:eastAsia="en-US"/>
        </w:rPr>
        <w:t xml:space="preserve"> ne mažesnės kaip </w:t>
      </w:r>
      <w:r w:rsidRPr="00140E52">
        <w:rPr>
          <w:kern w:val="24"/>
          <w:sz w:val="24"/>
          <w:szCs w:val="24"/>
        </w:rPr>
        <w:t xml:space="preserve"> </w:t>
      </w:r>
      <w:r w:rsidR="00436CD7">
        <w:rPr>
          <w:kern w:val="24"/>
          <w:sz w:val="24"/>
          <w:szCs w:val="24"/>
        </w:rPr>
        <w:t>C25/30 XF2</w:t>
      </w:r>
      <w:r w:rsidR="007628A9">
        <w:rPr>
          <w:kern w:val="24"/>
          <w:sz w:val="24"/>
          <w:szCs w:val="24"/>
        </w:rPr>
        <w:t xml:space="preserve"> F50</w:t>
      </w:r>
      <w:r w:rsidRPr="00140E52">
        <w:rPr>
          <w:kern w:val="24"/>
          <w:sz w:val="24"/>
          <w:szCs w:val="24"/>
        </w:rPr>
        <w:t>. Pamatams naudojamo betono mišinys turi atitikti LST EN 206 (arba lygiaverčio) standarto reikalavimus, o plieniniai vamzdžiai – LST EN 10219 (arba lygiaverčio) standarto reikalavimus. Plieno elementai nuo aplinkos poveikio turi būti apsaugoti cinko antikorozine danga pagal LST EN ISO 1461 (arba lygiaverčio). Varžtinės jungtys turi būti atsparios aplinkos poveikiui</w:t>
      </w:r>
      <w:r w:rsidR="00BC3E01">
        <w:rPr>
          <w:kern w:val="24"/>
          <w:sz w:val="24"/>
          <w:szCs w:val="24"/>
        </w:rPr>
        <w:t>, naudojami karšto cinkavimo varžtai</w:t>
      </w:r>
      <w:r w:rsidRPr="00140E52">
        <w:rPr>
          <w:kern w:val="24"/>
          <w:sz w:val="24"/>
          <w:szCs w:val="24"/>
        </w:rPr>
        <w:t>, o pažeista cinko danga suvirinimo vietose atstatoma iki nurodytos vertės.</w:t>
      </w:r>
    </w:p>
    <w:bookmarkEnd w:id="0"/>
    <w:p w14:paraId="78B6064B" w14:textId="77777777" w:rsidR="00D612A5" w:rsidRPr="00140E52" w:rsidRDefault="00D612A5" w:rsidP="00D612A5">
      <w:pPr>
        <w:pStyle w:val="Normalus"/>
        <w:ind w:firstLine="540"/>
        <w:rPr>
          <w:rFonts w:ascii="Times New Roman" w:hAnsi="Times New Roman"/>
          <w:szCs w:val="24"/>
          <w:lang w:eastAsia="lt-LT"/>
        </w:rPr>
      </w:pPr>
      <w:r w:rsidRPr="00140E52">
        <w:rPr>
          <w:rFonts w:ascii="Times New Roman" w:hAnsi="Times New Roman"/>
          <w:szCs w:val="24"/>
          <w:lang w:eastAsia="lt-LT"/>
        </w:rPr>
        <w:t>Tvorelės pavyzdys</w:t>
      </w:r>
      <w:r>
        <w:rPr>
          <w:rFonts w:ascii="Times New Roman" w:hAnsi="Times New Roman"/>
          <w:szCs w:val="24"/>
          <w:lang w:eastAsia="lt-LT"/>
        </w:rPr>
        <w:t xml:space="preserve"> (pagal poreikį gali būti naudojami ir kitokio pločio segmentai):</w:t>
      </w:r>
    </w:p>
    <w:p w14:paraId="7A1C5C03" w14:textId="6AAC4753" w:rsidR="00D612A5" w:rsidRPr="00140E52" w:rsidRDefault="00E302F6" w:rsidP="00D612A5">
      <w:pPr>
        <w:pStyle w:val="Normalus"/>
        <w:ind w:firstLine="0"/>
        <w:jc w:val="center"/>
        <w:rPr>
          <w:rFonts w:ascii="Times New Roman" w:hAnsi="Times New Roman"/>
          <w:szCs w:val="24"/>
          <w:lang w:eastAsia="lt-LT"/>
        </w:rPr>
      </w:pPr>
      <w:r>
        <w:rPr>
          <w:rFonts w:ascii="Times New Roman" w:hAnsi="Times New Roman"/>
          <w:noProof/>
          <w:szCs w:val="24"/>
          <w:lang w:eastAsia="lt-LT"/>
        </w:rPr>
        <w:drawing>
          <wp:inline distT="0" distB="0" distL="0" distR="0" wp14:anchorId="538B725C" wp14:editId="3484EE07">
            <wp:extent cx="6120130" cy="2618105"/>
            <wp:effectExtent l="0" t="0" r="0" b="0"/>
            <wp:docPr id="844648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2618105"/>
                    </a:xfrm>
                    <a:prstGeom prst="rect">
                      <a:avLst/>
                    </a:prstGeom>
                    <a:noFill/>
                    <a:ln>
                      <a:noFill/>
                    </a:ln>
                  </pic:spPr>
                </pic:pic>
              </a:graphicData>
            </a:graphic>
          </wp:inline>
        </w:drawing>
      </w:r>
    </w:p>
    <w:p w14:paraId="22AF97F0" w14:textId="5B804A7D" w:rsidR="00D612A5" w:rsidRPr="00D612A5" w:rsidRDefault="00D612A5" w:rsidP="00D612A5">
      <w:pPr>
        <w:suppressAutoHyphens w:val="0"/>
        <w:ind w:right="0"/>
        <w:rPr>
          <w:sz w:val="24"/>
          <w:szCs w:val="24"/>
          <w:lang w:eastAsia="en-US"/>
        </w:rPr>
      </w:pPr>
    </w:p>
    <w:sectPr w:rsidR="00D612A5" w:rsidRPr="00D612A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BA"/>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251A4"/>
    <w:multiLevelType w:val="multilevel"/>
    <w:tmpl w:val="138C3D26"/>
    <w:lvl w:ilvl="0">
      <w:start w:val="1"/>
      <w:numFmt w:val="decimal"/>
      <w:suff w:val="space"/>
      <w:lvlText w:val="%1."/>
      <w:lvlJc w:val="left"/>
      <w:pPr>
        <w:ind w:left="2628" w:hanging="360"/>
      </w:pPr>
      <w:rPr>
        <w:rFonts w:hint="default"/>
      </w:rPr>
    </w:lvl>
    <w:lvl w:ilvl="1">
      <w:start w:val="1"/>
      <w:numFmt w:val="decimal"/>
      <w:isLgl/>
      <w:suff w:val="space"/>
      <w:lvlText w:val="%1.%2."/>
      <w:lvlJc w:val="left"/>
      <w:pPr>
        <w:ind w:left="2155" w:firstLine="113"/>
      </w:pPr>
      <w:rPr>
        <w:rFonts w:hint="default"/>
      </w:rPr>
    </w:lvl>
    <w:lvl w:ilvl="2">
      <w:start w:val="1"/>
      <w:numFmt w:val="decimal"/>
      <w:isLgl/>
      <w:suff w:val="space"/>
      <w:lvlText w:val="%1.%2.%3."/>
      <w:lvlJc w:val="left"/>
      <w:pPr>
        <w:ind w:left="2988" w:hanging="720"/>
      </w:pPr>
      <w:rPr>
        <w:rFonts w:hint="default"/>
      </w:rPr>
    </w:lvl>
    <w:lvl w:ilvl="3">
      <w:start w:val="1"/>
      <w:numFmt w:val="decimal"/>
      <w:isLgl/>
      <w:suff w:val="space"/>
      <w:lvlText w:val="%1.%2.%3.%4."/>
      <w:lvlJc w:val="left"/>
      <w:pPr>
        <w:ind w:left="3005" w:hanging="737"/>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num w:numId="1" w16cid:durableId="2091391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2A5"/>
    <w:rsid w:val="00423769"/>
    <w:rsid w:val="00436CD7"/>
    <w:rsid w:val="00516FDE"/>
    <w:rsid w:val="007628A9"/>
    <w:rsid w:val="0087348B"/>
    <w:rsid w:val="00BC3E01"/>
    <w:rsid w:val="00C67FBF"/>
    <w:rsid w:val="00D612A5"/>
    <w:rsid w:val="00E302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8ACD"/>
  <w15:chartTrackingRefBased/>
  <w15:docId w15:val="{64E17449-A417-4DF0-9918-903DE71FE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ntelės"/>
    <w:rsid w:val="00D612A5"/>
    <w:pPr>
      <w:suppressAutoHyphens/>
      <w:spacing w:after="0" w:line="240" w:lineRule="auto"/>
      <w:ind w:right="-59"/>
    </w:pPr>
    <w:rPr>
      <w:rFonts w:ascii="Times New Roman" w:eastAsia="Times New Roman" w:hAnsi="Times New Roman" w:cs="Times New Roman"/>
      <w:kern w:val="0"/>
      <w:sz w:val="22"/>
      <w:szCs w:val="22"/>
      <w:lang w:eastAsia="ar-SA"/>
      <w14:ligatures w14:val="none"/>
    </w:rPr>
  </w:style>
  <w:style w:type="paragraph" w:styleId="Heading1">
    <w:name w:val="heading 1"/>
    <w:basedOn w:val="Normal"/>
    <w:next w:val="Normal"/>
    <w:link w:val="Heading1Char"/>
    <w:uiPriority w:val="9"/>
    <w:qFormat/>
    <w:rsid w:val="00D612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2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2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2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2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2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2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2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2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2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2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2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2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2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2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2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2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2A5"/>
    <w:rPr>
      <w:rFonts w:eastAsiaTheme="majorEastAsia" w:cstheme="majorBidi"/>
      <w:color w:val="272727" w:themeColor="text1" w:themeTint="D8"/>
    </w:rPr>
  </w:style>
  <w:style w:type="paragraph" w:styleId="Title">
    <w:name w:val="Title"/>
    <w:basedOn w:val="Normal"/>
    <w:next w:val="Normal"/>
    <w:link w:val="TitleChar"/>
    <w:uiPriority w:val="10"/>
    <w:qFormat/>
    <w:rsid w:val="00D612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2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2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2A5"/>
    <w:pPr>
      <w:spacing w:before="160"/>
      <w:jc w:val="center"/>
    </w:pPr>
    <w:rPr>
      <w:i/>
      <w:iCs/>
      <w:color w:val="404040" w:themeColor="text1" w:themeTint="BF"/>
    </w:rPr>
  </w:style>
  <w:style w:type="character" w:customStyle="1" w:styleId="QuoteChar">
    <w:name w:val="Quote Char"/>
    <w:basedOn w:val="DefaultParagraphFont"/>
    <w:link w:val="Quote"/>
    <w:uiPriority w:val="29"/>
    <w:rsid w:val="00D612A5"/>
    <w:rPr>
      <w:i/>
      <w:iCs/>
      <w:color w:val="404040" w:themeColor="text1" w:themeTint="BF"/>
    </w:rPr>
  </w:style>
  <w:style w:type="paragraph" w:styleId="ListParagraph">
    <w:name w:val="List Paragraph"/>
    <w:basedOn w:val="Normal"/>
    <w:link w:val="ListParagraphChar"/>
    <w:uiPriority w:val="34"/>
    <w:qFormat/>
    <w:rsid w:val="00D612A5"/>
    <w:pPr>
      <w:ind w:left="720"/>
      <w:contextualSpacing/>
    </w:pPr>
  </w:style>
  <w:style w:type="character" w:styleId="IntenseEmphasis">
    <w:name w:val="Intense Emphasis"/>
    <w:basedOn w:val="DefaultParagraphFont"/>
    <w:uiPriority w:val="21"/>
    <w:qFormat/>
    <w:rsid w:val="00D612A5"/>
    <w:rPr>
      <w:i/>
      <w:iCs/>
      <w:color w:val="0F4761" w:themeColor="accent1" w:themeShade="BF"/>
    </w:rPr>
  </w:style>
  <w:style w:type="paragraph" w:styleId="IntenseQuote">
    <w:name w:val="Intense Quote"/>
    <w:basedOn w:val="Normal"/>
    <w:next w:val="Normal"/>
    <w:link w:val="IntenseQuoteChar"/>
    <w:uiPriority w:val="30"/>
    <w:qFormat/>
    <w:rsid w:val="00D612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2A5"/>
    <w:rPr>
      <w:i/>
      <w:iCs/>
      <w:color w:val="0F4761" w:themeColor="accent1" w:themeShade="BF"/>
    </w:rPr>
  </w:style>
  <w:style w:type="character" w:styleId="IntenseReference">
    <w:name w:val="Intense Reference"/>
    <w:basedOn w:val="DefaultParagraphFont"/>
    <w:uiPriority w:val="32"/>
    <w:qFormat/>
    <w:rsid w:val="00D612A5"/>
    <w:rPr>
      <w:b/>
      <w:bCs/>
      <w:smallCaps/>
      <w:color w:val="0F4761" w:themeColor="accent1" w:themeShade="BF"/>
      <w:spacing w:val="5"/>
    </w:rPr>
  </w:style>
  <w:style w:type="character" w:customStyle="1" w:styleId="ListParagraphChar">
    <w:name w:val="List Paragraph Char"/>
    <w:link w:val="ListParagraph"/>
    <w:uiPriority w:val="34"/>
    <w:rsid w:val="00D612A5"/>
  </w:style>
  <w:style w:type="paragraph" w:customStyle="1" w:styleId="Normalus">
    <w:name w:val="Normalus"/>
    <w:link w:val="NormalusDiagrama"/>
    <w:uiPriority w:val="99"/>
    <w:qFormat/>
    <w:rsid w:val="00D612A5"/>
    <w:pPr>
      <w:widowControl w:val="0"/>
      <w:spacing w:after="0" w:line="360" w:lineRule="auto"/>
      <w:ind w:firstLine="851"/>
      <w:jc w:val="both"/>
    </w:pPr>
    <w:rPr>
      <w:rFonts w:ascii="Arial Narrow" w:eastAsia="Times New Roman" w:hAnsi="Arial Narrow" w:cs="Times New Roman"/>
      <w:kern w:val="0"/>
      <w:szCs w:val="20"/>
      <w14:ligatures w14:val="none"/>
    </w:rPr>
  </w:style>
  <w:style w:type="character" w:customStyle="1" w:styleId="NormalusDiagrama">
    <w:name w:val="Normalus Diagrama"/>
    <w:link w:val="Normalus"/>
    <w:uiPriority w:val="99"/>
    <w:rsid w:val="00D612A5"/>
    <w:rPr>
      <w:rFonts w:ascii="Arial Narrow" w:eastAsia="Times New Roman" w:hAnsi="Arial Narrow"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583</Words>
  <Characters>333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Narkus</dc:creator>
  <cp:keywords/>
  <dc:description/>
  <cp:lastModifiedBy>Vilius Kryževičius</cp:lastModifiedBy>
  <cp:revision>4</cp:revision>
  <dcterms:created xsi:type="dcterms:W3CDTF">2026-01-06T07:23:00Z</dcterms:created>
  <dcterms:modified xsi:type="dcterms:W3CDTF">2026-01-06T11:53:00Z</dcterms:modified>
</cp:coreProperties>
</file>