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A3730" w14:textId="77777777" w:rsidR="005301F2" w:rsidRDefault="005301F2" w:rsidP="005301F2">
      <w:pPr>
        <w:spacing w:before="40" w:after="40"/>
        <w:jc w:val="center"/>
        <w:rPr>
          <w:rFonts w:ascii="Arial" w:hAnsi="Arial" w:cs="Arial"/>
          <w:sz w:val="20"/>
          <w:szCs w:val="20"/>
        </w:rPr>
      </w:pPr>
      <w:r>
        <w:rPr>
          <w:rFonts w:ascii="Arial" w:hAnsi="Arial" w:cs="Arial"/>
          <w:noProof/>
          <w:sz w:val="20"/>
          <w:szCs w:val="20"/>
        </w:rPr>
        <w:drawing>
          <wp:inline distT="0" distB="0" distL="0" distR="0" wp14:anchorId="1CECCF9D" wp14:editId="43E5711C">
            <wp:extent cx="2057400" cy="609600"/>
            <wp:effectExtent l="0" t="0" r="0" b="0"/>
            <wp:docPr id="1430324966" name="Paveikslėlis 1" descr="A black and white logo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ack and white logo  Description automatically generated with medium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0" cy="609600"/>
                    </a:xfrm>
                    <a:prstGeom prst="rect">
                      <a:avLst/>
                    </a:prstGeom>
                    <a:noFill/>
                    <a:ln>
                      <a:noFill/>
                    </a:ln>
                  </pic:spPr>
                </pic:pic>
              </a:graphicData>
            </a:graphic>
          </wp:inline>
        </w:drawing>
      </w:r>
    </w:p>
    <w:p w14:paraId="3BE3E083" w14:textId="77777777" w:rsidR="005301F2" w:rsidRDefault="005301F2" w:rsidP="005301F2">
      <w:pPr>
        <w:spacing w:before="40" w:after="40"/>
        <w:jc w:val="center"/>
        <w:rPr>
          <w:rFonts w:ascii="Arial" w:hAnsi="Arial" w:cs="Arial"/>
          <w:sz w:val="20"/>
          <w:szCs w:val="20"/>
        </w:rPr>
      </w:pPr>
    </w:p>
    <w:p w14:paraId="3028E4A5" w14:textId="77777777" w:rsidR="005301F2" w:rsidRDefault="005301F2" w:rsidP="005301F2">
      <w:pPr>
        <w:jc w:val="center"/>
        <w:rPr>
          <w:rFonts w:ascii="Arial" w:hAnsi="Arial" w:cs="Arial"/>
          <w:b/>
          <w:sz w:val="20"/>
          <w:szCs w:val="20"/>
        </w:rPr>
      </w:pPr>
      <w:r>
        <w:rPr>
          <w:rFonts w:ascii="Arial" w:hAnsi="Arial" w:cs="Arial"/>
          <w:b/>
          <w:sz w:val="20"/>
          <w:szCs w:val="20"/>
        </w:rPr>
        <w:t xml:space="preserve">AKCINĖ BENDROVĖ LIETUVOS PAŠTAS </w:t>
      </w:r>
    </w:p>
    <w:p w14:paraId="2BD86CBA" w14:textId="77777777" w:rsidR="005301F2" w:rsidRDefault="005301F2" w:rsidP="005301F2">
      <w:pPr>
        <w:rPr>
          <w:rFonts w:ascii="Arial" w:hAnsi="Arial" w:cs="Arial"/>
          <w:color w:val="000000" w:themeColor="text1"/>
          <w:sz w:val="20"/>
          <w:szCs w:val="20"/>
          <w:lang w:eastAsia="lt-LT"/>
        </w:rPr>
      </w:pPr>
    </w:p>
    <w:p w14:paraId="28CFECCB" w14:textId="77777777" w:rsidR="005301F2" w:rsidRDefault="005301F2" w:rsidP="005301F2">
      <w:pPr>
        <w:rPr>
          <w:rFonts w:ascii="Arial" w:hAnsi="Arial" w:cs="Arial"/>
          <w:color w:val="000000" w:themeColor="text1"/>
          <w:sz w:val="20"/>
          <w:szCs w:val="20"/>
          <w:lang w:eastAsia="lt-LT"/>
        </w:rPr>
      </w:pPr>
    </w:p>
    <w:tbl>
      <w:tblPr>
        <w:tblW w:w="10031" w:type="dxa"/>
        <w:tblLook w:val="04A0" w:firstRow="1" w:lastRow="0" w:firstColumn="1" w:lastColumn="0" w:noHBand="0" w:noVBand="1"/>
      </w:tblPr>
      <w:tblGrid>
        <w:gridCol w:w="4545"/>
        <w:gridCol w:w="282"/>
        <w:gridCol w:w="1659"/>
        <w:gridCol w:w="3120"/>
        <w:gridCol w:w="425"/>
      </w:tblGrid>
      <w:tr w:rsidR="005301F2" w14:paraId="26AA78B6" w14:textId="77777777" w:rsidTr="00975A67">
        <w:tc>
          <w:tcPr>
            <w:tcW w:w="4545" w:type="dxa"/>
            <w:hideMark/>
          </w:tcPr>
          <w:p w14:paraId="4BBBFDB0" w14:textId="77777777" w:rsidR="005301F2" w:rsidRDefault="005301F2" w:rsidP="00975A67">
            <w:pPr>
              <w:spacing w:line="276" w:lineRule="auto"/>
              <w:rPr>
                <w:rFonts w:ascii="Arial" w:hAnsi="Arial" w:cs="Arial"/>
                <w:b/>
                <w:bCs/>
                <w:sz w:val="20"/>
                <w:szCs w:val="20"/>
              </w:rPr>
            </w:pPr>
            <w:r>
              <w:rPr>
                <w:rFonts w:ascii="Arial" w:hAnsi="Arial" w:cs="Arial"/>
                <w:b/>
                <w:bCs/>
                <w:sz w:val="20"/>
                <w:szCs w:val="20"/>
              </w:rPr>
              <w:t xml:space="preserve">                                                        </w:t>
            </w:r>
          </w:p>
        </w:tc>
        <w:tc>
          <w:tcPr>
            <w:tcW w:w="282" w:type="dxa"/>
          </w:tcPr>
          <w:p w14:paraId="06002FE5" w14:textId="77777777" w:rsidR="005301F2" w:rsidRDefault="005301F2" w:rsidP="00975A67">
            <w:pPr>
              <w:spacing w:line="276" w:lineRule="auto"/>
              <w:rPr>
                <w:rFonts w:ascii="Arial" w:hAnsi="Arial" w:cs="Arial"/>
                <w:b/>
                <w:bCs/>
                <w:sz w:val="20"/>
                <w:szCs w:val="20"/>
              </w:rPr>
            </w:pPr>
          </w:p>
          <w:p w14:paraId="503A0755" w14:textId="77777777" w:rsidR="005301F2" w:rsidRDefault="005301F2" w:rsidP="00975A67">
            <w:pPr>
              <w:spacing w:line="276" w:lineRule="auto"/>
              <w:rPr>
                <w:rFonts w:ascii="Arial" w:hAnsi="Arial" w:cs="Arial"/>
                <w:b/>
                <w:bCs/>
                <w:sz w:val="20"/>
                <w:szCs w:val="20"/>
              </w:rPr>
            </w:pPr>
          </w:p>
        </w:tc>
        <w:tc>
          <w:tcPr>
            <w:tcW w:w="1659" w:type="dxa"/>
          </w:tcPr>
          <w:p w14:paraId="5D3828FC" w14:textId="77777777" w:rsidR="005301F2" w:rsidRDefault="005301F2" w:rsidP="00975A67">
            <w:pPr>
              <w:spacing w:line="276" w:lineRule="auto"/>
              <w:rPr>
                <w:rFonts w:ascii="Arial" w:hAnsi="Arial" w:cs="Arial"/>
                <w:b/>
                <w:bCs/>
                <w:sz w:val="20"/>
                <w:szCs w:val="20"/>
              </w:rPr>
            </w:pPr>
          </w:p>
        </w:tc>
        <w:tc>
          <w:tcPr>
            <w:tcW w:w="3120" w:type="dxa"/>
          </w:tcPr>
          <w:p w14:paraId="4E8934F8" w14:textId="77777777" w:rsidR="005301F2" w:rsidRDefault="005301F2" w:rsidP="00975A67">
            <w:pPr>
              <w:spacing w:line="276" w:lineRule="auto"/>
              <w:rPr>
                <w:rFonts w:ascii="Arial" w:hAnsi="Arial" w:cs="Arial"/>
                <w:b/>
                <w:bCs/>
                <w:sz w:val="20"/>
                <w:szCs w:val="20"/>
              </w:rPr>
            </w:pPr>
          </w:p>
          <w:p w14:paraId="00C1FDBE" w14:textId="77777777" w:rsidR="005301F2" w:rsidRDefault="005301F2" w:rsidP="00975A67">
            <w:pPr>
              <w:spacing w:line="276" w:lineRule="auto"/>
              <w:rPr>
                <w:rFonts w:ascii="Arial" w:hAnsi="Arial" w:cs="Arial"/>
                <w:b/>
                <w:bCs/>
                <w:sz w:val="20"/>
                <w:szCs w:val="20"/>
              </w:rPr>
            </w:pPr>
          </w:p>
        </w:tc>
        <w:tc>
          <w:tcPr>
            <w:tcW w:w="425" w:type="dxa"/>
          </w:tcPr>
          <w:p w14:paraId="2D3007DD" w14:textId="77777777" w:rsidR="005301F2" w:rsidRDefault="005301F2" w:rsidP="00975A67">
            <w:pPr>
              <w:spacing w:line="276" w:lineRule="auto"/>
              <w:rPr>
                <w:rFonts w:ascii="Arial" w:hAnsi="Arial" w:cs="Arial"/>
                <w:b/>
                <w:bCs/>
                <w:sz w:val="20"/>
                <w:szCs w:val="20"/>
              </w:rPr>
            </w:pPr>
          </w:p>
        </w:tc>
      </w:tr>
      <w:tr w:rsidR="005301F2" w14:paraId="7356C723" w14:textId="77777777" w:rsidTr="00975A67">
        <w:tc>
          <w:tcPr>
            <w:tcW w:w="4545" w:type="dxa"/>
          </w:tcPr>
          <w:p w14:paraId="74E5B1C6" w14:textId="77777777" w:rsidR="005301F2" w:rsidRDefault="005301F2" w:rsidP="00975A67">
            <w:pPr>
              <w:spacing w:line="276" w:lineRule="auto"/>
              <w:rPr>
                <w:rFonts w:ascii="Arial" w:hAnsi="Arial" w:cs="Arial"/>
                <w:b/>
                <w:bCs/>
                <w:sz w:val="20"/>
                <w:szCs w:val="20"/>
              </w:rPr>
            </w:pPr>
          </w:p>
        </w:tc>
        <w:tc>
          <w:tcPr>
            <w:tcW w:w="282" w:type="dxa"/>
          </w:tcPr>
          <w:p w14:paraId="2AE1DE59" w14:textId="77777777" w:rsidR="005301F2" w:rsidRDefault="005301F2" w:rsidP="00975A67">
            <w:pPr>
              <w:spacing w:line="276" w:lineRule="auto"/>
              <w:rPr>
                <w:rFonts w:ascii="Arial" w:hAnsi="Arial" w:cs="Arial"/>
                <w:b/>
                <w:bCs/>
                <w:sz w:val="20"/>
                <w:szCs w:val="20"/>
              </w:rPr>
            </w:pPr>
          </w:p>
        </w:tc>
        <w:tc>
          <w:tcPr>
            <w:tcW w:w="1659" w:type="dxa"/>
          </w:tcPr>
          <w:p w14:paraId="361BBD4C" w14:textId="77777777" w:rsidR="005301F2" w:rsidRDefault="005301F2" w:rsidP="00975A67">
            <w:pPr>
              <w:spacing w:line="276" w:lineRule="auto"/>
              <w:rPr>
                <w:rFonts w:ascii="Arial" w:hAnsi="Arial" w:cs="Arial"/>
                <w:b/>
                <w:bCs/>
                <w:sz w:val="20"/>
                <w:szCs w:val="20"/>
              </w:rPr>
            </w:pPr>
          </w:p>
        </w:tc>
        <w:tc>
          <w:tcPr>
            <w:tcW w:w="3120" w:type="dxa"/>
          </w:tcPr>
          <w:p w14:paraId="6139D297" w14:textId="77777777" w:rsidR="005301F2" w:rsidRDefault="005301F2" w:rsidP="00975A67">
            <w:pPr>
              <w:spacing w:line="276" w:lineRule="auto"/>
              <w:rPr>
                <w:rFonts w:ascii="Arial" w:hAnsi="Arial" w:cs="Arial"/>
                <w:b/>
                <w:bCs/>
                <w:sz w:val="20"/>
                <w:szCs w:val="20"/>
              </w:rPr>
            </w:pPr>
          </w:p>
        </w:tc>
        <w:tc>
          <w:tcPr>
            <w:tcW w:w="425" w:type="dxa"/>
          </w:tcPr>
          <w:p w14:paraId="0250DDBA" w14:textId="77777777" w:rsidR="005301F2" w:rsidRDefault="005301F2" w:rsidP="00975A67">
            <w:pPr>
              <w:spacing w:line="276" w:lineRule="auto"/>
              <w:rPr>
                <w:rFonts w:ascii="Arial" w:hAnsi="Arial" w:cs="Arial"/>
                <w:b/>
                <w:bCs/>
                <w:sz w:val="20"/>
                <w:szCs w:val="20"/>
              </w:rPr>
            </w:pPr>
          </w:p>
        </w:tc>
      </w:tr>
    </w:tbl>
    <w:p w14:paraId="63228E1D" w14:textId="77777777" w:rsidR="005301F2" w:rsidRDefault="005301F2" w:rsidP="005301F2">
      <w:pPr>
        <w:spacing w:after="120"/>
        <w:ind w:firstLine="426"/>
        <w:jc w:val="both"/>
        <w:rPr>
          <w:rFonts w:ascii="Arial" w:hAnsi="Arial" w:cs="Arial"/>
          <w:bCs/>
          <w:sz w:val="20"/>
          <w:szCs w:val="20"/>
        </w:rPr>
      </w:pPr>
      <w:r>
        <w:rPr>
          <w:rFonts w:ascii="Arial" w:hAnsi="Arial" w:cs="Arial"/>
          <w:bCs/>
          <w:sz w:val="20"/>
          <w:szCs w:val="20"/>
        </w:rPr>
        <w:t>Suinteresuotiems tiekėjams</w:t>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w:t>
      </w:r>
    </w:p>
    <w:p w14:paraId="3FB2DDCE" w14:textId="77777777" w:rsidR="005301F2" w:rsidRDefault="005301F2" w:rsidP="005301F2">
      <w:pPr>
        <w:spacing w:after="120"/>
        <w:ind w:firstLine="426"/>
        <w:jc w:val="both"/>
        <w:rPr>
          <w:rFonts w:ascii="Arial" w:hAnsi="Arial" w:cs="Arial"/>
          <w:bCs/>
          <w:sz w:val="20"/>
          <w:szCs w:val="20"/>
        </w:rPr>
      </w:pPr>
      <w:r>
        <w:rPr>
          <w:rFonts w:ascii="Arial" w:hAnsi="Arial" w:cs="Arial"/>
          <w:bCs/>
          <w:sz w:val="20"/>
          <w:szCs w:val="20"/>
        </w:rPr>
        <w:t xml:space="preserve">CVP IS susirašinėjimo priemonėmis </w:t>
      </w:r>
    </w:p>
    <w:p w14:paraId="4BF3F78F" w14:textId="3A03520D" w:rsidR="005301F2" w:rsidRPr="008A760B" w:rsidRDefault="005301F2" w:rsidP="005301F2">
      <w:pPr>
        <w:spacing w:after="120"/>
        <w:ind w:firstLine="426"/>
        <w:jc w:val="both"/>
        <w:rPr>
          <w:rFonts w:ascii="Arial" w:hAnsi="Arial" w:cs="Arial"/>
          <w:b/>
          <w:sz w:val="20"/>
          <w:szCs w:val="20"/>
        </w:rPr>
      </w:pPr>
      <w:r w:rsidRPr="008A760B">
        <w:rPr>
          <w:rFonts w:ascii="Arial" w:hAnsi="Arial" w:cs="Arial"/>
          <w:b/>
          <w:sz w:val="20"/>
          <w:szCs w:val="20"/>
        </w:rPr>
        <w:t>DĖL ATSAKYM</w:t>
      </w:r>
      <w:r>
        <w:rPr>
          <w:rFonts w:ascii="Arial" w:hAnsi="Arial" w:cs="Arial"/>
          <w:b/>
          <w:sz w:val="20"/>
          <w:szCs w:val="20"/>
        </w:rPr>
        <w:t>O</w:t>
      </w:r>
      <w:r w:rsidRPr="008A760B">
        <w:rPr>
          <w:rFonts w:ascii="Arial" w:hAnsi="Arial" w:cs="Arial"/>
          <w:b/>
          <w:sz w:val="20"/>
          <w:szCs w:val="20"/>
        </w:rPr>
        <w:t xml:space="preserve"> Į P</w:t>
      </w:r>
      <w:r>
        <w:rPr>
          <w:rFonts w:ascii="Arial" w:hAnsi="Arial" w:cs="Arial"/>
          <w:b/>
          <w:sz w:val="20"/>
          <w:szCs w:val="20"/>
        </w:rPr>
        <w:t>AKLAUSIMĄ</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2026-01</w:t>
      </w:r>
      <w:r>
        <w:rPr>
          <w:rFonts w:ascii="Arial" w:hAnsi="Arial" w:cs="Arial"/>
          <w:b/>
          <w:sz w:val="20"/>
          <w:szCs w:val="20"/>
        </w:rPr>
        <w:t>-07</w:t>
      </w:r>
    </w:p>
    <w:p w14:paraId="696D0CFA" w14:textId="77777777" w:rsidR="005301F2" w:rsidRDefault="005301F2" w:rsidP="005301F2">
      <w:pPr>
        <w:spacing w:before="40" w:after="40"/>
        <w:jc w:val="both"/>
      </w:pPr>
    </w:p>
    <w:p w14:paraId="1797BF78" w14:textId="77777777" w:rsidR="005301F2" w:rsidRDefault="005301F2" w:rsidP="005301F2">
      <w:pPr>
        <w:spacing w:before="40" w:after="40"/>
        <w:jc w:val="both"/>
      </w:pPr>
    </w:p>
    <w:p w14:paraId="3399209B" w14:textId="77777777" w:rsidR="005301F2" w:rsidRDefault="005301F2" w:rsidP="005301F2">
      <w:pPr>
        <w:spacing w:before="40" w:after="40"/>
        <w:ind w:firstLine="284"/>
        <w:jc w:val="both"/>
        <w:rPr>
          <w:rFonts w:ascii="Arial" w:hAnsi="Arial" w:cs="Arial"/>
          <w:i/>
          <w:iCs/>
          <w:sz w:val="20"/>
          <w:szCs w:val="20"/>
        </w:rPr>
      </w:pPr>
      <w:r>
        <w:rPr>
          <w:rFonts w:ascii="Arial" w:hAnsi="Arial" w:cs="Arial"/>
          <w:i/>
          <w:iCs/>
          <w:sz w:val="20"/>
          <w:szCs w:val="20"/>
        </w:rPr>
        <w:t>AB „Lietuvos paštas“ vykdomo</w:t>
      </w:r>
      <w:r w:rsidRPr="003218E6">
        <w:t xml:space="preserve"> </w:t>
      </w:r>
      <w:r>
        <w:rPr>
          <w:rFonts w:ascii="Arial" w:hAnsi="Arial" w:cs="Arial"/>
          <w:i/>
          <w:iCs/>
          <w:sz w:val="20"/>
          <w:szCs w:val="20"/>
        </w:rPr>
        <w:t xml:space="preserve">Procesų valdymo programinės įrangos licencijos nuoma </w:t>
      </w:r>
      <w:r w:rsidRPr="003218E6">
        <w:rPr>
          <w:rFonts w:ascii="Arial" w:hAnsi="Arial" w:cs="Arial"/>
          <w:i/>
          <w:iCs/>
          <w:sz w:val="20"/>
          <w:szCs w:val="20"/>
        </w:rPr>
        <w:t>pirkim</w:t>
      </w:r>
      <w:r>
        <w:rPr>
          <w:rFonts w:ascii="Arial" w:hAnsi="Arial" w:cs="Arial"/>
          <w:i/>
          <w:iCs/>
          <w:sz w:val="20"/>
          <w:szCs w:val="20"/>
        </w:rPr>
        <w:t xml:space="preserve">o Nr. </w:t>
      </w:r>
      <w:r w:rsidRPr="00657A57">
        <w:rPr>
          <w:rFonts w:ascii="Arial" w:hAnsi="Arial" w:cs="Arial"/>
          <w:i/>
          <w:iCs/>
          <w:sz w:val="20"/>
          <w:szCs w:val="20"/>
        </w:rPr>
        <w:t>6027179</w:t>
      </w:r>
      <w:r>
        <w:rPr>
          <w:rFonts w:ascii="Arial" w:hAnsi="Arial" w:cs="Arial"/>
          <w:i/>
          <w:iCs/>
          <w:sz w:val="20"/>
          <w:szCs w:val="20"/>
        </w:rPr>
        <w:t xml:space="preserve"> viešojo pirkimo komisija (toliau – Komisija) i</w:t>
      </w:r>
      <w:r w:rsidRPr="00294C85">
        <w:rPr>
          <w:rFonts w:ascii="Arial" w:hAnsi="Arial" w:cs="Arial"/>
          <w:i/>
          <w:iCs/>
          <w:sz w:val="20"/>
          <w:szCs w:val="20"/>
        </w:rPr>
        <w:t xml:space="preserve">nformuoja, kad </w:t>
      </w:r>
      <w:r>
        <w:rPr>
          <w:rFonts w:ascii="Arial" w:hAnsi="Arial" w:cs="Arial"/>
          <w:i/>
          <w:iCs/>
          <w:sz w:val="20"/>
          <w:szCs w:val="20"/>
        </w:rPr>
        <w:t xml:space="preserve">2026-01-06 CVP IS priemonėmis </w:t>
      </w:r>
      <w:r w:rsidRPr="00294C85">
        <w:rPr>
          <w:rFonts w:ascii="Arial" w:hAnsi="Arial" w:cs="Arial"/>
          <w:i/>
          <w:iCs/>
          <w:sz w:val="20"/>
          <w:szCs w:val="20"/>
        </w:rPr>
        <w:t>iš suinteresuoto tiekėjo buvo gaut</w:t>
      </w:r>
      <w:r>
        <w:rPr>
          <w:rFonts w:ascii="Arial" w:hAnsi="Arial" w:cs="Arial"/>
          <w:i/>
          <w:iCs/>
          <w:sz w:val="20"/>
          <w:szCs w:val="20"/>
        </w:rPr>
        <w:t>as</w:t>
      </w:r>
      <w:r w:rsidRPr="00294C85">
        <w:rPr>
          <w:rFonts w:ascii="Arial" w:hAnsi="Arial" w:cs="Arial"/>
          <w:i/>
          <w:iCs/>
          <w:sz w:val="20"/>
          <w:szCs w:val="20"/>
        </w:rPr>
        <w:t xml:space="preserve"> </w:t>
      </w:r>
      <w:r>
        <w:rPr>
          <w:rFonts w:ascii="Arial" w:hAnsi="Arial" w:cs="Arial"/>
          <w:i/>
          <w:iCs/>
          <w:sz w:val="20"/>
          <w:szCs w:val="20"/>
        </w:rPr>
        <w:t>paklausimas „</w:t>
      </w:r>
      <w:r w:rsidRPr="00C46123">
        <w:rPr>
          <w:rFonts w:ascii="Arial" w:hAnsi="Arial" w:cs="Arial"/>
          <w:i/>
          <w:iCs/>
          <w:sz w:val="20"/>
          <w:szCs w:val="20"/>
        </w:rPr>
        <w:t>Dėl pirkimo dokumentų paaiškinimo</w:t>
      </w:r>
      <w:r>
        <w:rPr>
          <w:rFonts w:ascii="Arial" w:hAnsi="Arial" w:cs="Arial"/>
          <w:i/>
          <w:iCs/>
          <w:sz w:val="20"/>
          <w:szCs w:val="20"/>
        </w:rPr>
        <w:t>“</w:t>
      </w:r>
      <w:r w:rsidRPr="00C46123">
        <w:rPr>
          <w:rFonts w:ascii="Arial" w:hAnsi="Arial" w:cs="Arial"/>
          <w:i/>
          <w:iCs/>
          <w:sz w:val="20"/>
          <w:szCs w:val="20"/>
        </w:rPr>
        <w:t xml:space="preserve"> </w:t>
      </w:r>
      <w:r>
        <w:rPr>
          <w:rFonts w:ascii="Arial" w:hAnsi="Arial" w:cs="Arial"/>
          <w:i/>
          <w:iCs/>
          <w:sz w:val="20"/>
          <w:szCs w:val="20"/>
        </w:rPr>
        <w:t>(pridedamas tekstas neredaguotas)  į kurį atsakome taip</w:t>
      </w:r>
      <w:r w:rsidRPr="00294C85">
        <w:rPr>
          <w:rFonts w:ascii="Arial" w:hAnsi="Arial" w:cs="Arial"/>
          <w:i/>
          <w:iCs/>
          <w:sz w:val="20"/>
          <w:szCs w:val="20"/>
        </w:rPr>
        <w:t>:</w:t>
      </w:r>
    </w:p>
    <w:p w14:paraId="1484B520" w14:textId="77777777" w:rsidR="005301F2" w:rsidRDefault="005301F2" w:rsidP="005301F2">
      <w:pPr>
        <w:spacing w:before="40" w:after="40"/>
        <w:ind w:firstLine="284"/>
        <w:jc w:val="both"/>
        <w:rPr>
          <w:rFonts w:ascii="Arial" w:hAnsi="Arial" w:cs="Arial"/>
          <w:b/>
          <w:bCs/>
          <w:i/>
          <w:iCs/>
          <w:sz w:val="20"/>
          <w:szCs w:val="20"/>
        </w:rPr>
      </w:pPr>
    </w:p>
    <w:p w14:paraId="422545CC" w14:textId="77777777" w:rsidR="005301F2" w:rsidRPr="00934AD3" w:rsidRDefault="005301F2" w:rsidP="005301F2">
      <w:pPr>
        <w:spacing w:before="40" w:after="40"/>
        <w:ind w:firstLine="284"/>
        <w:jc w:val="both"/>
        <w:rPr>
          <w:rFonts w:ascii="Arial" w:hAnsi="Arial" w:cs="Arial"/>
          <w:b/>
          <w:bCs/>
          <w:i/>
          <w:iCs/>
          <w:sz w:val="20"/>
          <w:szCs w:val="20"/>
        </w:rPr>
      </w:pPr>
      <w:r w:rsidRPr="00934AD3">
        <w:rPr>
          <w:rFonts w:ascii="Arial" w:hAnsi="Arial" w:cs="Arial"/>
          <w:b/>
          <w:bCs/>
          <w:i/>
          <w:iCs/>
          <w:sz w:val="20"/>
          <w:szCs w:val="20"/>
        </w:rPr>
        <w:t xml:space="preserve">1 klausimas </w:t>
      </w:r>
      <w:bookmarkStart w:id="0" w:name="_Hlk181805240"/>
      <w:r w:rsidRPr="00934AD3">
        <w:rPr>
          <w:rFonts w:ascii="Arial" w:hAnsi="Arial" w:cs="Arial"/>
          <w:b/>
          <w:bCs/>
          <w:i/>
          <w:iCs/>
          <w:sz w:val="20"/>
          <w:szCs w:val="20"/>
        </w:rPr>
        <w:t>(tekstas neredaguotas)</w:t>
      </w:r>
      <w:bookmarkEnd w:id="0"/>
      <w:r w:rsidRPr="00934AD3">
        <w:rPr>
          <w:rFonts w:ascii="Arial" w:hAnsi="Arial" w:cs="Arial"/>
          <w:b/>
          <w:bCs/>
          <w:i/>
          <w:iCs/>
          <w:sz w:val="20"/>
          <w:szCs w:val="20"/>
        </w:rPr>
        <w:t>:</w:t>
      </w:r>
    </w:p>
    <w:p w14:paraId="2AF36D4A" w14:textId="77777777" w:rsidR="005301F2" w:rsidRDefault="005301F2" w:rsidP="005301F2">
      <w:pPr>
        <w:pStyle w:val="prastasiniatinklio"/>
        <w:shd w:val="clear" w:color="auto" w:fill="FFFFFF"/>
        <w:spacing w:before="0" w:beforeAutospacing="0" w:after="150" w:afterAutospacing="0"/>
        <w:ind w:firstLine="284"/>
        <w:rPr>
          <w:rFonts w:ascii="Roboto" w:hAnsi="Roboto"/>
          <w:color w:val="00241A"/>
          <w:sz w:val="21"/>
          <w:szCs w:val="21"/>
          <w:shd w:val="clear" w:color="auto" w:fill="FFFFFF"/>
        </w:rPr>
      </w:pPr>
      <w:r>
        <w:rPr>
          <w:rFonts w:ascii="Roboto" w:hAnsi="Roboto"/>
          <w:color w:val="00241A"/>
          <w:sz w:val="21"/>
          <w:szCs w:val="21"/>
          <w:shd w:val="clear" w:color="auto" w:fill="FFFFFF"/>
        </w:rPr>
        <w:t>prašome patikslinti techninės specifikacijos:</w:t>
      </w:r>
      <w:r>
        <w:rPr>
          <w:rFonts w:ascii="Roboto" w:hAnsi="Roboto"/>
          <w:color w:val="00241A"/>
          <w:sz w:val="21"/>
          <w:szCs w:val="21"/>
        </w:rPr>
        <w:br/>
      </w:r>
      <w:r>
        <w:rPr>
          <w:rFonts w:ascii="Roboto" w:hAnsi="Roboto"/>
          <w:color w:val="00241A"/>
          <w:sz w:val="21"/>
          <w:szCs w:val="21"/>
          <w:shd w:val="clear" w:color="auto" w:fill="FFFFFF"/>
        </w:rPr>
        <w:t xml:space="preserve"> 8.1 p. "Programinė įranga turi užtikrinti rodiklių integraciją ir vizualizaciją, turi būti galimybė stebėti ir analizuoti pagrindinius veiklos rodiklius (pvz., proceso trukmę, išlaidas, našumą ir pan.) tame pačiame programinės įrangos modulyje" Ar programinė įranga turi tik užtikrinti rodiklių integraciją, ar šio pirkimo metu ir reikės padaryti integraciją? Jei taip, iš kokių iš kitų sistemų? Reikalavimas yra veiklos rodiklių stebėjimui, tačiau nėra nurodyta kiek licencijų reikalinga rodikliams modeliuoti ir kiek stebėti?</w:t>
      </w:r>
    </w:p>
    <w:p w14:paraId="57B482FA" w14:textId="77777777" w:rsidR="005301F2" w:rsidRPr="00934AD3" w:rsidRDefault="005301F2" w:rsidP="005301F2">
      <w:pPr>
        <w:pStyle w:val="prastasiniatinklio"/>
        <w:shd w:val="clear" w:color="auto" w:fill="FFFFFF"/>
        <w:spacing w:before="0" w:beforeAutospacing="0" w:after="150" w:afterAutospacing="0"/>
        <w:ind w:firstLine="284"/>
        <w:rPr>
          <w:rFonts w:ascii="Calibri" w:hAnsi="Calibri" w:cs="Calibri"/>
          <w:b/>
          <w:bCs/>
          <w:i/>
          <w:iCs/>
          <w:color w:val="333333"/>
          <w:sz w:val="23"/>
          <w:szCs w:val="23"/>
        </w:rPr>
      </w:pPr>
      <w:r w:rsidRPr="00934AD3">
        <w:rPr>
          <w:rFonts w:ascii="Calibri" w:hAnsi="Calibri" w:cs="Calibri"/>
          <w:b/>
          <w:bCs/>
          <w:i/>
          <w:iCs/>
          <w:color w:val="333333"/>
          <w:sz w:val="23"/>
          <w:szCs w:val="23"/>
        </w:rPr>
        <w:t>Atsakymas į 1 klausimą:</w:t>
      </w:r>
    </w:p>
    <w:p w14:paraId="43119B85" w14:textId="77777777" w:rsidR="005301F2" w:rsidRDefault="005301F2" w:rsidP="005301F2">
      <w:pPr>
        <w:spacing w:before="40" w:after="40"/>
        <w:ind w:firstLine="284"/>
        <w:jc w:val="both"/>
        <w:rPr>
          <w:rFonts w:ascii="Calibri" w:hAnsi="Calibri" w:cs="Calibri"/>
          <w:i/>
          <w:iCs/>
          <w:color w:val="333333"/>
          <w:sz w:val="23"/>
          <w:szCs w:val="23"/>
          <w:lang w:eastAsia="lt-LT"/>
        </w:rPr>
      </w:pPr>
      <w:r w:rsidRPr="007E07E4">
        <w:rPr>
          <w:rFonts w:ascii="Calibri" w:hAnsi="Calibri" w:cs="Calibri"/>
          <w:i/>
          <w:iCs/>
          <w:color w:val="333333"/>
          <w:sz w:val="23"/>
          <w:szCs w:val="23"/>
          <w:lang w:eastAsia="lt-LT"/>
        </w:rPr>
        <w:t xml:space="preserve">Šio pirkimo metu integracija su kitomis sistemomis nenumatyta. Pirkėjas perka vieną licenciją su galimybe programine įranga naudotis ne mažiau kaip </w:t>
      </w:r>
      <w:r>
        <w:rPr>
          <w:rFonts w:ascii="Calibri" w:hAnsi="Calibri" w:cs="Calibri"/>
          <w:i/>
          <w:iCs/>
          <w:color w:val="333333"/>
          <w:sz w:val="23"/>
          <w:szCs w:val="23"/>
          <w:lang w:eastAsia="lt-LT"/>
        </w:rPr>
        <w:t xml:space="preserve">šiems Naudotojams: </w:t>
      </w:r>
      <w:r w:rsidRPr="007E07E4">
        <w:rPr>
          <w:rFonts w:ascii="Calibri" w:hAnsi="Calibri" w:cs="Calibri"/>
          <w:i/>
          <w:iCs/>
          <w:color w:val="333333"/>
          <w:sz w:val="23"/>
          <w:szCs w:val="23"/>
          <w:lang w:eastAsia="lt-LT"/>
        </w:rPr>
        <w:t>5 modeliuotojams ir 300 skaitytojų (</w:t>
      </w:r>
      <w:r>
        <w:rPr>
          <w:rFonts w:ascii="Calibri" w:hAnsi="Calibri" w:cs="Calibri"/>
          <w:i/>
          <w:iCs/>
          <w:color w:val="333333"/>
          <w:sz w:val="23"/>
          <w:szCs w:val="23"/>
          <w:lang w:eastAsia="lt-LT"/>
        </w:rPr>
        <w:t xml:space="preserve">detalų </w:t>
      </w:r>
      <w:r w:rsidRPr="007E07E4">
        <w:rPr>
          <w:rFonts w:ascii="Calibri" w:hAnsi="Calibri" w:cs="Calibri"/>
          <w:i/>
          <w:iCs/>
          <w:color w:val="333333"/>
          <w:sz w:val="23"/>
          <w:szCs w:val="23"/>
          <w:lang w:eastAsia="lt-LT"/>
        </w:rPr>
        <w:t>naudotojų rolių aprašymą žr. TS 2 lentelės 1 eil. Programinės įrangos naudotojų rolės)</w:t>
      </w:r>
      <w:r w:rsidRPr="00657A57">
        <w:rPr>
          <w:rFonts w:ascii="Calibri" w:hAnsi="Calibri" w:cs="Calibri"/>
          <w:i/>
          <w:iCs/>
          <w:color w:val="333333"/>
          <w:sz w:val="23"/>
          <w:szCs w:val="23"/>
          <w:lang w:eastAsia="lt-LT"/>
        </w:rPr>
        <w:t>.</w:t>
      </w:r>
    </w:p>
    <w:p w14:paraId="158809F9" w14:textId="77777777" w:rsidR="005301F2" w:rsidRDefault="005301F2" w:rsidP="005301F2">
      <w:pPr>
        <w:spacing w:before="40" w:after="40"/>
        <w:ind w:firstLine="284"/>
        <w:jc w:val="both"/>
        <w:rPr>
          <w:rFonts w:ascii="Calibri" w:hAnsi="Calibri" w:cs="Calibri"/>
          <w:i/>
          <w:iCs/>
          <w:color w:val="333333"/>
          <w:sz w:val="23"/>
          <w:szCs w:val="23"/>
          <w:lang w:eastAsia="lt-LT"/>
        </w:rPr>
      </w:pPr>
    </w:p>
    <w:p w14:paraId="1EF341F7" w14:textId="77777777" w:rsidR="005301F2" w:rsidRPr="00934AD3" w:rsidRDefault="005301F2" w:rsidP="005301F2">
      <w:pPr>
        <w:spacing w:before="40" w:after="40"/>
        <w:ind w:firstLine="284"/>
        <w:jc w:val="both"/>
        <w:rPr>
          <w:rFonts w:ascii="Arial" w:hAnsi="Arial" w:cs="Arial"/>
          <w:b/>
          <w:bCs/>
          <w:i/>
          <w:iCs/>
          <w:sz w:val="20"/>
          <w:szCs w:val="20"/>
        </w:rPr>
      </w:pPr>
      <w:r>
        <w:rPr>
          <w:rFonts w:ascii="Arial" w:hAnsi="Arial" w:cs="Arial"/>
          <w:b/>
          <w:bCs/>
          <w:i/>
          <w:iCs/>
          <w:sz w:val="20"/>
          <w:szCs w:val="20"/>
        </w:rPr>
        <w:t>2</w:t>
      </w:r>
      <w:r w:rsidRPr="00934AD3">
        <w:rPr>
          <w:rFonts w:ascii="Arial" w:hAnsi="Arial" w:cs="Arial"/>
          <w:b/>
          <w:bCs/>
          <w:i/>
          <w:iCs/>
          <w:sz w:val="20"/>
          <w:szCs w:val="20"/>
        </w:rPr>
        <w:t xml:space="preserve"> klausimas (tekstas neredaguotas):</w:t>
      </w:r>
    </w:p>
    <w:p w14:paraId="75367685" w14:textId="77777777" w:rsidR="005301F2" w:rsidRPr="00C46123" w:rsidRDefault="005301F2" w:rsidP="005301F2">
      <w:pPr>
        <w:pStyle w:val="prastasiniatinklio"/>
        <w:shd w:val="clear" w:color="auto" w:fill="FFFFFF"/>
        <w:spacing w:before="0" w:beforeAutospacing="0" w:after="150" w:afterAutospacing="0"/>
        <w:ind w:firstLine="284"/>
        <w:rPr>
          <w:rFonts w:ascii="Roboto" w:hAnsi="Roboto"/>
          <w:color w:val="00241A"/>
          <w:sz w:val="21"/>
          <w:szCs w:val="21"/>
          <w:shd w:val="clear" w:color="auto" w:fill="FFFFFF"/>
        </w:rPr>
      </w:pPr>
      <w:r w:rsidRPr="00C46123">
        <w:rPr>
          <w:rFonts w:ascii="Roboto" w:hAnsi="Roboto"/>
          <w:color w:val="00241A"/>
          <w:sz w:val="21"/>
          <w:szCs w:val="21"/>
          <w:shd w:val="clear" w:color="auto" w:fill="FFFFFF"/>
        </w:rPr>
        <w:t>9.1. p. 9.1. "Turi būti galimybė programinę įrangą integruoti su išorinėmis duomenų bazėmis, aplikacijomis ar kitomis IT sistemomis (ne mažiau kaip Microsoft Power BI), užtikrinant sklandų duomenų keitimąsi tarp duomenų bazių" - Ar pirkimas apima tik licencijų įsigijimą ir konsultacijas ar ir pačią integraciją?</w:t>
      </w:r>
    </w:p>
    <w:p w14:paraId="456DCBB2" w14:textId="77777777" w:rsidR="005301F2" w:rsidRPr="00934AD3" w:rsidRDefault="005301F2" w:rsidP="005301F2">
      <w:pPr>
        <w:pStyle w:val="prastasiniatinklio"/>
        <w:shd w:val="clear" w:color="auto" w:fill="FFFFFF"/>
        <w:spacing w:before="0" w:beforeAutospacing="0" w:after="150" w:afterAutospacing="0"/>
        <w:ind w:firstLine="284"/>
        <w:rPr>
          <w:rFonts w:ascii="Calibri" w:hAnsi="Calibri" w:cs="Calibri"/>
          <w:b/>
          <w:bCs/>
          <w:i/>
          <w:iCs/>
          <w:color w:val="333333"/>
          <w:sz w:val="23"/>
          <w:szCs w:val="23"/>
        </w:rPr>
      </w:pPr>
      <w:r w:rsidRPr="00934AD3">
        <w:rPr>
          <w:rFonts w:ascii="Calibri" w:hAnsi="Calibri" w:cs="Calibri"/>
          <w:b/>
          <w:bCs/>
          <w:i/>
          <w:iCs/>
          <w:color w:val="333333"/>
          <w:sz w:val="23"/>
          <w:szCs w:val="23"/>
        </w:rPr>
        <w:t xml:space="preserve">Atsakymas į </w:t>
      </w:r>
      <w:r>
        <w:rPr>
          <w:rFonts w:ascii="Calibri" w:hAnsi="Calibri" w:cs="Calibri"/>
          <w:b/>
          <w:bCs/>
          <w:i/>
          <w:iCs/>
          <w:color w:val="333333"/>
          <w:sz w:val="23"/>
          <w:szCs w:val="23"/>
        </w:rPr>
        <w:t>2</w:t>
      </w:r>
      <w:r w:rsidRPr="00934AD3">
        <w:rPr>
          <w:rFonts w:ascii="Calibri" w:hAnsi="Calibri" w:cs="Calibri"/>
          <w:b/>
          <w:bCs/>
          <w:i/>
          <w:iCs/>
          <w:color w:val="333333"/>
          <w:sz w:val="23"/>
          <w:szCs w:val="23"/>
        </w:rPr>
        <w:t xml:space="preserve"> klausimą:</w:t>
      </w:r>
    </w:p>
    <w:p w14:paraId="202C3D6A" w14:textId="77777777" w:rsidR="005301F2" w:rsidRDefault="005301F2" w:rsidP="005301F2">
      <w:pPr>
        <w:pStyle w:val="prastasiniatinklio"/>
        <w:shd w:val="clear" w:color="auto" w:fill="FFFFFF"/>
        <w:spacing w:before="0" w:beforeAutospacing="0" w:after="150" w:afterAutospacing="0"/>
        <w:ind w:firstLine="284"/>
        <w:rPr>
          <w:rFonts w:ascii="Calibri" w:hAnsi="Calibri" w:cs="Calibri"/>
          <w:i/>
          <w:iCs/>
          <w:color w:val="333333"/>
          <w:sz w:val="23"/>
          <w:szCs w:val="23"/>
        </w:rPr>
      </w:pPr>
      <w:r w:rsidRPr="00657A57">
        <w:rPr>
          <w:rFonts w:ascii="Calibri" w:hAnsi="Calibri" w:cs="Calibri"/>
          <w:i/>
          <w:iCs/>
          <w:color w:val="333333"/>
          <w:sz w:val="23"/>
          <w:szCs w:val="23"/>
        </w:rPr>
        <w:t>Šio pirkimo metu integracija su kitomis sistemomis nenumatyta.</w:t>
      </w:r>
    </w:p>
    <w:p w14:paraId="5C3CC580" w14:textId="77777777" w:rsidR="005301F2" w:rsidRDefault="005301F2" w:rsidP="005301F2">
      <w:pPr>
        <w:pStyle w:val="prastasiniatinklio"/>
        <w:shd w:val="clear" w:color="auto" w:fill="FFFFFF"/>
        <w:spacing w:before="0" w:beforeAutospacing="0" w:after="150" w:afterAutospacing="0"/>
        <w:ind w:firstLine="284"/>
        <w:rPr>
          <w:rFonts w:ascii="Calibri" w:hAnsi="Calibri" w:cs="Calibri"/>
          <w:i/>
          <w:iCs/>
          <w:color w:val="333333"/>
          <w:sz w:val="23"/>
          <w:szCs w:val="23"/>
        </w:rPr>
      </w:pPr>
    </w:p>
    <w:p w14:paraId="2271AFF8" w14:textId="77777777" w:rsidR="005301F2" w:rsidRDefault="005301F2" w:rsidP="005301F2">
      <w:pPr>
        <w:pStyle w:val="prastasiniatinklio"/>
        <w:shd w:val="clear" w:color="auto" w:fill="FFFFFF"/>
        <w:spacing w:before="0" w:beforeAutospacing="0" w:after="150" w:afterAutospacing="0"/>
        <w:ind w:firstLine="284"/>
        <w:rPr>
          <w:rFonts w:ascii="Calibri" w:hAnsi="Calibri" w:cs="Calibri"/>
          <w:i/>
          <w:iCs/>
          <w:color w:val="333333"/>
          <w:sz w:val="23"/>
          <w:szCs w:val="23"/>
        </w:rPr>
      </w:pPr>
      <w:r>
        <w:rPr>
          <w:rFonts w:ascii="Calibri" w:hAnsi="Calibri" w:cs="Calibri"/>
          <w:i/>
          <w:iCs/>
          <w:color w:val="333333"/>
          <w:sz w:val="23"/>
          <w:szCs w:val="23"/>
        </w:rPr>
        <w:t>Papildomai Komisija informuoja, kad atsakant į suinteresuoto tiekėjo paklausimus nebuvo padaryti jokie pirkimo sąlygų pakeitimai ir suinteresuoti tiekėjai turi pakankamai laiko iki pirminių pasiūlymų pateikimo termino pabaigos susipažinti su Komisijos pateikiamais atsakymais, dėl to Komisija nepratęsia pasiūlymų pateikimo termino.</w:t>
      </w:r>
    </w:p>
    <w:p w14:paraId="554CBCA1" w14:textId="2C6F97C3" w:rsidR="0048496B" w:rsidRPr="005301F2" w:rsidRDefault="005301F2" w:rsidP="005301F2">
      <w:pPr>
        <w:pStyle w:val="prastasiniatinklio"/>
        <w:shd w:val="clear" w:color="auto" w:fill="FFFFFF"/>
        <w:spacing w:before="0" w:beforeAutospacing="0" w:after="150" w:afterAutospacing="0"/>
        <w:ind w:firstLine="284"/>
        <w:rPr>
          <w:rFonts w:ascii="Calibri" w:hAnsi="Calibri" w:cs="Calibri"/>
          <w:i/>
          <w:iCs/>
          <w:color w:val="333333"/>
          <w:sz w:val="23"/>
          <w:szCs w:val="23"/>
        </w:rPr>
      </w:pPr>
      <w:r>
        <w:rPr>
          <w:rFonts w:ascii="Calibri" w:hAnsi="Calibri" w:cs="Calibri"/>
          <w:i/>
          <w:iCs/>
          <w:color w:val="333333"/>
          <w:sz w:val="23"/>
          <w:szCs w:val="23"/>
        </w:rPr>
        <w:t>Pagarbiai, Komisija</w:t>
      </w:r>
    </w:p>
    <w:sectPr w:rsidR="0048496B" w:rsidRPr="005301F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EC5A86"/>
    <w:rsid w:val="00127D65"/>
    <w:rsid w:val="002B5C7D"/>
    <w:rsid w:val="0048496B"/>
    <w:rsid w:val="004B5613"/>
    <w:rsid w:val="005301F2"/>
    <w:rsid w:val="00691CB1"/>
    <w:rsid w:val="00EC5A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516DD"/>
  <w15:chartTrackingRefBased/>
  <w15:docId w15:val="{61C8C3D9-532E-414D-B73D-77C3F9BCE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01F2"/>
    <w:pPr>
      <w:spacing w:after="0" w:line="240" w:lineRule="auto"/>
    </w:pPr>
    <w:rPr>
      <w:rFonts w:ascii="Times New Roman" w:eastAsia="Times New Roman" w:hAnsi="Times New Roman" w:cs="Times New Roman"/>
      <w:kern w:val="0"/>
      <w:sz w:val="24"/>
      <w:szCs w:val="24"/>
    </w:rPr>
  </w:style>
  <w:style w:type="paragraph" w:styleId="Antrat1">
    <w:name w:val="heading 1"/>
    <w:basedOn w:val="prastasis"/>
    <w:next w:val="prastasis"/>
    <w:link w:val="Antrat1Diagrama"/>
    <w:uiPriority w:val="9"/>
    <w:qFormat/>
    <w:rsid w:val="00EC5A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C5A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C5A8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C5A8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C5A8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C5A8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C5A8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C5A8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C5A8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C5A8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C5A8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C5A8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C5A8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C5A8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C5A8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C5A8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C5A8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C5A8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C5A8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C5A8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C5A8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C5A8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C5A8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C5A86"/>
    <w:rPr>
      <w:i/>
      <w:iCs/>
      <w:color w:val="404040" w:themeColor="text1" w:themeTint="BF"/>
    </w:rPr>
  </w:style>
  <w:style w:type="paragraph" w:styleId="Sraopastraipa">
    <w:name w:val="List Paragraph"/>
    <w:basedOn w:val="prastasis"/>
    <w:uiPriority w:val="34"/>
    <w:qFormat/>
    <w:rsid w:val="00EC5A86"/>
    <w:pPr>
      <w:ind w:left="720"/>
      <w:contextualSpacing/>
    </w:pPr>
  </w:style>
  <w:style w:type="character" w:styleId="Rykuspabraukimas">
    <w:name w:val="Intense Emphasis"/>
    <w:basedOn w:val="Numatytasispastraiposriftas"/>
    <w:uiPriority w:val="21"/>
    <w:qFormat/>
    <w:rsid w:val="00EC5A86"/>
    <w:rPr>
      <w:i/>
      <w:iCs/>
      <w:color w:val="2F5496" w:themeColor="accent1" w:themeShade="BF"/>
    </w:rPr>
  </w:style>
  <w:style w:type="paragraph" w:styleId="Iskirtacitata">
    <w:name w:val="Intense Quote"/>
    <w:basedOn w:val="prastasis"/>
    <w:next w:val="prastasis"/>
    <w:link w:val="IskirtacitataDiagrama"/>
    <w:uiPriority w:val="30"/>
    <w:qFormat/>
    <w:rsid w:val="00EC5A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C5A86"/>
    <w:rPr>
      <w:i/>
      <w:iCs/>
      <w:color w:val="2F5496" w:themeColor="accent1" w:themeShade="BF"/>
    </w:rPr>
  </w:style>
  <w:style w:type="character" w:styleId="Rykinuoroda">
    <w:name w:val="Intense Reference"/>
    <w:basedOn w:val="Numatytasispastraiposriftas"/>
    <w:uiPriority w:val="32"/>
    <w:qFormat/>
    <w:rsid w:val="00EC5A86"/>
    <w:rPr>
      <w:b/>
      <w:bCs/>
      <w:smallCaps/>
      <w:color w:val="2F5496" w:themeColor="accent1" w:themeShade="BF"/>
      <w:spacing w:val="5"/>
    </w:rPr>
  </w:style>
  <w:style w:type="paragraph" w:styleId="prastasiniatinklio">
    <w:name w:val="Normal (Web)"/>
    <w:basedOn w:val="prastasis"/>
    <w:uiPriority w:val="99"/>
    <w:unhideWhenUsed/>
    <w:rsid w:val="005301F2"/>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1466</Words>
  <Characters>836</Characters>
  <Application>Microsoft Office Word</Application>
  <DocSecurity>0</DocSecurity>
  <Lines>6</Lines>
  <Paragraphs>4</Paragraphs>
  <ScaleCrop>false</ScaleCrop>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Puodžiūnienė</dc:creator>
  <cp:keywords/>
  <dc:description/>
  <cp:lastModifiedBy>Daina Puodžiūnienė</cp:lastModifiedBy>
  <cp:revision>2</cp:revision>
  <dcterms:created xsi:type="dcterms:W3CDTF">2026-01-07T14:18:00Z</dcterms:created>
  <dcterms:modified xsi:type="dcterms:W3CDTF">2026-01-07T14:18:00Z</dcterms:modified>
</cp:coreProperties>
</file>