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22D6F" w14:textId="24991403" w:rsidR="00EC5D90" w:rsidRPr="00C41AC0" w:rsidRDefault="00EC5D90" w:rsidP="0001400F">
      <w:pPr>
        <w:ind w:right="140"/>
        <w:jc w:val="right"/>
        <w:rPr>
          <w:bCs/>
          <w:color w:val="000000" w:themeColor="text1"/>
        </w:rPr>
      </w:pPr>
      <w:r w:rsidRPr="00C41AC0">
        <w:rPr>
          <w:bCs/>
          <w:color w:val="000000" w:themeColor="text1"/>
        </w:rPr>
        <w:t>VPP-</w:t>
      </w:r>
      <w:r w:rsidR="00E02051" w:rsidRPr="00C41AC0">
        <w:rPr>
          <w:bCs/>
          <w:color w:val="000000" w:themeColor="text1"/>
        </w:rPr>
        <w:t>6</w:t>
      </w:r>
      <w:r w:rsidR="00891731" w:rsidRPr="00C41AC0">
        <w:rPr>
          <w:bCs/>
          <w:color w:val="000000" w:themeColor="text1"/>
        </w:rPr>
        <w:t>3</w:t>
      </w:r>
      <w:r w:rsidR="00E02051" w:rsidRPr="00C41AC0">
        <w:rPr>
          <w:bCs/>
          <w:color w:val="000000" w:themeColor="text1"/>
        </w:rPr>
        <w:t>72</w:t>
      </w:r>
      <w:r w:rsidRPr="00C41AC0">
        <w:rPr>
          <w:bCs/>
          <w:color w:val="000000" w:themeColor="text1"/>
        </w:rPr>
        <w:t>, TSD-</w:t>
      </w:r>
      <w:r w:rsidR="009129AD" w:rsidRPr="009129AD">
        <w:rPr>
          <w:bCs/>
          <w:color w:val="000000" w:themeColor="text1"/>
        </w:rPr>
        <w:t>8</w:t>
      </w:r>
    </w:p>
    <w:p w14:paraId="6528526D" w14:textId="77777777" w:rsidR="00776C3E" w:rsidRPr="00C41AC0" w:rsidRDefault="00776C3E" w:rsidP="0001400F">
      <w:pPr>
        <w:rPr>
          <w:b/>
          <w:bCs/>
          <w:color w:val="000000" w:themeColor="text1"/>
        </w:rPr>
      </w:pPr>
    </w:p>
    <w:p w14:paraId="471FA63C" w14:textId="3FC2E4DC" w:rsidR="00A174FA" w:rsidRDefault="00A174FA" w:rsidP="00A174FA">
      <w:pPr>
        <w:autoSpaceDE w:val="0"/>
        <w:autoSpaceDN w:val="0"/>
        <w:adjustRightInd w:val="0"/>
        <w:rPr>
          <w:color w:val="000000" w:themeColor="text1"/>
          <w:lang w:eastAsia="en-GB"/>
        </w:rPr>
      </w:pPr>
    </w:p>
    <w:p w14:paraId="32D294FA" w14:textId="77777777" w:rsidR="009B1AD1" w:rsidRPr="00C41AC0" w:rsidRDefault="009B1AD1" w:rsidP="00A174FA">
      <w:pPr>
        <w:autoSpaceDE w:val="0"/>
        <w:autoSpaceDN w:val="0"/>
        <w:adjustRightInd w:val="0"/>
        <w:rPr>
          <w:color w:val="000000" w:themeColor="text1"/>
          <w:lang w:eastAsia="en-GB"/>
        </w:rPr>
      </w:pPr>
    </w:p>
    <w:p w14:paraId="39C6068E" w14:textId="7D2A1B11" w:rsidR="00EC5D90" w:rsidRPr="00C41AC0" w:rsidRDefault="00A174FA" w:rsidP="009B1AD1">
      <w:pPr>
        <w:jc w:val="center"/>
        <w:rPr>
          <w:b/>
          <w:bCs/>
          <w:color w:val="000000" w:themeColor="text1"/>
        </w:rPr>
      </w:pPr>
      <w:r w:rsidRPr="00C41AC0">
        <w:rPr>
          <w:color w:val="000000" w:themeColor="text1"/>
          <w:lang w:eastAsia="en-GB"/>
        </w:rPr>
        <w:t xml:space="preserve"> </w:t>
      </w:r>
      <w:r w:rsidRPr="00C41AC0">
        <w:rPr>
          <w:b/>
          <w:color w:val="000000" w:themeColor="text1"/>
          <w:lang w:eastAsia="en-GB"/>
        </w:rPr>
        <w:t xml:space="preserve">LOR darbo vietos </w:t>
      </w:r>
      <w:r w:rsidR="00E62C8B" w:rsidRPr="00C41AC0">
        <w:rPr>
          <w:b/>
          <w:bCs/>
          <w:color w:val="000000" w:themeColor="text1"/>
        </w:rPr>
        <w:t>techninė specifikacija</w:t>
      </w:r>
      <w:r w:rsidR="009B1AD1">
        <w:rPr>
          <w:b/>
          <w:bCs/>
          <w:color w:val="000000" w:themeColor="text1"/>
        </w:rPr>
        <w:t xml:space="preserve"> (kiekis - </w:t>
      </w:r>
      <w:r w:rsidR="00962354">
        <w:rPr>
          <w:b/>
          <w:bCs/>
          <w:color w:val="000000" w:themeColor="text1"/>
        </w:rPr>
        <w:t>1</w:t>
      </w:r>
      <w:r w:rsidR="00EC5D90" w:rsidRPr="00C41AC0">
        <w:rPr>
          <w:b/>
          <w:bCs/>
          <w:color w:val="000000" w:themeColor="text1"/>
        </w:rPr>
        <w:t xml:space="preserve"> </w:t>
      </w:r>
      <w:proofErr w:type="spellStart"/>
      <w:r w:rsidR="00EC5D90" w:rsidRPr="00C41AC0">
        <w:rPr>
          <w:b/>
          <w:bCs/>
          <w:color w:val="000000" w:themeColor="text1"/>
        </w:rPr>
        <w:t>kompl</w:t>
      </w:r>
      <w:proofErr w:type="spellEnd"/>
      <w:r w:rsidR="00EC5D90" w:rsidRPr="00C41AC0">
        <w:rPr>
          <w:b/>
          <w:bCs/>
          <w:color w:val="000000" w:themeColor="text1"/>
        </w:rPr>
        <w:t>.</w:t>
      </w:r>
      <w:r w:rsidR="009B1AD1">
        <w:rPr>
          <w:b/>
          <w:bCs/>
          <w:color w:val="000000" w:themeColor="text1"/>
        </w:rPr>
        <w:t>)</w:t>
      </w:r>
    </w:p>
    <w:p w14:paraId="286893AE" w14:textId="2BA7CF12" w:rsidR="001E059E" w:rsidRPr="00C41AC0" w:rsidRDefault="001E059E" w:rsidP="00E62C8B">
      <w:pPr>
        <w:rPr>
          <w:color w:val="000000" w:themeColor="text1"/>
        </w:rPr>
      </w:pP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23"/>
        <w:gridCol w:w="5811"/>
      </w:tblGrid>
      <w:tr w:rsidR="00C41AC0" w:rsidRPr="00C41AC0" w14:paraId="2F9CAA5C" w14:textId="77777777" w:rsidTr="004F5B95">
        <w:trPr>
          <w:trHeight w:val="68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D53" w14:textId="77777777" w:rsidR="004F5B95" w:rsidRPr="00C41AC0" w:rsidRDefault="004F5B95" w:rsidP="00241BB6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Eil.</w:t>
            </w:r>
          </w:p>
          <w:p w14:paraId="650242EA" w14:textId="77777777" w:rsidR="004F5B95" w:rsidRPr="00C41AC0" w:rsidRDefault="004F5B95" w:rsidP="00241BB6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Nr.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FC14" w14:textId="77777777" w:rsidR="004F5B95" w:rsidRPr="00C41AC0" w:rsidRDefault="004F5B95" w:rsidP="00241BB6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Parametrai (specifikacija)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269" w14:textId="77777777" w:rsidR="004F5B95" w:rsidRPr="00C41AC0" w:rsidRDefault="004F5B95" w:rsidP="00241BB6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Reikalaujamos parametrų reikšmės</w:t>
            </w:r>
          </w:p>
        </w:tc>
      </w:tr>
      <w:tr w:rsidR="00C41AC0" w:rsidRPr="00C41AC0" w14:paraId="7AB4445F" w14:textId="77777777" w:rsidTr="004F5B95">
        <w:trPr>
          <w:trHeight w:val="22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B515" w14:textId="62FA90A6" w:rsidR="004F5B95" w:rsidRPr="00C41AC0" w:rsidRDefault="004F5B95" w:rsidP="004F5B95">
            <w:pPr>
              <w:jc w:val="center"/>
              <w:rPr>
                <w:b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D55" w14:textId="34554C5D" w:rsidR="004F5B95" w:rsidRPr="00C41AC0" w:rsidRDefault="004F5B95" w:rsidP="00564DD8">
            <w:pPr>
              <w:rPr>
                <w:b/>
                <w:color w:val="000000" w:themeColor="text1"/>
              </w:rPr>
            </w:pPr>
            <w:proofErr w:type="spellStart"/>
            <w:r w:rsidRPr="00C41AC0">
              <w:rPr>
                <w:b/>
                <w:color w:val="000000" w:themeColor="text1"/>
              </w:rPr>
              <w:t>Otolaringologinės</w:t>
            </w:r>
            <w:proofErr w:type="spellEnd"/>
            <w:r w:rsidRPr="00C41AC0">
              <w:rPr>
                <w:b/>
                <w:color w:val="000000" w:themeColor="text1"/>
              </w:rPr>
              <w:t xml:space="preserve"> (LOR) darbo</w:t>
            </w:r>
            <w:r w:rsidR="00564DD8" w:rsidRPr="00C41AC0">
              <w:rPr>
                <w:b/>
                <w:color w:val="000000" w:themeColor="text1"/>
              </w:rPr>
              <w:t xml:space="preserve"> </w:t>
            </w:r>
            <w:r w:rsidRPr="00C41AC0">
              <w:rPr>
                <w:b/>
                <w:color w:val="000000" w:themeColor="text1"/>
              </w:rPr>
              <w:t xml:space="preserve">vietos </w:t>
            </w:r>
            <w:r w:rsidR="00E12033" w:rsidRPr="00C41AC0">
              <w:rPr>
                <w:b/>
                <w:color w:val="000000" w:themeColor="text1"/>
              </w:rPr>
              <w:t>bazinė</w:t>
            </w:r>
            <w:r w:rsidRPr="00C41AC0">
              <w:rPr>
                <w:b/>
                <w:color w:val="000000" w:themeColor="text1"/>
              </w:rPr>
              <w:t xml:space="preserve"> dalis (1 vnt.)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69EC" w14:textId="77777777" w:rsidR="004F5B95" w:rsidRPr="00C41AC0" w:rsidRDefault="004F5B95" w:rsidP="004F5B9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41AC0" w:rsidRPr="00C41AC0" w14:paraId="528A1854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6152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1.1.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505E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Bendrieji reikalavimai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0E39" w14:textId="277F82FC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Darbo vieta mobili, su </w:t>
            </w:r>
            <w:r w:rsidR="00962354">
              <w:rPr>
                <w:color w:val="000000" w:themeColor="text1"/>
              </w:rPr>
              <w:t>r</w:t>
            </w:r>
            <w:r w:rsidRPr="00C41AC0">
              <w:rPr>
                <w:color w:val="000000" w:themeColor="text1"/>
              </w:rPr>
              <w:t>atukais;</w:t>
            </w:r>
          </w:p>
          <w:p w14:paraId="21C48603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3 stalčiai instrumentams;</w:t>
            </w:r>
          </w:p>
          <w:p w14:paraId="0B55EABF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2 instrumentų padėklai;</w:t>
            </w:r>
          </w:p>
          <w:p w14:paraId="7A1B6A10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Integruotas ištraukiamas arba koja atidaromas arba paspaudimu atidaromas atliekų konteineris arba atliekų stalčius;</w:t>
            </w:r>
          </w:p>
          <w:p w14:paraId="08C0EF5D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Visos pagrindinio modulio dalys integruotos į vieną bendrą sistemą ir sudaro bendrą ausų, nosies ir gerklės ligų gydytojo darbo vietą;</w:t>
            </w:r>
          </w:p>
          <w:p w14:paraId="6CAB6686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 darbo vietą integruota ≥ 2 moduliai/sistemos, tarp kurių yra:</w:t>
            </w:r>
          </w:p>
          <w:p w14:paraId="0689152D" w14:textId="77777777" w:rsidR="004F5B95" w:rsidRPr="00C41AC0" w:rsidRDefault="004F5B95" w:rsidP="00EC522F">
            <w:pPr>
              <w:pStyle w:val="ListParagraph"/>
              <w:widowControl w:val="0"/>
              <w:numPr>
                <w:ilvl w:val="1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Endoskopų modulis;</w:t>
            </w:r>
          </w:p>
          <w:p w14:paraId="53FE0170" w14:textId="77777777" w:rsidR="004F5B95" w:rsidRPr="00C41AC0" w:rsidRDefault="004F5B95" w:rsidP="00EC522F">
            <w:pPr>
              <w:pStyle w:val="ListParagraph"/>
              <w:widowControl w:val="0"/>
              <w:numPr>
                <w:ilvl w:val="1"/>
                <w:numId w:val="19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Siurbimo sistema.</w:t>
            </w:r>
          </w:p>
        </w:tc>
      </w:tr>
      <w:tr w:rsidR="00C41AC0" w:rsidRPr="00C41AC0" w14:paraId="48A1920B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8CB" w14:textId="69880E1B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1.2.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7DD" w14:textId="09807EB5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Moduliai/sistemos: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1E4" w14:textId="77777777" w:rsidR="00E12033" w:rsidRPr="00C41AC0" w:rsidRDefault="00E12033" w:rsidP="00E12033">
            <w:pPr>
              <w:widowControl w:val="0"/>
              <w:rPr>
                <w:color w:val="000000" w:themeColor="text1"/>
              </w:rPr>
            </w:pPr>
          </w:p>
        </w:tc>
      </w:tr>
      <w:tr w:rsidR="00C41AC0" w:rsidRPr="00C41AC0" w14:paraId="6A5989B4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B40C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1.2.1.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B2B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Endoskopų modulis – 1 vnt.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F5F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Integruotas;</w:t>
            </w:r>
          </w:p>
          <w:p w14:paraId="017115AF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2 vietų instrumentams.</w:t>
            </w:r>
          </w:p>
        </w:tc>
      </w:tr>
      <w:tr w:rsidR="00C41AC0" w:rsidRPr="00C41AC0" w14:paraId="36CEF8D1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A1E6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1.2.2.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BBE3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Siurbimo sistema – 1 vnt.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CA4E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Vakuuminė (arba lygiavertė) sistema;</w:t>
            </w:r>
          </w:p>
          <w:p w14:paraId="635D002E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Oro srauto pratekėjimas (našumas) ≥ 50 l/min;</w:t>
            </w:r>
          </w:p>
          <w:p w14:paraId="0E2AA604" w14:textId="03345EAC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Vakuumas reguliuojamas ne siauresnėse ribose kaip nuo 0 iki -0,7 bar;</w:t>
            </w:r>
          </w:p>
          <w:p w14:paraId="152FA69F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Automatinis įsijungimas paėmus atsiurbimo žarną;</w:t>
            </w:r>
          </w:p>
          <w:p w14:paraId="6017F0F6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Siurblys įmontuotas į darbo vietą;</w:t>
            </w:r>
          </w:p>
          <w:p w14:paraId="1183E6FC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proofErr w:type="spellStart"/>
            <w:r w:rsidRPr="00C41AC0">
              <w:rPr>
                <w:color w:val="000000" w:themeColor="text1"/>
              </w:rPr>
              <w:t>Autoklavuojama</w:t>
            </w:r>
            <w:proofErr w:type="spellEnd"/>
            <w:r w:rsidRPr="00C41AC0">
              <w:rPr>
                <w:color w:val="000000" w:themeColor="text1"/>
              </w:rPr>
              <w:t xml:space="preserve"> arba antibakterinė atsiurbimo žarna su greita jungtimi;</w:t>
            </w:r>
          </w:p>
          <w:p w14:paraId="0C410E51" w14:textId="77777777" w:rsidR="004F5B95" w:rsidRPr="00C41AC0" w:rsidRDefault="004F5B95" w:rsidP="00EC522F">
            <w:pPr>
              <w:pStyle w:val="ListParagraph"/>
              <w:widowControl w:val="0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Komplektuojama su vakuumo reguliatoriumi – 1 vnt.</w:t>
            </w:r>
          </w:p>
        </w:tc>
      </w:tr>
      <w:tr w:rsidR="00C41AC0" w:rsidRPr="00C41AC0" w14:paraId="47F1BBCC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F070" w14:textId="3F8EB3BE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BCA6" w14:textId="7E092BE9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Paciento kėdė (1 vnt.)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C7B" w14:textId="512F84A0" w:rsidR="00E12033" w:rsidRPr="00C41AC0" w:rsidRDefault="00E12033" w:rsidP="00E12033">
            <w:pPr>
              <w:widowControl w:val="0"/>
              <w:rPr>
                <w:color w:val="000000" w:themeColor="text1"/>
              </w:rPr>
            </w:pPr>
          </w:p>
        </w:tc>
      </w:tr>
      <w:tr w:rsidR="00C41AC0" w:rsidRPr="00C41AC0" w14:paraId="2FC9F17D" w14:textId="77777777" w:rsidTr="00564DD8">
        <w:trPr>
          <w:trHeight w:val="53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6BF4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2.1.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78FC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Reikalavimai paciento kėdei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370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Elektrinis kėdės aukščio reguliavimas;</w:t>
            </w:r>
          </w:p>
          <w:p w14:paraId="45442C00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Kėdės aukščio reguliavimo intervalas (vertikalus judesys) ne mažiau kaip 300 mm;</w:t>
            </w:r>
          </w:p>
          <w:p w14:paraId="6358CD72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Nugaros atlošas atlenkiamas ≥ 80º;</w:t>
            </w:r>
          </w:p>
          <w:p w14:paraId="60CE7943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Kėdė pasukama aplink vertikaliąją ašį </w:t>
            </w:r>
            <w:r w:rsidRPr="00C41AC0">
              <w:rPr>
                <w:color w:val="000000" w:themeColor="text1"/>
              </w:rPr>
              <w:br/>
              <w:t>≥ 140º;</w:t>
            </w:r>
          </w:p>
          <w:p w14:paraId="6C0ED9ED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Su reguliuojamos padėties atrama galvai;</w:t>
            </w:r>
          </w:p>
          <w:p w14:paraId="10CB4A18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Su pėdų atrama;</w:t>
            </w:r>
          </w:p>
          <w:p w14:paraId="61E62AE5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Su atlenkiamomis rankų atramomis;</w:t>
            </w:r>
          </w:p>
          <w:p w14:paraId="56088B86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Kėdės sėdimosios dalies plotis ≥ 450 mm (neįskaitant </w:t>
            </w:r>
            <w:proofErr w:type="spellStart"/>
            <w:r w:rsidRPr="00C41AC0">
              <w:rPr>
                <w:color w:val="000000" w:themeColor="text1"/>
              </w:rPr>
              <w:t>porankių</w:t>
            </w:r>
            <w:proofErr w:type="spellEnd"/>
            <w:r w:rsidRPr="00C41AC0">
              <w:rPr>
                <w:color w:val="000000" w:themeColor="text1"/>
              </w:rPr>
              <w:t xml:space="preserve">) arba ≥ 650 mm (įskaitant </w:t>
            </w:r>
            <w:proofErr w:type="spellStart"/>
            <w:r w:rsidRPr="00C41AC0">
              <w:rPr>
                <w:color w:val="000000" w:themeColor="text1"/>
              </w:rPr>
              <w:t>porankius</w:t>
            </w:r>
            <w:proofErr w:type="spellEnd"/>
            <w:r w:rsidRPr="00C41AC0">
              <w:rPr>
                <w:color w:val="000000" w:themeColor="text1"/>
              </w:rPr>
              <w:t>);</w:t>
            </w:r>
          </w:p>
          <w:p w14:paraId="20DD88F2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Kėdės sėdimoji dalis, atlošas ir galvos atrama paminkštinti;</w:t>
            </w:r>
          </w:p>
          <w:p w14:paraId="6DDB69A7" w14:textId="77777777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Paminkštintų kėdės dalių spalva pasirenkama iš ≥ 3 spalvų</w:t>
            </w:r>
            <w:r w:rsidRPr="00C41AC0">
              <w:rPr>
                <w:i/>
                <w:color w:val="000000" w:themeColor="text1"/>
              </w:rPr>
              <w:t xml:space="preserve"> (nurodykite galimas spalvas)</w:t>
            </w:r>
            <w:r w:rsidRPr="00C41AC0">
              <w:rPr>
                <w:color w:val="000000" w:themeColor="text1"/>
              </w:rPr>
              <w:t>;</w:t>
            </w:r>
          </w:p>
          <w:p w14:paraId="15711F49" w14:textId="00547B8F" w:rsidR="004F5B95" w:rsidRPr="00C41AC0" w:rsidRDefault="004F5B95" w:rsidP="00EC522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Didžiausia leistina apkrova (naudotojo svoris): ≥160 kg.</w:t>
            </w:r>
          </w:p>
        </w:tc>
      </w:tr>
      <w:tr w:rsidR="00C41AC0" w:rsidRPr="00C41AC0" w14:paraId="0757A3E0" w14:textId="77777777" w:rsidTr="00E12033">
        <w:trPr>
          <w:trHeight w:val="19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5210" w14:textId="3A0AA421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lastRenderedPageBreak/>
              <w:t>3.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443" w14:textId="6DD46C60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Gydytojo kėdė (1 vnt.)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6A7" w14:textId="77777777" w:rsidR="00E12033" w:rsidRPr="00C41AC0" w:rsidRDefault="00E12033" w:rsidP="00E12033">
            <w:pPr>
              <w:rPr>
                <w:color w:val="000000" w:themeColor="text1"/>
              </w:rPr>
            </w:pPr>
          </w:p>
        </w:tc>
      </w:tr>
      <w:tr w:rsidR="00C41AC0" w:rsidRPr="00C41AC0" w14:paraId="07D0486A" w14:textId="77777777" w:rsidTr="004F5B95">
        <w:trPr>
          <w:trHeight w:val="218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569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3.1.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3DF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Reikalavimai gydytojo kėdei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CF9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Mobili, su ratukais;</w:t>
            </w:r>
          </w:p>
          <w:p w14:paraId="7D7C39ED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Su atlošu;</w:t>
            </w:r>
          </w:p>
          <w:p w14:paraId="21C7217A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Aukštis reguliuojamas;</w:t>
            </w:r>
          </w:p>
          <w:p w14:paraId="6F5BF9D8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Sėdimos dalies skersmuo: ≥ 34 cm;</w:t>
            </w:r>
          </w:p>
          <w:p w14:paraId="368CB9F9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 xml:space="preserve">Be </w:t>
            </w:r>
            <w:proofErr w:type="spellStart"/>
            <w:r w:rsidRPr="00C41AC0">
              <w:rPr>
                <w:color w:val="000000" w:themeColor="text1"/>
              </w:rPr>
              <w:t>porankių</w:t>
            </w:r>
            <w:proofErr w:type="spellEnd"/>
            <w:r w:rsidRPr="00C41AC0">
              <w:rPr>
                <w:color w:val="000000" w:themeColor="text1"/>
              </w:rPr>
              <w:t xml:space="preserve"> (arba su nuimamais </w:t>
            </w:r>
            <w:proofErr w:type="spellStart"/>
            <w:r w:rsidRPr="00C41AC0">
              <w:rPr>
                <w:color w:val="000000" w:themeColor="text1"/>
              </w:rPr>
              <w:t>porankiais</w:t>
            </w:r>
            <w:proofErr w:type="spellEnd"/>
            <w:r w:rsidRPr="00C41AC0">
              <w:rPr>
                <w:color w:val="000000" w:themeColor="text1"/>
              </w:rPr>
              <w:t>);</w:t>
            </w:r>
          </w:p>
          <w:p w14:paraId="4FC74B84" w14:textId="77777777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Spalva pasirenkama iš ≥ 3 spalvų</w:t>
            </w:r>
            <w:r w:rsidRPr="00C41AC0">
              <w:rPr>
                <w:i/>
                <w:color w:val="000000" w:themeColor="text1"/>
              </w:rPr>
              <w:t xml:space="preserve"> (nurodykite galimas spalvas)</w:t>
            </w:r>
            <w:r w:rsidRPr="00C41AC0">
              <w:rPr>
                <w:color w:val="000000" w:themeColor="text1"/>
              </w:rPr>
              <w:t>;</w:t>
            </w:r>
          </w:p>
          <w:p w14:paraId="2BA8DA6D" w14:textId="5EB9006D" w:rsidR="004F5B95" w:rsidRPr="00C41AC0" w:rsidRDefault="004F5B95" w:rsidP="00EC522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Didžiausia leistina apkrova (naudotojo svoris): ≥120 kg.</w:t>
            </w:r>
          </w:p>
        </w:tc>
      </w:tr>
      <w:tr w:rsidR="00C41AC0" w:rsidRPr="00C41AC0" w14:paraId="2286CA55" w14:textId="77777777" w:rsidTr="00E12033">
        <w:trPr>
          <w:trHeight w:val="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1E3" w14:textId="4486F4D2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DAA" w14:textId="188223F5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 xml:space="preserve">Darbo vietos apšvietimas (1 </w:t>
            </w:r>
            <w:proofErr w:type="spellStart"/>
            <w:r w:rsidRPr="00C41AC0">
              <w:rPr>
                <w:b/>
                <w:color w:val="000000" w:themeColor="text1"/>
              </w:rPr>
              <w:t>kompl</w:t>
            </w:r>
            <w:proofErr w:type="spellEnd"/>
            <w:r w:rsidRPr="00C41AC0">
              <w:rPr>
                <w:b/>
                <w:color w:val="000000" w:themeColor="text1"/>
              </w:rPr>
              <w:t>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153" w14:textId="77777777" w:rsidR="00E12033" w:rsidRPr="00C41AC0" w:rsidRDefault="00E12033" w:rsidP="00E12033">
            <w:pPr>
              <w:rPr>
                <w:color w:val="000000" w:themeColor="text1"/>
              </w:rPr>
            </w:pPr>
          </w:p>
        </w:tc>
      </w:tr>
      <w:tr w:rsidR="00C41AC0" w:rsidRPr="00C41AC0" w14:paraId="231A71BA" w14:textId="77777777" w:rsidTr="004F5B95">
        <w:trPr>
          <w:trHeight w:val="10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DE5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4.1.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EF1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Reikalavimai darbo vietos apšvietimui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D899" w14:textId="77777777" w:rsidR="004F5B95" w:rsidRPr="00C41AC0" w:rsidRDefault="004F5B95" w:rsidP="00EC522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šaltinis LED arba lygiavertis;</w:t>
            </w:r>
          </w:p>
          <w:p w14:paraId="05A61F48" w14:textId="77777777" w:rsidR="004F5B95" w:rsidRPr="00C41AC0" w:rsidRDefault="004F5B95" w:rsidP="00EC522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Dviejų kanalų;</w:t>
            </w:r>
          </w:p>
          <w:p w14:paraId="510ABB63" w14:textId="77777777" w:rsidR="004F5B95" w:rsidRPr="00C41AC0" w:rsidRDefault="004F5B95" w:rsidP="00EC522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ryškumas reguliuojamas;</w:t>
            </w:r>
          </w:p>
          <w:p w14:paraId="23C3A194" w14:textId="77777777" w:rsidR="004F5B95" w:rsidRPr="00C41AC0" w:rsidRDefault="004F5B95" w:rsidP="00EC522F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šaltinio šviesos srauto ryškumas ≥ 480 </w:t>
            </w:r>
            <w:proofErr w:type="spellStart"/>
            <w:r w:rsidRPr="00C41AC0">
              <w:rPr>
                <w:color w:val="000000" w:themeColor="text1"/>
              </w:rPr>
              <w:t>lm</w:t>
            </w:r>
            <w:proofErr w:type="spellEnd"/>
            <w:r w:rsidRPr="00C41AC0">
              <w:rPr>
                <w:color w:val="000000" w:themeColor="text1"/>
              </w:rPr>
              <w:t>.</w:t>
            </w:r>
          </w:p>
        </w:tc>
      </w:tr>
      <w:tr w:rsidR="00C41AC0" w:rsidRPr="00C41AC0" w14:paraId="56E0ED41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A092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4.2.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DD20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Komplektacija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789" w14:textId="77777777" w:rsidR="004F5B95" w:rsidRPr="00C41AC0" w:rsidRDefault="004F5B9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Šviesolaidis (≥ 1,5 m ilgio) – 1 vnt.</w:t>
            </w:r>
          </w:p>
        </w:tc>
      </w:tr>
      <w:tr w:rsidR="00C41AC0" w:rsidRPr="00C41AC0" w14:paraId="7F1D2018" w14:textId="77777777" w:rsidTr="004F5B95">
        <w:trPr>
          <w:trHeight w:val="28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1DB" w14:textId="04447BDD" w:rsidR="00E12033" w:rsidRPr="00C41AC0" w:rsidRDefault="00E12033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0B2A" w14:textId="1F767EC6" w:rsidR="00E12033" w:rsidRPr="00C41AC0" w:rsidRDefault="00E12033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b/>
                <w:color w:val="000000" w:themeColor="text1"/>
              </w:rPr>
              <w:t>Mikroskopas (1 vnt.)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6CB" w14:textId="77777777" w:rsidR="00E12033" w:rsidRPr="00C41AC0" w:rsidRDefault="00E12033" w:rsidP="00241BB6">
            <w:pPr>
              <w:rPr>
                <w:color w:val="000000" w:themeColor="text1"/>
              </w:rPr>
            </w:pPr>
          </w:p>
        </w:tc>
      </w:tr>
      <w:tr w:rsidR="00C41AC0" w:rsidRPr="00C41AC0" w14:paraId="448B1B02" w14:textId="77777777" w:rsidTr="00E12033">
        <w:trPr>
          <w:trHeight w:val="37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CDA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5.1.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48E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1DD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Tvirtinamas prie LOR darbo vietos (suderinamas su 1 pozicija) arba prie mobilaus stovo;</w:t>
            </w:r>
          </w:p>
          <w:p w14:paraId="6D88C2E0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šaltinis LED arba lygiavertis;</w:t>
            </w:r>
          </w:p>
          <w:p w14:paraId="32A8F22E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Didinimas ≥ 3 lygių;</w:t>
            </w:r>
          </w:p>
          <w:p w14:paraId="165F8A48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 w:rsidRPr="00C41AC0">
              <w:rPr>
                <w:color w:val="000000" w:themeColor="text1"/>
              </w:rPr>
              <w:t>Apochromatinis</w:t>
            </w:r>
            <w:proofErr w:type="spellEnd"/>
            <w:r w:rsidRPr="00C41AC0">
              <w:rPr>
                <w:color w:val="000000" w:themeColor="text1"/>
              </w:rPr>
              <w:t xml:space="preserve"> (arba lygiavertis) didinimo keitiklis;</w:t>
            </w:r>
          </w:p>
          <w:p w14:paraId="6A48AF24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ind w:right="-69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Objektyvo židinio nuotolis (f): ≥ 250 mm;</w:t>
            </w:r>
          </w:p>
          <w:p w14:paraId="0173E0C2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 w:rsidRPr="00C41AC0">
              <w:rPr>
                <w:color w:val="000000" w:themeColor="text1"/>
              </w:rPr>
              <w:t>Binokulinis</w:t>
            </w:r>
            <w:proofErr w:type="spellEnd"/>
            <w:r w:rsidRPr="00C41AC0">
              <w:rPr>
                <w:color w:val="000000" w:themeColor="text1"/>
              </w:rPr>
              <w:t xml:space="preserve"> tiesus vamzdis, kur židinio nuotolis (f)  ≥ 125 mm;</w:t>
            </w:r>
          </w:p>
          <w:p w14:paraId="55821C6F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2 vnt. okuliarų, kurie ≥ 10× didinimo;</w:t>
            </w:r>
          </w:p>
          <w:p w14:paraId="7B89C3BC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LED šviesa;</w:t>
            </w:r>
          </w:p>
          <w:p w14:paraId="6F2700CD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LED veikimo laikas: ≥ 50 000 val.;</w:t>
            </w:r>
          </w:p>
          <w:p w14:paraId="46569BE7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Šviesos temperatūra: ≥ 5500 K ± 10%;</w:t>
            </w:r>
          </w:p>
          <w:p w14:paraId="03A7C842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T formos arba dviguba rankena (arba lygiavertė);</w:t>
            </w:r>
          </w:p>
          <w:p w14:paraId="56BA4F90" w14:textId="77777777" w:rsidR="004F5B95" w:rsidRPr="00C41AC0" w:rsidRDefault="004F5B95" w:rsidP="00EC522F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Uždangalas nuo dulkių.</w:t>
            </w:r>
          </w:p>
        </w:tc>
      </w:tr>
      <w:tr w:rsidR="00C41AC0" w:rsidRPr="00C41AC0" w14:paraId="511C1448" w14:textId="77777777" w:rsidTr="004F5B9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172" w14:textId="77777777" w:rsidR="004F5B95" w:rsidRPr="00C41AC0" w:rsidRDefault="004F5B95" w:rsidP="00241BB6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5.2.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7477" w14:textId="77777777" w:rsidR="004F5B95" w:rsidRPr="00C41AC0" w:rsidRDefault="004F5B95" w:rsidP="00241BB6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Komplektacija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8BB" w14:textId="77777777" w:rsidR="004F5B95" w:rsidRPr="00C41AC0" w:rsidRDefault="004F5B95" w:rsidP="00241BB6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 komplektaciją įeina mikroskopo laikiklis (tvirtinimui prie LOR darbo vietos) arba mobilus stovas ant ≥ 4 ratukų su stabdžiais – 1 vnt.</w:t>
            </w:r>
          </w:p>
        </w:tc>
      </w:tr>
      <w:tr w:rsidR="00C41AC0" w:rsidRPr="00C41AC0" w14:paraId="44E3051B" w14:textId="77777777" w:rsidTr="004F5B95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BDB" w14:textId="77777777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bookmarkStart w:id="0" w:name="_Hlk213318304"/>
            <w:r w:rsidRPr="00C41AC0">
              <w:rPr>
                <w:bCs/>
                <w:color w:val="000000" w:themeColor="text1"/>
              </w:rPr>
              <w:t>6.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4CE" w14:textId="237EB86A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Įrangos pristatymas ir instaliavimas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ABB" w14:textId="691A166C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</w:tr>
      <w:tr w:rsidR="00C41AC0" w:rsidRPr="00C41AC0" w14:paraId="06BB688D" w14:textId="77777777" w:rsidTr="004F5B9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93C" w14:textId="77777777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7.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720" w14:textId="76F2E6D4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78C8" w14:textId="709FEE29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Medicininio personalo apmokymas naudoti įrangą įskaičiuotas į pasiūlymo kainą.</w:t>
            </w:r>
          </w:p>
        </w:tc>
      </w:tr>
      <w:tr w:rsidR="00C41AC0" w:rsidRPr="00C41AC0" w14:paraId="34EC26DA" w14:textId="77777777" w:rsidTr="004F5B9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B90" w14:textId="203AE62C" w:rsidR="00FE1AE5" w:rsidRPr="00C41AC0" w:rsidRDefault="00FE1AE5" w:rsidP="00FE1AE5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8.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97C" w14:textId="570DAAF8" w:rsidR="00FE1AE5" w:rsidRPr="00C41AC0" w:rsidRDefault="00FE1AE5" w:rsidP="00FE1AE5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Kartu su įranga pateikiama dokumentacija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92E" w14:textId="2FBF4B5A" w:rsidR="00FE1AE5" w:rsidRPr="00C41AC0" w:rsidRDefault="00FE1AE5" w:rsidP="00FE1AE5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Naudojimo instrukcija lietuvių kalba ir serviso dokumentacija lietuvių arba anglų kalba</w:t>
            </w:r>
          </w:p>
        </w:tc>
      </w:tr>
      <w:tr w:rsidR="00C41AC0" w:rsidRPr="00C41AC0" w14:paraId="57B1709F" w14:textId="77777777" w:rsidTr="004F5B9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504" w14:textId="3EB9AAA2" w:rsidR="00762677" w:rsidRPr="00C41AC0" w:rsidRDefault="00FE1AE5" w:rsidP="00762677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bCs/>
                <w:color w:val="000000" w:themeColor="text1"/>
              </w:rPr>
              <w:t>9.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AA2" w14:textId="77777777" w:rsidR="00762677" w:rsidRPr="00C41AC0" w:rsidRDefault="00762677" w:rsidP="00762677">
            <w:pPr>
              <w:widowControl w:val="0"/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Garantinio aptarnavimo laikotarpis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AD4" w14:textId="77777777" w:rsidR="00762677" w:rsidRPr="00C41AC0" w:rsidRDefault="00762677" w:rsidP="00EC522F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24 mėnesiai įrangai;</w:t>
            </w:r>
          </w:p>
          <w:p w14:paraId="397BA68E" w14:textId="77777777" w:rsidR="00762677" w:rsidRPr="00C41AC0" w:rsidRDefault="00762677" w:rsidP="00EC522F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≥ 12 mėnesių instrumentams.</w:t>
            </w:r>
          </w:p>
        </w:tc>
      </w:tr>
      <w:tr w:rsidR="00C41AC0" w:rsidRPr="00C41AC0" w14:paraId="5757F17C" w14:textId="77777777" w:rsidTr="00E12033">
        <w:trPr>
          <w:trHeight w:val="395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A93" w14:textId="178653A8" w:rsidR="00762677" w:rsidRPr="00C41AC0" w:rsidRDefault="00762677" w:rsidP="00762677">
            <w:pPr>
              <w:jc w:val="center"/>
              <w:rPr>
                <w:bCs/>
                <w:color w:val="000000" w:themeColor="text1"/>
              </w:rPr>
            </w:pPr>
            <w:r w:rsidRPr="00C41AC0">
              <w:rPr>
                <w:color w:val="000000" w:themeColor="text1"/>
              </w:rPr>
              <w:br w:type="page"/>
              <w:t>10</w:t>
            </w:r>
            <w:r w:rsidRPr="00C41AC0">
              <w:rPr>
                <w:bCs/>
                <w:color w:val="000000" w:themeColor="text1"/>
              </w:rPr>
              <w:t>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050" w14:textId="77777777" w:rsidR="00762677" w:rsidRPr="00C41AC0" w:rsidRDefault="00762677" w:rsidP="00762677">
            <w:pPr>
              <w:rPr>
                <w:color w:val="000000" w:themeColor="text1"/>
              </w:rPr>
            </w:pPr>
            <w:r w:rsidRPr="00C41AC0">
              <w:rPr>
                <w:color w:val="000000" w:themeColor="text1"/>
              </w:rPr>
              <w:t>Galimybė įsigyti originalias (arba joms lygiavertes) atsargines dalis</w:t>
            </w:r>
          </w:p>
          <w:p w14:paraId="0520A105" w14:textId="77777777" w:rsidR="00762677" w:rsidRPr="00C41AC0" w:rsidRDefault="00762677" w:rsidP="00762677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C21" w14:textId="77777777" w:rsidR="00762677" w:rsidRPr="00C41AC0" w:rsidRDefault="00762677" w:rsidP="00762677">
            <w:pPr>
              <w:jc w:val="both"/>
              <w:rPr>
                <w:color w:val="000000" w:themeColor="text1"/>
                <w:lang w:eastAsia="lt-LT"/>
              </w:rPr>
            </w:pPr>
            <w:r w:rsidRPr="00C41AC0">
              <w:rPr>
                <w:color w:val="000000" w:themeColor="text1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C41AC0">
              <w:rPr>
                <w:b/>
                <w:color w:val="000000" w:themeColor="text1"/>
                <w:lang w:eastAsia="lt-LT"/>
              </w:rPr>
              <w:t>prašome nurodyti konkrečią trukmę</w:t>
            </w:r>
            <w:r w:rsidRPr="00C41AC0">
              <w:rPr>
                <w:color w:val="000000" w:themeColor="text1"/>
                <w:lang w:eastAsia="lt-LT"/>
              </w:rPr>
              <w:t xml:space="preserve">) nuo prekės garantinio laikotarpio pabaigos, išskyrus atvejus, kai siūlomos prekės originalios (arba joms lygiavertės) atsarginės dalys dėl objektyvių priežasčių negali būti tiekiamos Lietuvos Respublikos rinkai (būtinas tiekėjo ir/arba gamintojo atitinkamas patvirtinimas). </w:t>
            </w:r>
          </w:p>
          <w:p w14:paraId="2C4E6A7C" w14:textId="77777777" w:rsidR="00762677" w:rsidRPr="00C41AC0" w:rsidRDefault="00762677" w:rsidP="00762677">
            <w:pPr>
              <w:jc w:val="both"/>
              <w:rPr>
                <w:color w:val="000000" w:themeColor="text1"/>
              </w:rPr>
            </w:pPr>
            <w:r w:rsidRPr="00C41AC0">
              <w:rPr>
                <w:color w:val="000000" w:themeColor="text1"/>
                <w:lang w:eastAsia="lt-LT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  <w:bookmarkEnd w:id="0"/>
    </w:tbl>
    <w:p w14:paraId="774D4D0F" w14:textId="6B92228C" w:rsidR="004F5B95" w:rsidRPr="00C41AC0" w:rsidRDefault="004F5B95" w:rsidP="00E62C8B">
      <w:pPr>
        <w:rPr>
          <w:b/>
          <w:color w:val="000000" w:themeColor="text1"/>
        </w:rPr>
      </w:pPr>
    </w:p>
    <w:p w14:paraId="3A12B221" w14:textId="77777777" w:rsidR="00E12033" w:rsidRPr="00C41AC0" w:rsidRDefault="00E12033" w:rsidP="00E12033">
      <w:pPr>
        <w:rPr>
          <w:b/>
          <w:color w:val="000000" w:themeColor="text1"/>
        </w:rPr>
      </w:pPr>
      <w:r w:rsidRPr="00C41AC0">
        <w:rPr>
          <w:b/>
          <w:color w:val="000000" w:themeColor="text1"/>
        </w:rPr>
        <w:t xml:space="preserve">Pastaba: </w:t>
      </w:r>
    </w:p>
    <w:p w14:paraId="7A486B1C" w14:textId="46BDA2FD" w:rsidR="00E12033" w:rsidRPr="00C41AC0" w:rsidRDefault="009B1AD1" w:rsidP="00E12033">
      <w:pPr>
        <w:jc w:val="both"/>
        <w:rPr>
          <w:color w:val="000000" w:themeColor="text1"/>
        </w:rPr>
      </w:pPr>
      <w:r>
        <w:rPr>
          <w:color w:val="000000" w:themeColor="text1"/>
        </w:rPr>
        <w:t>T</w:t>
      </w:r>
      <w:r w:rsidR="00E12033" w:rsidRPr="00C41AC0">
        <w:rPr>
          <w:color w:val="000000" w:themeColor="text1"/>
        </w:rPr>
        <w:t xml:space="preserve">echninės specifikacijos lentelėje aprašytos prekės sudaro vieną pirkimo dalį. </w:t>
      </w:r>
      <w:r w:rsidR="00E12033" w:rsidRPr="00C41AC0">
        <w:rPr>
          <w:bCs/>
          <w:noProof/>
          <w:color w:val="000000" w:themeColor="text1"/>
        </w:rPr>
        <w:t>Į atskiras pirkimo dalis neskaidoma, nes perkama kartu naudojama, tarpusavyje techniškai suderinama įranga, sudaranti LOR darbo vietos komplektą.</w:t>
      </w:r>
    </w:p>
    <w:p w14:paraId="6044367D" w14:textId="1257FAD5" w:rsidR="004F5B95" w:rsidRPr="00C41AC0" w:rsidRDefault="004F5B95" w:rsidP="00E62C8B">
      <w:pPr>
        <w:rPr>
          <w:b/>
          <w:color w:val="000000" w:themeColor="text1"/>
        </w:rPr>
      </w:pPr>
    </w:p>
    <w:p w14:paraId="543E8070" w14:textId="28F26F6A" w:rsidR="00E12033" w:rsidRPr="00C41AC0" w:rsidRDefault="00E12033" w:rsidP="00E62C8B">
      <w:pPr>
        <w:rPr>
          <w:b/>
          <w:color w:val="000000" w:themeColor="text1"/>
        </w:rPr>
      </w:pPr>
    </w:p>
    <w:p w14:paraId="7C1F2A17" w14:textId="77777777" w:rsidR="00E12033" w:rsidRPr="00C41AC0" w:rsidRDefault="00E12033" w:rsidP="00451EB2">
      <w:pPr>
        <w:autoSpaceDE w:val="0"/>
        <w:autoSpaceDN w:val="0"/>
        <w:adjustRightInd w:val="0"/>
        <w:rPr>
          <w:color w:val="000000" w:themeColor="text1"/>
          <w:lang w:eastAsia="en-GB"/>
        </w:rPr>
      </w:pPr>
    </w:p>
    <w:p w14:paraId="5A4E0136" w14:textId="29A083A3" w:rsidR="001E5EB6" w:rsidRPr="00C41AC0" w:rsidRDefault="00765708" w:rsidP="00765708">
      <w:pPr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____________________</w:t>
      </w:r>
      <w:bookmarkStart w:id="1" w:name="_GoBack"/>
      <w:bookmarkEnd w:id="1"/>
      <w:r>
        <w:rPr>
          <w:color w:val="000000" w:themeColor="text1"/>
        </w:rPr>
        <w:t>__</w:t>
      </w:r>
    </w:p>
    <w:sectPr w:rsidR="001E5EB6" w:rsidRPr="00C41AC0" w:rsidSect="00962354">
      <w:footerReference w:type="default" r:id="rId10"/>
      <w:pgSz w:w="11909" w:h="16834" w:code="9"/>
      <w:pgMar w:top="567" w:right="869" w:bottom="1276" w:left="1134" w:header="284" w:footer="50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5F8F1" w14:textId="77777777" w:rsidR="004668D4" w:rsidRDefault="004668D4">
      <w:r>
        <w:separator/>
      </w:r>
    </w:p>
  </w:endnote>
  <w:endnote w:type="continuationSeparator" w:id="0">
    <w:p w14:paraId="496420D0" w14:textId="77777777" w:rsidR="004668D4" w:rsidRDefault="0046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GPIA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704217"/>
      <w:docPartObj>
        <w:docPartGallery w:val="Page Numbers (Bottom of Page)"/>
        <w:docPartUnique/>
      </w:docPartObj>
    </w:sdtPr>
    <w:sdtEndPr/>
    <w:sdtContent>
      <w:p w14:paraId="276849AD" w14:textId="1C5993CA" w:rsidR="0001400F" w:rsidRDefault="0001400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08">
          <w:rPr>
            <w:noProof/>
          </w:rPr>
          <w:t>2</w:t>
        </w:r>
        <w:r>
          <w:fldChar w:fldCharType="end"/>
        </w:r>
      </w:p>
    </w:sdtContent>
  </w:sdt>
  <w:p w14:paraId="6E471859" w14:textId="77777777" w:rsidR="0001400F" w:rsidRDefault="000140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A4EB1" w14:textId="77777777" w:rsidR="004668D4" w:rsidRDefault="004668D4">
      <w:r>
        <w:separator/>
      </w:r>
    </w:p>
  </w:footnote>
  <w:footnote w:type="continuationSeparator" w:id="0">
    <w:p w14:paraId="34227702" w14:textId="77777777" w:rsidR="004668D4" w:rsidRDefault="00466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8687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C057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2C7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AA6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0A03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CAE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228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6F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7243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543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8248B"/>
    <w:multiLevelType w:val="hybridMultilevel"/>
    <w:tmpl w:val="197E71A2"/>
    <w:lvl w:ilvl="0" w:tplc="674AFD6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1" w:hanging="360"/>
      </w:pPr>
    </w:lvl>
    <w:lvl w:ilvl="2" w:tplc="0427001B" w:tentative="1">
      <w:start w:val="1"/>
      <w:numFmt w:val="lowerRoman"/>
      <w:lvlText w:val="%3."/>
      <w:lvlJc w:val="right"/>
      <w:pPr>
        <w:ind w:left="2121" w:hanging="180"/>
      </w:pPr>
    </w:lvl>
    <w:lvl w:ilvl="3" w:tplc="0427000F" w:tentative="1">
      <w:start w:val="1"/>
      <w:numFmt w:val="decimal"/>
      <w:lvlText w:val="%4."/>
      <w:lvlJc w:val="left"/>
      <w:pPr>
        <w:ind w:left="2841" w:hanging="360"/>
      </w:pPr>
    </w:lvl>
    <w:lvl w:ilvl="4" w:tplc="04270019" w:tentative="1">
      <w:start w:val="1"/>
      <w:numFmt w:val="lowerLetter"/>
      <w:lvlText w:val="%5."/>
      <w:lvlJc w:val="left"/>
      <w:pPr>
        <w:ind w:left="3561" w:hanging="360"/>
      </w:pPr>
    </w:lvl>
    <w:lvl w:ilvl="5" w:tplc="0427001B" w:tentative="1">
      <w:start w:val="1"/>
      <w:numFmt w:val="lowerRoman"/>
      <w:lvlText w:val="%6."/>
      <w:lvlJc w:val="right"/>
      <w:pPr>
        <w:ind w:left="4281" w:hanging="180"/>
      </w:pPr>
    </w:lvl>
    <w:lvl w:ilvl="6" w:tplc="0427000F" w:tentative="1">
      <w:start w:val="1"/>
      <w:numFmt w:val="decimal"/>
      <w:lvlText w:val="%7."/>
      <w:lvlJc w:val="left"/>
      <w:pPr>
        <w:ind w:left="5001" w:hanging="360"/>
      </w:pPr>
    </w:lvl>
    <w:lvl w:ilvl="7" w:tplc="04270019" w:tentative="1">
      <w:start w:val="1"/>
      <w:numFmt w:val="lowerLetter"/>
      <w:lvlText w:val="%8."/>
      <w:lvlJc w:val="left"/>
      <w:pPr>
        <w:ind w:left="5721" w:hanging="360"/>
      </w:pPr>
    </w:lvl>
    <w:lvl w:ilvl="8" w:tplc="0427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1" w15:restartNumberingAfterBreak="0">
    <w:nsid w:val="17B076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30444F"/>
    <w:multiLevelType w:val="hybridMultilevel"/>
    <w:tmpl w:val="D81E749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D7E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5513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0C0B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7B33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6E52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9" w15:restartNumberingAfterBreak="0">
    <w:nsid w:val="7E763717"/>
    <w:multiLevelType w:val="hybridMultilevel"/>
    <w:tmpl w:val="76028B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B52664"/>
    <w:multiLevelType w:val="hybridMultilevel"/>
    <w:tmpl w:val="ECBECC06"/>
    <w:lvl w:ilvl="0" w:tplc="85F47766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9" w:hanging="360"/>
      </w:pPr>
    </w:lvl>
    <w:lvl w:ilvl="2" w:tplc="0427001B" w:tentative="1">
      <w:start w:val="1"/>
      <w:numFmt w:val="lowerRoman"/>
      <w:lvlText w:val="%3."/>
      <w:lvlJc w:val="right"/>
      <w:pPr>
        <w:ind w:left="1979" w:hanging="180"/>
      </w:pPr>
    </w:lvl>
    <w:lvl w:ilvl="3" w:tplc="0427000F" w:tentative="1">
      <w:start w:val="1"/>
      <w:numFmt w:val="decimal"/>
      <w:lvlText w:val="%4."/>
      <w:lvlJc w:val="left"/>
      <w:pPr>
        <w:ind w:left="2699" w:hanging="360"/>
      </w:pPr>
    </w:lvl>
    <w:lvl w:ilvl="4" w:tplc="04270019" w:tentative="1">
      <w:start w:val="1"/>
      <w:numFmt w:val="lowerLetter"/>
      <w:lvlText w:val="%5."/>
      <w:lvlJc w:val="left"/>
      <w:pPr>
        <w:ind w:left="3419" w:hanging="360"/>
      </w:pPr>
    </w:lvl>
    <w:lvl w:ilvl="5" w:tplc="0427001B" w:tentative="1">
      <w:start w:val="1"/>
      <w:numFmt w:val="lowerRoman"/>
      <w:lvlText w:val="%6."/>
      <w:lvlJc w:val="right"/>
      <w:pPr>
        <w:ind w:left="4139" w:hanging="180"/>
      </w:pPr>
    </w:lvl>
    <w:lvl w:ilvl="6" w:tplc="0427000F" w:tentative="1">
      <w:start w:val="1"/>
      <w:numFmt w:val="decimal"/>
      <w:lvlText w:val="%7."/>
      <w:lvlJc w:val="left"/>
      <w:pPr>
        <w:ind w:left="4859" w:hanging="360"/>
      </w:pPr>
    </w:lvl>
    <w:lvl w:ilvl="7" w:tplc="04270019" w:tentative="1">
      <w:start w:val="1"/>
      <w:numFmt w:val="lowerLetter"/>
      <w:lvlText w:val="%8."/>
      <w:lvlJc w:val="left"/>
      <w:pPr>
        <w:ind w:left="5579" w:hanging="360"/>
      </w:pPr>
    </w:lvl>
    <w:lvl w:ilvl="8" w:tplc="0427001B" w:tentative="1">
      <w:start w:val="1"/>
      <w:numFmt w:val="lowerRoman"/>
      <w:lvlText w:val="%9."/>
      <w:lvlJc w:val="right"/>
      <w:pPr>
        <w:ind w:left="6299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0"/>
  </w:num>
  <w:num w:numId="14">
    <w:abstractNumId w:val="17"/>
  </w:num>
  <w:num w:numId="15">
    <w:abstractNumId w:val="12"/>
  </w:num>
  <w:num w:numId="16">
    <w:abstractNumId w:val="14"/>
  </w:num>
  <w:num w:numId="17">
    <w:abstractNumId w:val="11"/>
  </w:num>
  <w:num w:numId="18">
    <w:abstractNumId w:val="16"/>
  </w:num>
  <w:num w:numId="19">
    <w:abstractNumId w:val="13"/>
  </w:num>
  <w:num w:numId="20">
    <w:abstractNumId w:val="15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6C"/>
    <w:rsid w:val="00003438"/>
    <w:rsid w:val="000118F4"/>
    <w:rsid w:val="0001400F"/>
    <w:rsid w:val="000152BE"/>
    <w:rsid w:val="00026230"/>
    <w:rsid w:val="0002727E"/>
    <w:rsid w:val="00032073"/>
    <w:rsid w:val="00055BF0"/>
    <w:rsid w:val="000772D2"/>
    <w:rsid w:val="000851FC"/>
    <w:rsid w:val="00086E12"/>
    <w:rsid w:val="00093196"/>
    <w:rsid w:val="000C569C"/>
    <w:rsid w:val="000D2AA1"/>
    <w:rsid w:val="000E1BBA"/>
    <w:rsid w:val="000E27EF"/>
    <w:rsid w:val="000E7FF5"/>
    <w:rsid w:val="000F719F"/>
    <w:rsid w:val="001071AF"/>
    <w:rsid w:val="0011301E"/>
    <w:rsid w:val="001330D2"/>
    <w:rsid w:val="00156525"/>
    <w:rsid w:val="001777D3"/>
    <w:rsid w:val="00190B00"/>
    <w:rsid w:val="00192FE2"/>
    <w:rsid w:val="0019781C"/>
    <w:rsid w:val="001C0304"/>
    <w:rsid w:val="001E059E"/>
    <w:rsid w:val="001E4156"/>
    <w:rsid w:val="001E5EB6"/>
    <w:rsid w:val="001E7DC0"/>
    <w:rsid w:val="0020046D"/>
    <w:rsid w:val="00201390"/>
    <w:rsid w:val="002038DF"/>
    <w:rsid w:val="00214824"/>
    <w:rsid w:val="002256C4"/>
    <w:rsid w:val="00226080"/>
    <w:rsid w:val="00226B48"/>
    <w:rsid w:val="00247BB4"/>
    <w:rsid w:val="00251075"/>
    <w:rsid w:val="00257F99"/>
    <w:rsid w:val="00267E50"/>
    <w:rsid w:val="00271243"/>
    <w:rsid w:val="0028087A"/>
    <w:rsid w:val="00281DC8"/>
    <w:rsid w:val="00296ED9"/>
    <w:rsid w:val="002C0B61"/>
    <w:rsid w:val="002C3883"/>
    <w:rsid w:val="002D4B07"/>
    <w:rsid w:val="00311273"/>
    <w:rsid w:val="00315DA9"/>
    <w:rsid w:val="0031678C"/>
    <w:rsid w:val="0032369A"/>
    <w:rsid w:val="00326A60"/>
    <w:rsid w:val="00335567"/>
    <w:rsid w:val="003464E4"/>
    <w:rsid w:val="00351F44"/>
    <w:rsid w:val="0036726F"/>
    <w:rsid w:val="0037019C"/>
    <w:rsid w:val="00386C57"/>
    <w:rsid w:val="003B117B"/>
    <w:rsid w:val="003D2047"/>
    <w:rsid w:val="00403635"/>
    <w:rsid w:val="0040455C"/>
    <w:rsid w:val="00414A4C"/>
    <w:rsid w:val="0042099D"/>
    <w:rsid w:val="00420B88"/>
    <w:rsid w:val="00437497"/>
    <w:rsid w:val="00440E52"/>
    <w:rsid w:val="00451EB2"/>
    <w:rsid w:val="0045528C"/>
    <w:rsid w:val="004668D4"/>
    <w:rsid w:val="00467E11"/>
    <w:rsid w:val="00474A69"/>
    <w:rsid w:val="004A4058"/>
    <w:rsid w:val="004A45EB"/>
    <w:rsid w:val="004C07C7"/>
    <w:rsid w:val="004C4C7B"/>
    <w:rsid w:val="004C7D26"/>
    <w:rsid w:val="004E0A9E"/>
    <w:rsid w:val="004F5B95"/>
    <w:rsid w:val="00507CF3"/>
    <w:rsid w:val="00507E03"/>
    <w:rsid w:val="00521A11"/>
    <w:rsid w:val="0052669A"/>
    <w:rsid w:val="005526AF"/>
    <w:rsid w:val="00553243"/>
    <w:rsid w:val="00561AF7"/>
    <w:rsid w:val="00564DD8"/>
    <w:rsid w:val="00564E71"/>
    <w:rsid w:val="00572223"/>
    <w:rsid w:val="00574602"/>
    <w:rsid w:val="00583B8E"/>
    <w:rsid w:val="00586952"/>
    <w:rsid w:val="00586BC7"/>
    <w:rsid w:val="00591B8E"/>
    <w:rsid w:val="005959FC"/>
    <w:rsid w:val="005B0BCA"/>
    <w:rsid w:val="005B64FD"/>
    <w:rsid w:val="005C4399"/>
    <w:rsid w:val="005E0C41"/>
    <w:rsid w:val="005E539D"/>
    <w:rsid w:val="005E6E54"/>
    <w:rsid w:val="005E7E9E"/>
    <w:rsid w:val="005F1DBB"/>
    <w:rsid w:val="00600829"/>
    <w:rsid w:val="00606C02"/>
    <w:rsid w:val="00623FD9"/>
    <w:rsid w:val="0063333E"/>
    <w:rsid w:val="00643B00"/>
    <w:rsid w:val="00646145"/>
    <w:rsid w:val="00651288"/>
    <w:rsid w:val="0065613E"/>
    <w:rsid w:val="00665531"/>
    <w:rsid w:val="0067698E"/>
    <w:rsid w:val="00683604"/>
    <w:rsid w:val="00692602"/>
    <w:rsid w:val="006A410B"/>
    <w:rsid w:val="00745BBC"/>
    <w:rsid w:val="00747530"/>
    <w:rsid w:val="007537B3"/>
    <w:rsid w:val="00762128"/>
    <w:rsid w:val="00762677"/>
    <w:rsid w:val="00765708"/>
    <w:rsid w:val="007675AA"/>
    <w:rsid w:val="007676F0"/>
    <w:rsid w:val="00775F71"/>
    <w:rsid w:val="00776C3E"/>
    <w:rsid w:val="00782687"/>
    <w:rsid w:val="00784348"/>
    <w:rsid w:val="00797007"/>
    <w:rsid w:val="007A4298"/>
    <w:rsid w:val="007A452F"/>
    <w:rsid w:val="007B3C75"/>
    <w:rsid w:val="007C1D89"/>
    <w:rsid w:val="007C3ABC"/>
    <w:rsid w:val="007C4574"/>
    <w:rsid w:val="007D3BA9"/>
    <w:rsid w:val="007F6411"/>
    <w:rsid w:val="0082358A"/>
    <w:rsid w:val="00833499"/>
    <w:rsid w:val="00837065"/>
    <w:rsid w:val="008572A1"/>
    <w:rsid w:val="008658D9"/>
    <w:rsid w:val="008704AB"/>
    <w:rsid w:val="00875825"/>
    <w:rsid w:val="00883F7B"/>
    <w:rsid w:val="00887FA4"/>
    <w:rsid w:val="00891731"/>
    <w:rsid w:val="008918E8"/>
    <w:rsid w:val="008A34BD"/>
    <w:rsid w:val="008D5B70"/>
    <w:rsid w:val="00902F92"/>
    <w:rsid w:val="00906221"/>
    <w:rsid w:val="009129AD"/>
    <w:rsid w:val="009234B9"/>
    <w:rsid w:val="00926068"/>
    <w:rsid w:val="00926340"/>
    <w:rsid w:val="0092652F"/>
    <w:rsid w:val="00927F7E"/>
    <w:rsid w:val="00930ED1"/>
    <w:rsid w:val="0093282B"/>
    <w:rsid w:val="00934160"/>
    <w:rsid w:val="0093750B"/>
    <w:rsid w:val="00962354"/>
    <w:rsid w:val="009631EE"/>
    <w:rsid w:val="009709CB"/>
    <w:rsid w:val="00980685"/>
    <w:rsid w:val="00997709"/>
    <w:rsid w:val="009A4E67"/>
    <w:rsid w:val="009B1AD1"/>
    <w:rsid w:val="009D10A9"/>
    <w:rsid w:val="009D36F9"/>
    <w:rsid w:val="009D6758"/>
    <w:rsid w:val="009D774E"/>
    <w:rsid w:val="009E244B"/>
    <w:rsid w:val="00A120E3"/>
    <w:rsid w:val="00A1389C"/>
    <w:rsid w:val="00A174FA"/>
    <w:rsid w:val="00A301A3"/>
    <w:rsid w:val="00A30650"/>
    <w:rsid w:val="00A31B8B"/>
    <w:rsid w:val="00A36517"/>
    <w:rsid w:val="00A44642"/>
    <w:rsid w:val="00A44BB9"/>
    <w:rsid w:val="00A526C3"/>
    <w:rsid w:val="00A85D6C"/>
    <w:rsid w:val="00A87F54"/>
    <w:rsid w:val="00A91595"/>
    <w:rsid w:val="00AA1D08"/>
    <w:rsid w:val="00AA6CFE"/>
    <w:rsid w:val="00AB372C"/>
    <w:rsid w:val="00AB57B0"/>
    <w:rsid w:val="00AC1A26"/>
    <w:rsid w:val="00AD007F"/>
    <w:rsid w:val="00AE2E8C"/>
    <w:rsid w:val="00AE4CBB"/>
    <w:rsid w:val="00B02243"/>
    <w:rsid w:val="00B03E7D"/>
    <w:rsid w:val="00B07167"/>
    <w:rsid w:val="00B14306"/>
    <w:rsid w:val="00B20D1D"/>
    <w:rsid w:val="00B26593"/>
    <w:rsid w:val="00B329A8"/>
    <w:rsid w:val="00B37F11"/>
    <w:rsid w:val="00B56DDB"/>
    <w:rsid w:val="00B57911"/>
    <w:rsid w:val="00B82797"/>
    <w:rsid w:val="00B91E90"/>
    <w:rsid w:val="00BA69C6"/>
    <w:rsid w:val="00BE20D4"/>
    <w:rsid w:val="00BF7BDD"/>
    <w:rsid w:val="00C11360"/>
    <w:rsid w:val="00C13590"/>
    <w:rsid w:val="00C22DB8"/>
    <w:rsid w:val="00C3488D"/>
    <w:rsid w:val="00C41AC0"/>
    <w:rsid w:val="00C573B1"/>
    <w:rsid w:val="00CB36C4"/>
    <w:rsid w:val="00CB697A"/>
    <w:rsid w:val="00CC6417"/>
    <w:rsid w:val="00CD67BF"/>
    <w:rsid w:val="00CE72B0"/>
    <w:rsid w:val="00CF525D"/>
    <w:rsid w:val="00D0299B"/>
    <w:rsid w:val="00D1639B"/>
    <w:rsid w:val="00D443B6"/>
    <w:rsid w:val="00D651DF"/>
    <w:rsid w:val="00D74044"/>
    <w:rsid w:val="00D74B9F"/>
    <w:rsid w:val="00D76A10"/>
    <w:rsid w:val="00D80473"/>
    <w:rsid w:val="00DB4953"/>
    <w:rsid w:val="00DB66B7"/>
    <w:rsid w:val="00DC5789"/>
    <w:rsid w:val="00DD5E32"/>
    <w:rsid w:val="00DF061F"/>
    <w:rsid w:val="00E009EF"/>
    <w:rsid w:val="00E02051"/>
    <w:rsid w:val="00E022D4"/>
    <w:rsid w:val="00E11411"/>
    <w:rsid w:val="00E12033"/>
    <w:rsid w:val="00E14B9B"/>
    <w:rsid w:val="00E212AE"/>
    <w:rsid w:val="00E31E19"/>
    <w:rsid w:val="00E37774"/>
    <w:rsid w:val="00E461AC"/>
    <w:rsid w:val="00E52510"/>
    <w:rsid w:val="00E53CCC"/>
    <w:rsid w:val="00E61A15"/>
    <w:rsid w:val="00E62C8B"/>
    <w:rsid w:val="00E72916"/>
    <w:rsid w:val="00E8536D"/>
    <w:rsid w:val="00EB4773"/>
    <w:rsid w:val="00EC0446"/>
    <w:rsid w:val="00EC522F"/>
    <w:rsid w:val="00EC5D90"/>
    <w:rsid w:val="00ED01BF"/>
    <w:rsid w:val="00EE72F8"/>
    <w:rsid w:val="00EF025A"/>
    <w:rsid w:val="00EF0934"/>
    <w:rsid w:val="00EF3B33"/>
    <w:rsid w:val="00EF4866"/>
    <w:rsid w:val="00F01DFE"/>
    <w:rsid w:val="00F15C40"/>
    <w:rsid w:val="00F45064"/>
    <w:rsid w:val="00F46509"/>
    <w:rsid w:val="00F641B7"/>
    <w:rsid w:val="00F91FDE"/>
    <w:rsid w:val="00F96309"/>
    <w:rsid w:val="00FA3F1E"/>
    <w:rsid w:val="00FC3211"/>
    <w:rsid w:val="00FD7F3C"/>
    <w:rsid w:val="00FE1AE5"/>
    <w:rsid w:val="00FE3B93"/>
    <w:rsid w:val="00FF19AB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171D1"/>
  <w14:defaultImageDpi w14:val="32767"/>
  <w15:chartTrackingRefBased/>
  <w15:docId w15:val="{A245438B-DA38-964A-A168-5FC534EF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4C4C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 Char Char, Char Char Char Char Char,Char Char,Char Char Char Char Char"/>
    <w:basedOn w:val="Normal"/>
    <w:link w:val="HeaderChar"/>
    <w:uiPriority w:val="99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paragraph" w:styleId="TOC1">
    <w:name w:val="toc 1"/>
    <w:basedOn w:val="Normal"/>
    <w:next w:val="Normal"/>
    <w:autoRedefine/>
    <w:semiHidden/>
    <w:pPr>
      <w:spacing w:line="360" w:lineRule="auto"/>
      <w:ind w:left="851"/>
    </w:pPr>
    <w:rPr>
      <w:szCs w:val="20"/>
      <w:lang w:eastAsia="lt-LT"/>
    </w:r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paragraph" w:styleId="BodyTextIndent2">
    <w:name w:val="Body Text Indent 2"/>
    <w:basedOn w:val="Normal"/>
    <w:pPr>
      <w:ind w:left="720"/>
    </w:pPr>
    <w:rPr>
      <w:i/>
      <w:szCs w:val="20"/>
      <w:lang w:eastAsia="lt-LT"/>
    </w:rPr>
  </w:style>
  <w:style w:type="paragraph" w:styleId="BodyText3">
    <w:name w:val="Body Text 3"/>
    <w:basedOn w:val="Normal"/>
    <w:pPr>
      <w:jc w:val="both"/>
    </w:pPr>
    <w:rPr>
      <w:szCs w:val="20"/>
      <w:lang w:eastAsia="lt-LT"/>
    </w:rPr>
  </w:style>
  <w:style w:type="paragraph" w:styleId="BodyTextIndent">
    <w:name w:val="Body Text Indent"/>
    <w:basedOn w:val="Normal"/>
    <w:link w:val="BodyTextIndentChar"/>
    <w:pPr>
      <w:ind w:firstLine="720"/>
    </w:pPr>
    <w:rPr>
      <w:i/>
      <w:szCs w:val="20"/>
      <w:lang w:eastAsia="lt-L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eastAsia="lt-LT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besliotekstas1">
    <w:name w:val="Debesėlio tekstas1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rPr>
      <w:b/>
      <w:iCs/>
      <w:szCs w:val="22"/>
      <w:lang w:eastAsia="lt-LT"/>
    </w:rPr>
  </w:style>
  <w:style w:type="paragraph" w:styleId="NormalWeb">
    <w:name w:val="Normal (Web)"/>
    <w:basedOn w:val="Normal"/>
    <w:pPr>
      <w:spacing w:before="100" w:after="100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  <w:lang w:eastAsia="lt-LT"/>
    </w:rPr>
  </w:style>
  <w:style w:type="paragraph" w:styleId="BodyText2">
    <w:name w:val="Body Text 2"/>
    <w:basedOn w:val="Normal"/>
    <w:pPr>
      <w:autoSpaceDE w:val="0"/>
      <w:autoSpaceDN w:val="0"/>
      <w:ind w:right="264"/>
    </w:pPr>
  </w:style>
  <w:style w:type="paragraph" w:styleId="CommentText">
    <w:name w:val="annotation text"/>
    <w:basedOn w:val="Normal"/>
    <w:semiHidden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semiHidden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BlockText">
    <w:name w:val="Block Text"/>
    <w:basedOn w:val="Normal"/>
    <w:pPr>
      <w:ind w:left="972" w:right="-108" w:hanging="180"/>
    </w:pPr>
    <w:rPr>
      <w:lang w:val="en-GB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b w:val="0"/>
      <w:iCs w:val="0"/>
      <w:szCs w:val="24"/>
      <w:lang w:eastAsia="en-US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i w:val="0"/>
      <w:szCs w:val="24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LGPIAE+Arial" w:hAnsi="LGPIAE+Arial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rPr>
      <w:rFonts w:ascii="Arial" w:hAnsi="Arial"/>
      <w:kern w:val="28"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2">
    <w:name w:val="t2"/>
    <w:basedOn w:val="Normal"/>
    <w:rsid w:val="0065613E"/>
    <w:pPr>
      <w:widowControl w:val="0"/>
      <w:suppressAutoHyphens/>
      <w:spacing w:line="280" w:lineRule="atLeast"/>
    </w:pPr>
    <w:rPr>
      <w:szCs w:val="20"/>
      <w:lang w:val="en-US" w:eastAsia="ar-SA"/>
    </w:rPr>
  </w:style>
  <w:style w:type="paragraph" w:customStyle="1" w:styleId="pavadinimai">
    <w:name w:val="pavadinimai"/>
    <w:basedOn w:val="Normal"/>
    <w:rsid w:val="007A4298"/>
    <w:pPr>
      <w:spacing w:before="360" w:after="240"/>
      <w:jc w:val="center"/>
    </w:pPr>
    <w:rPr>
      <w:rFonts w:eastAsia="Calibri"/>
      <w:b/>
    </w:rPr>
  </w:style>
  <w:style w:type="character" w:customStyle="1" w:styleId="HeaderChar">
    <w:name w:val="Header Char"/>
    <w:aliases w:val=" Diagrama2 Char,Diagrama2 Char, Char Char Char, Char Char Char Char Char Char,Char Char Char,Char Char Char Char Char Char"/>
    <w:link w:val="Header"/>
    <w:uiPriority w:val="99"/>
    <w:locked/>
    <w:rsid w:val="007A4298"/>
    <w:rPr>
      <w:sz w:val="24"/>
      <w:lang w:val="lt-LT"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"/>
    <w:basedOn w:val="Normal"/>
    <w:link w:val="ListParagraphChar"/>
    <w:uiPriority w:val="34"/>
    <w:qFormat/>
    <w:rsid w:val="00CF525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CF525D"/>
    <w:rPr>
      <w:sz w:val="24"/>
      <w:szCs w:val="24"/>
      <w:lang w:val="lt-LT" w:eastAsia="en-US"/>
    </w:rPr>
  </w:style>
  <w:style w:type="character" w:customStyle="1" w:styleId="BodyTextIndentChar">
    <w:name w:val="Body Text Indent Char"/>
    <w:link w:val="BodyTextIndent"/>
    <w:rsid w:val="00EC5D90"/>
    <w:rPr>
      <w:i/>
      <w:sz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01400F"/>
    <w:rPr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C39E2-C390-4B30-94E6-0844F7A61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7C7DB-278E-463D-9302-0CDD3200262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960995-F4CC-4822-A72B-EE470714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3</cp:revision>
  <cp:lastPrinted>2017-03-23T08:28:00Z</cp:lastPrinted>
  <dcterms:created xsi:type="dcterms:W3CDTF">2026-01-08T17:19:00Z</dcterms:created>
  <dcterms:modified xsi:type="dcterms:W3CDTF">2026-01-08T17:23:00Z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