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555"/>
        <w:gridCol w:w="4961"/>
        <w:gridCol w:w="1701"/>
        <w:gridCol w:w="1417"/>
      </w:tblGrid>
      <w:tr w:rsidR="004D4508" w:rsidRPr="00E1187A" w14:paraId="7F3BEB03" w14:textId="77777777" w:rsidTr="002A4C15">
        <w:trPr>
          <w:trHeight w:val="567"/>
        </w:trPr>
        <w:tc>
          <w:tcPr>
            <w:tcW w:w="1555" w:type="dxa"/>
            <w:shd w:val="clear" w:color="auto" w:fill="005063"/>
            <w:vAlign w:val="center"/>
          </w:tcPr>
          <w:p w14:paraId="51603690" w14:textId="77777777" w:rsidR="004D4508" w:rsidRPr="00E1187A" w:rsidRDefault="004D4508" w:rsidP="006430FE">
            <w:pPr>
              <w:jc w:val="left"/>
              <w:rPr>
                <w:rFonts w:ascii="Arial" w:hAnsi="Arial" w:cs="Arial"/>
                <w:color w:val="FFFFFF"/>
                <w:sz w:val="21"/>
                <w:szCs w:val="21"/>
                <w:shd w:val="clear" w:color="auto" w:fill="03787C"/>
              </w:rPr>
            </w:pPr>
            <w:r w:rsidRPr="00E1187A">
              <w:rPr>
                <w:rFonts w:ascii="Arial" w:hAnsi="Arial" w:cs="Arial"/>
                <w:b/>
                <w:color w:val="FFFFFF" w:themeColor="background1"/>
                <w:sz w:val="20"/>
              </w:rPr>
              <w:t>Pirkimo objekto pavadinimas:</w:t>
            </w:r>
          </w:p>
        </w:tc>
        <w:tc>
          <w:tcPr>
            <w:tcW w:w="4961" w:type="dxa"/>
            <w:vAlign w:val="center"/>
          </w:tcPr>
          <w:p w14:paraId="731A1BF5" w14:textId="665B51FD" w:rsidR="004D4508" w:rsidRPr="00E1187A" w:rsidRDefault="00C73494" w:rsidP="00C73494">
            <w:pPr>
              <w:jc w:val="center"/>
              <w:rPr>
                <w:rFonts w:ascii="Arial" w:hAnsi="Arial" w:cs="Arial"/>
                <w:b/>
                <w:bCs/>
                <w:sz w:val="20"/>
              </w:rPr>
            </w:pPr>
            <w:r w:rsidRPr="00E1187A">
              <w:rPr>
                <w:rFonts w:ascii="Arial" w:hAnsi="Arial" w:cs="Arial"/>
                <w:b/>
                <w:bCs/>
                <w:sz w:val="20"/>
              </w:rPr>
              <w:t>Lietaus vandens nuotekų techninio darbo projekto parengimas ir projekto vykdymo priežiūra objekte „Tunelinio pravažiavimo 10,127 km, eismo mazgo, po magistraliniu keliu A2 Vilnius-Panevėžys naujos statybos ir magistralinio kelio A2 Vilnius– Panevėžys nuo Nesvyžiaus g. 9,276 km, iki nuvažiavimo į tunelinį viaduką 9,912 km rekonstravimo, įrengiant 3–čią eismo juostą“</w:t>
            </w:r>
          </w:p>
        </w:tc>
        <w:tc>
          <w:tcPr>
            <w:tcW w:w="1701" w:type="dxa"/>
            <w:shd w:val="clear" w:color="auto" w:fill="005063"/>
            <w:vAlign w:val="center"/>
          </w:tcPr>
          <w:p w14:paraId="4BAF8A8D" w14:textId="6383284B" w:rsidR="004D4508" w:rsidRPr="00E1187A" w:rsidRDefault="004D4508" w:rsidP="006430FE">
            <w:pPr>
              <w:jc w:val="left"/>
              <w:rPr>
                <w:rFonts w:ascii="Arial" w:hAnsi="Arial" w:cs="Arial"/>
                <w:b/>
                <w:caps/>
                <w:color w:val="FFFFFF" w:themeColor="background1"/>
                <w:sz w:val="20"/>
              </w:rPr>
            </w:pPr>
            <w:r w:rsidRPr="00E1187A">
              <w:rPr>
                <w:rFonts w:ascii="Arial" w:hAnsi="Arial" w:cs="Arial"/>
                <w:b/>
                <w:color w:val="FFFFFF" w:themeColor="background1"/>
                <w:sz w:val="20"/>
              </w:rPr>
              <w:t>Dokumento pateikimo data:</w:t>
            </w:r>
          </w:p>
        </w:tc>
        <w:tc>
          <w:tcPr>
            <w:tcW w:w="1417" w:type="dxa"/>
            <w:vAlign w:val="center"/>
          </w:tcPr>
          <w:p w14:paraId="28632980" w14:textId="5E6A2B34" w:rsidR="004D4508" w:rsidRPr="00E1187A" w:rsidRDefault="00907361" w:rsidP="006430FE">
            <w:pPr>
              <w:jc w:val="left"/>
              <w:rPr>
                <w:rFonts w:ascii="Arial" w:hAnsi="Arial" w:cs="Arial"/>
                <w:bCs/>
                <w:caps/>
                <w:sz w:val="20"/>
                <w:lang w:val="en-US"/>
              </w:rPr>
            </w:pPr>
            <w:r w:rsidRPr="00E1187A">
              <w:rPr>
                <w:rFonts w:ascii="Arial" w:hAnsi="Arial" w:cs="Arial"/>
                <w:bCs/>
                <w:caps/>
                <w:sz w:val="20"/>
              </w:rPr>
              <w:t>202</w:t>
            </w:r>
            <w:r w:rsidR="00DB76F4" w:rsidRPr="00E1187A">
              <w:rPr>
                <w:rFonts w:ascii="Arial" w:hAnsi="Arial" w:cs="Arial"/>
                <w:bCs/>
                <w:caps/>
                <w:sz w:val="20"/>
              </w:rPr>
              <w:t>6</w:t>
            </w:r>
            <w:r w:rsidRPr="00E1187A">
              <w:rPr>
                <w:rFonts w:ascii="Arial" w:hAnsi="Arial" w:cs="Arial"/>
                <w:bCs/>
                <w:caps/>
                <w:sz w:val="20"/>
              </w:rPr>
              <w:t>-</w:t>
            </w:r>
            <w:r w:rsidR="00893659" w:rsidRPr="00E1187A">
              <w:rPr>
                <w:rFonts w:ascii="Arial" w:hAnsi="Arial" w:cs="Arial"/>
                <w:bCs/>
                <w:caps/>
                <w:sz w:val="20"/>
              </w:rPr>
              <w:t>0</w:t>
            </w:r>
            <w:r w:rsidR="00DB76F4" w:rsidRPr="00E1187A">
              <w:rPr>
                <w:rFonts w:ascii="Arial" w:hAnsi="Arial" w:cs="Arial"/>
                <w:bCs/>
                <w:caps/>
                <w:sz w:val="20"/>
              </w:rPr>
              <w:t>1</w:t>
            </w:r>
            <w:r w:rsidR="00893659" w:rsidRPr="00E1187A">
              <w:rPr>
                <w:rFonts w:ascii="Arial" w:hAnsi="Arial" w:cs="Arial"/>
                <w:bCs/>
                <w:caps/>
                <w:sz w:val="20"/>
              </w:rPr>
              <w:t>-</w:t>
            </w:r>
          </w:p>
        </w:tc>
      </w:tr>
    </w:tbl>
    <w:p w14:paraId="45915075" w14:textId="72C866CD" w:rsidR="004D4508" w:rsidRDefault="004D4508" w:rsidP="0087086E">
      <w:pPr>
        <w:jc w:val="left"/>
        <w:rPr>
          <w:rFonts w:ascii="Arial Narrow" w:hAnsi="Arial Narrow"/>
          <w:b/>
          <w:caps/>
        </w:rPr>
      </w:pPr>
    </w:p>
    <w:tbl>
      <w:tblPr>
        <w:tblStyle w:val="TableGrid"/>
        <w:tblW w:w="0" w:type="auto"/>
        <w:tblLook w:val="04A0" w:firstRow="1" w:lastRow="0" w:firstColumn="1" w:lastColumn="0" w:noHBand="0" w:noVBand="1"/>
      </w:tblPr>
      <w:tblGrid>
        <w:gridCol w:w="517"/>
        <w:gridCol w:w="4396"/>
        <w:gridCol w:w="4715"/>
      </w:tblGrid>
      <w:tr w:rsidR="00BB208D" w:rsidRPr="00BB208D" w14:paraId="5F5A4E33" w14:textId="77777777" w:rsidTr="00567793">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444A6972" w14:textId="77777777" w:rsidTr="00567793">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856AE3" w:rsidRPr="00BB208D" w14:paraId="18AA3063" w14:textId="77777777" w:rsidTr="00567793">
        <w:trPr>
          <w:trHeight w:val="850"/>
        </w:trPr>
        <w:tc>
          <w:tcPr>
            <w:tcW w:w="517" w:type="dxa"/>
            <w:vAlign w:val="center"/>
          </w:tcPr>
          <w:p w14:paraId="4B6D2559" w14:textId="78733A68" w:rsidR="00856AE3" w:rsidRPr="009F644E" w:rsidRDefault="00856AE3" w:rsidP="00856AE3">
            <w:pPr>
              <w:jc w:val="left"/>
              <w:rPr>
                <w:sz w:val="22"/>
                <w:szCs w:val="22"/>
              </w:rPr>
            </w:pPr>
            <w:r w:rsidRPr="009F644E">
              <w:rPr>
                <w:sz w:val="22"/>
                <w:szCs w:val="22"/>
              </w:rPr>
              <w:t>1</w:t>
            </w:r>
          </w:p>
        </w:tc>
        <w:tc>
          <w:tcPr>
            <w:tcW w:w="4396" w:type="dxa"/>
          </w:tcPr>
          <w:p w14:paraId="000FB2C9" w14:textId="77777777" w:rsidR="00856AE3" w:rsidRPr="00277E40" w:rsidRDefault="00856AE3" w:rsidP="00856AE3">
            <w:pPr>
              <w:rPr>
                <w:rFonts w:ascii="Arial" w:hAnsi="Arial" w:cs="Arial"/>
                <w:bCs/>
                <w:sz w:val="22"/>
                <w:szCs w:val="22"/>
              </w:rPr>
            </w:pPr>
            <w:r w:rsidRPr="00277E40">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277E40">
              <w:rPr>
                <w:rFonts w:ascii="Arial" w:hAnsi="Arial" w:cs="Arial"/>
                <w:color w:val="FF0000"/>
                <w:sz w:val="22"/>
                <w:szCs w:val="22"/>
              </w:rPr>
              <w:t xml:space="preserve"> </w:t>
            </w:r>
            <w:r w:rsidRPr="00277E40">
              <w:rPr>
                <w:rFonts w:ascii="Arial" w:hAnsi="Arial" w:cs="Arial"/>
                <w:b/>
                <w:sz w:val="22"/>
                <w:szCs w:val="22"/>
              </w:rPr>
              <w:t>tinkamai parengęs</w:t>
            </w:r>
            <w:r w:rsidRPr="00277E40">
              <w:rPr>
                <w:rFonts w:ascii="Arial" w:hAnsi="Arial" w:cs="Arial"/>
                <w:bCs/>
                <w:sz w:val="22"/>
                <w:szCs w:val="22"/>
              </w:rPr>
              <w:t xml:space="preserve"> </w:t>
            </w:r>
            <w:r w:rsidRPr="00277E40">
              <w:rPr>
                <w:rStyle w:val="normaltextrun"/>
                <w:rFonts w:ascii="Arial" w:hAnsi="Arial" w:cs="Arial"/>
                <w:sz w:val="22"/>
                <w:szCs w:val="22"/>
                <w:shd w:val="clear" w:color="auto" w:fill="FFFFFF"/>
              </w:rPr>
              <w:t xml:space="preserve">rekonstravimo, </w:t>
            </w:r>
            <w:r w:rsidRPr="00277E40">
              <w:rPr>
                <w:rFonts w:ascii="Arial" w:hAnsi="Arial" w:cs="Arial"/>
                <w:bCs/>
                <w:sz w:val="22"/>
                <w:szCs w:val="22"/>
              </w:rPr>
              <w:t>ar</w:t>
            </w:r>
            <w:r w:rsidRPr="00277E40">
              <w:rPr>
                <w:rFonts w:ascii="Arial" w:hAnsi="Arial" w:cs="Arial"/>
                <w:sz w:val="22"/>
                <w:szCs w:val="22"/>
              </w:rPr>
              <w:t xml:space="preserve"> </w:t>
            </w:r>
            <w:r w:rsidRPr="00277E40">
              <w:rPr>
                <w:rFonts w:ascii="Arial" w:hAnsi="Arial" w:cs="Arial"/>
                <w:bCs/>
                <w:sz w:val="22"/>
                <w:szCs w:val="22"/>
              </w:rPr>
              <w:t xml:space="preserve">(ir) </w:t>
            </w:r>
            <w:r w:rsidRPr="00277E40">
              <w:rPr>
                <w:rFonts w:ascii="Arial" w:hAnsi="Arial" w:cs="Arial"/>
                <w:sz w:val="22"/>
                <w:szCs w:val="22"/>
              </w:rPr>
              <w:t xml:space="preserve">kapitalinio remonto, </w:t>
            </w:r>
            <w:r w:rsidRPr="00277E40">
              <w:rPr>
                <w:rStyle w:val="normaltextrun"/>
                <w:rFonts w:ascii="Arial" w:hAnsi="Arial" w:cs="Arial"/>
                <w:sz w:val="22"/>
                <w:szCs w:val="22"/>
                <w:shd w:val="clear" w:color="auto" w:fill="FFFFFF"/>
              </w:rPr>
              <w:t xml:space="preserve">ar </w:t>
            </w:r>
            <w:r w:rsidRPr="00277E40">
              <w:rPr>
                <w:rFonts w:ascii="Arial" w:hAnsi="Arial" w:cs="Arial"/>
                <w:bCs/>
                <w:sz w:val="22"/>
                <w:szCs w:val="22"/>
              </w:rPr>
              <w:t xml:space="preserve">(ir) </w:t>
            </w:r>
            <w:r w:rsidRPr="00277E40">
              <w:rPr>
                <w:rStyle w:val="normaltextrun"/>
                <w:rFonts w:ascii="Arial" w:hAnsi="Arial" w:cs="Arial"/>
                <w:sz w:val="22"/>
                <w:szCs w:val="22"/>
                <w:shd w:val="clear" w:color="auto" w:fill="FFFFFF"/>
              </w:rPr>
              <w:t xml:space="preserve">naujos statybos </w:t>
            </w:r>
            <w:r w:rsidRPr="00277E40">
              <w:rPr>
                <w:rFonts w:ascii="Arial" w:hAnsi="Arial" w:cs="Arial"/>
                <w:bCs/>
                <w:sz w:val="22"/>
                <w:szCs w:val="22"/>
              </w:rPr>
              <w:t>techninį (-ius) arba (ir) techninį (-ius) darbo projektą (-us) ypatingų statinių grupei priskiriamuose statiniuose (užsienio – lygiaverčiuose statiniuose):</w:t>
            </w:r>
          </w:p>
          <w:p w14:paraId="754A6F61" w14:textId="77777777" w:rsidR="00856AE3" w:rsidRPr="00277E40" w:rsidRDefault="00856AE3" w:rsidP="00856AE3">
            <w:pPr>
              <w:rPr>
                <w:rFonts w:ascii="Arial" w:hAnsi="Arial" w:cs="Arial"/>
                <w:sz w:val="22"/>
                <w:szCs w:val="22"/>
              </w:rPr>
            </w:pPr>
            <w:r w:rsidRPr="00277E40">
              <w:rPr>
                <w:rFonts w:ascii="Arial" w:hAnsi="Arial" w:cs="Arial"/>
                <w:sz w:val="22"/>
                <w:szCs w:val="22"/>
              </w:rPr>
              <w:t>- valstybinės reikšmės keliuose</w:t>
            </w:r>
            <w:r w:rsidRPr="00277E40">
              <w:rPr>
                <w:rFonts w:ascii="Arial" w:hAnsi="Arial" w:cs="Arial"/>
                <w:sz w:val="22"/>
                <w:szCs w:val="22"/>
                <w:vertAlign w:val="superscript"/>
              </w:rPr>
              <w:footnoteReference w:id="1"/>
            </w:r>
            <w:r w:rsidRPr="00277E40">
              <w:rPr>
                <w:rFonts w:ascii="Arial" w:hAnsi="Arial" w:cs="Arial"/>
                <w:sz w:val="22"/>
                <w:szCs w:val="22"/>
              </w:rPr>
              <w:t>,</w:t>
            </w:r>
            <w:r w:rsidRPr="00277E40">
              <w:rPr>
                <w:rFonts w:ascii="Arial" w:hAnsi="Arial" w:cs="Arial"/>
                <w:b/>
                <w:sz w:val="22"/>
                <w:szCs w:val="22"/>
              </w:rPr>
              <w:t xml:space="preserve"> </w:t>
            </w:r>
            <w:r w:rsidRPr="00277E40">
              <w:rPr>
                <w:rFonts w:ascii="Arial" w:hAnsi="Arial" w:cs="Arial"/>
                <w:sz w:val="22"/>
                <w:szCs w:val="22"/>
              </w:rPr>
              <w:t xml:space="preserve">priklausomai nuo jų suskirstymo pagal reikšmę (magistraliniai ar (ir) krašto, ar (ir) rajoniniai keliai) arba (ir) </w:t>
            </w:r>
          </w:p>
          <w:p w14:paraId="439FDC71" w14:textId="77777777" w:rsidR="00856AE3" w:rsidRPr="00277E40" w:rsidRDefault="00856AE3" w:rsidP="00856AE3">
            <w:pPr>
              <w:rPr>
                <w:rFonts w:ascii="Arial" w:hAnsi="Arial" w:cs="Arial"/>
                <w:sz w:val="22"/>
                <w:szCs w:val="22"/>
              </w:rPr>
            </w:pPr>
            <w:r w:rsidRPr="00277E40">
              <w:rPr>
                <w:rFonts w:ascii="Arial" w:hAnsi="Arial" w:cs="Arial"/>
                <w:sz w:val="22"/>
                <w:szCs w:val="22"/>
              </w:rPr>
              <w:t>- miestų, miestelių gatvėse su indeksu A ar (ir) B, ar (ir) C (greito eismo ar (ir) pagrindinės, ar (ir) aptarnaujančios gatvės), ar (ir) jų sankryžose, arba (ir)</w:t>
            </w:r>
          </w:p>
          <w:p w14:paraId="66D8BA6F" w14:textId="77777777" w:rsidR="00856AE3" w:rsidRPr="00277E40" w:rsidRDefault="00856AE3" w:rsidP="00856AE3">
            <w:pPr>
              <w:rPr>
                <w:rFonts w:ascii="Arial" w:hAnsi="Arial" w:cs="Arial"/>
                <w:sz w:val="22"/>
                <w:szCs w:val="22"/>
              </w:rPr>
            </w:pPr>
            <w:r w:rsidRPr="00277E40">
              <w:rPr>
                <w:rFonts w:ascii="Arial" w:hAnsi="Arial" w:cs="Arial"/>
                <w:sz w:val="22"/>
                <w:szCs w:val="22"/>
              </w:rPr>
              <w:t>- oro uostų (aerodromų) statiniuose – oro uostų (aerodromų) kilimo ir tūpimo ar  (ir) riedėjimo takuose, ar  (ir) peronuose, ar (ir) orlaivių stovėjimo, ar (ir) specialiose aikštelėse, arba (ir)</w:t>
            </w:r>
          </w:p>
          <w:p w14:paraId="237516EF" w14:textId="77777777" w:rsidR="00856AE3" w:rsidRPr="00277E40" w:rsidRDefault="00856AE3" w:rsidP="00856AE3">
            <w:pPr>
              <w:rPr>
                <w:rFonts w:ascii="Arial" w:hAnsi="Arial" w:cs="Arial"/>
                <w:sz w:val="22"/>
                <w:szCs w:val="22"/>
              </w:rPr>
            </w:pPr>
            <w:r w:rsidRPr="00277E40">
              <w:rPr>
                <w:rFonts w:ascii="Arial" w:hAnsi="Arial" w:cs="Arial"/>
                <w:sz w:val="22"/>
                <w:szCs w:val="22"/>
              </w:rPr>
              <w:t xml:space="preserve">- ypatinguose transporto statiniuose (tiltuose ar (ir) viadukuose, ar (ir) tuneliuose, ar (ir) estakadose), </w:t>
            </w:r>
          </w:p>
          <w:p w14:paraId="5DFD83CC" w14:textId="77777777" w:rsidR="00856AE3" w:rsidRPr="00277E40" w:rsidRDefault="00856AE3" w:rsidP="00856AE3">
            <w:pPr>
              <w:rPr>
                <w:rFonts w:ascii="Arial" w:hAnsi="Arial" w:cs="Arial"/>
                <w:sz w:val="22"/>
                <w:szCs w:val="22"/>
              </w:rPr>
            </w:pPr>
            <w:r w:rsidRPr="00277E40">
              <w:rPr>
                <w:rFonts w:ascii="Arial" w:hAnsi="Arial" w:cs="Arial"/>
                <w:sz w:val="22"/>
                <w:szCs w:val="22"/>
              </w:rPr>
              <w:t xml:space="preserve">kurio (-ių) vertė ne mažesnė kaip </w:t>
            </w:r>
            <w:r w:rsidRPr="00277E40">
              <w:rPr>
                <w:rFonts w:ascii="Arial" w:hAnsi="Arial" w:cs="Arial"/>
                <w:b/>
                <w:bCs/>
                <w:sz w:val="22"/>
                <w:szCs w:val="22"/>
                <w:highlight w:val="yellow"/>
              </w:rPr>
              <w:t>.......</w:t>
            </w:r>
            <w:r w:rsidRPr="00277E40">
              <w:rPr>
                <w:rFonts w:ascii="Arial" w:hAnsi="Arial" w:cs="Arial"/>
                <w:b/>
                <w:sz w:val="22"/>
                <w:szCs w:val="22"/>
                <w:highlight w:val="yellow"/>
              </w:rPr>
              <w:t> Eur be PVM</w:t>
            </w:r>
            <w:r w:rsidRPr="00277E40">
              <w:rPr>
                <w:rFonts w:ascii="Arial" w:hAnsi="Arial" w:cs="Arial"/>
                <w:b/>
                <w:sz w:val="22"/>
                <w:szCs w:val="22"/>
              </w:rPr>
              <w:t>.</w:t>
            </w:r>
          </w:p>
          <w:p w14:paraId="61B6130E" w14:textId="77777777" w:rsidR="00856AE3" w:rsidRPr="00277E40" w:rsidRDefault="00856AE3" w:rsidP="00856AE3">
            <w:pPr>
              <w:spacing w:before="120"/>
              <w:rPr>
                <w:rFonts w:ascii="Arial" w:hAnsi="Arial" w:cs="Arial"/>
                <w:b/>
                <w:bCs/>
                <w:i/>
                <w:sz w:val="22"/>
                <w:szCs w:val="22"/>
              </w:rPr>
            </w:pPr>
            <w:r w:rsidRPr="00277E40">
              <w:rPr>
                <w:rFonts w:ascii="Arial" w:hAnsi="Arial" w:cs="Arial"/>
                <w:b/>
                <w:bCs/>
                <w:i/>
                <w:sz w:val="22"/>
                <w:szCs w:val="22"/>
              </w:rPr>
              <w:t>Pastabos:</w:t>
            </w:r>
          </w:p>
          <w:p w14:paraId="2105FA25" w14:textId="77777777" w:rsidR="00856AE3" w:rsidRPr="00277E40" w:rsidRDefault="00856AE3" w:rsidP="00856AE3">
            <w:pPr>
              <w:ind w:firstLine="35"/>
              <w:rPr>
                <w:rFonts w:ascii="Arial" w:hAnsi="Arial" w:cs="Arial"/>
                <w:i/>
                <w:sz w:val="22"/>
                <w:szCs w:val="22"/>
              </w:rPr>
            </w:pPr>
            <w:r w:rsidRPr="00277E40">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D5A3328" w14:textId="77777777" w:rsidR="00856AE3" w:rsidRPr="00277E40" w:rsidRDefault="00856AE3" w:rsidP="00856AE3">
            <w:pPr>
              <w:pStyle w:val="ListParagraph"/>
              <w:ind w:left="0" w:firstLine="35"/>
              <w:jc w:val="both"/>
              <w:rPr>
                <w:rFonts w:ascii="Arial" w:hAnsi="Arial" w:cs="Arial"/>
                <w:i/>
                <w:strike/>
                <w:sz w:val="22"/>
              </w:rPr>
            </w:pPr>
            <w:r w:rsidRPr="00277E40">
              <w:rPr>
                <w:rFonts w:ascii="Arial" w:hAnsi="Arial" w:cs="Arial"/>
                <w:i/>
                <w:sz w:val="22"/>
              </w:rPr>
              <w:lastRenderedPageBreak/>
              <w:t xml:space="preserve">2. </w:t>
            </w:r>
            <w:r w:rsidRPr="00277E40">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277E40">
              <w:rPr>
                <w:rFonts w:ascii="Arial" w:hAnsi="Arial" w:cs="Arial"/>
                <w:bCs/>
                <w:i/>
                <w:sz w:val="22"/>
              </w:rPr>
              <w:t>).</w:t>
            </w:r>
          </w:p>
          <w:p w14:paraId="08697DF2" w14:textId="77777777" w:rsidR="00856AE3" w:rsidRPr="00277E40" w:rsidRDefault="00856AE3" w:rsidP="00856AE3">
            <w:pPr>
              <w:pStyle w:val="ListParagraph"/>
              <w:ind w:left="0" w:firstLine="35"/>
              <w:jc w:val="both"/>
              <w:rPr>
                <w:rFonts w:ascii="Arial" w:hAnsi="Arial" w:cs="Arial"/>
                <w:bCs/>
                <w:i/>
                <w:sz w:val="22"/>
              </w:rPr>
            </w:pPr>
            <w:r w:rsidRPr="00277E40">
              <w:rPr>
                <w:rFonts w:ascii="Arial" w:hAnsi="Arial" w:cs="Arial"/>
                <w:i/>
                <w:sz w:val="22"/>
              </w:rPr>
              <w:t>3. T</w:t>
            </w:r>
            <w:r w:rsidRPr="00277E40">
              <w:rPr>
                <w:rFonts w:ascii="Arial" w:hAnsi="Arial" w:cs="Arial"/>
                <w:bCs/>
                <w:i/>
                <w:sz w:val="22"/>
              </w:rPr>
              <w:t>iekėjas gali remtis kitų ūkio subjektų pajėgumais tik tuo atveju, jeigu tie subjektai patys vykdys tą pirkimo sutarties dalį, kuriai reikia jų turimų pajėgumų.</w:t>
            </w:r>
          </w:p>
          <w:p w14:paraId="52115C7E" w14:textId="77777777" w:rsidR="00856AE3" w:rsidRPr="00277E40" w:rsidRDefault="00856AE3" w:rsidP="00856AE3">
            <w:pPr>
              <w:pStyle w:val="ListParagraph"/>
              <w:ind w:left="0" w:firstLine="35"/>
              <w:jc w:val="both"/>
              <w:rPr>
                <w:rFonts w:ascii="Arial" w:hAnsi="Arial" w:cs="Arial"/>
                <w:bCs/>
                <w:i/>
                <w:sz w:val="22"/>
              </w:rPr>
            </w:pPr>
            <w:r w:rsidRPr="00277E40">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7F1634B9" w14:textId="77777777" w:rsidR="00856AE3" w:rsidRPr="00277E40" w:rsidRDefault="00856AE3" w:rsidP="00856AE3">
            <w:pPr>
              <w:rPr>
                <w:rFonts w:ascii="Arial" w:hAnsi="Arial" w:cs="Arial"/>
                <w:sz w:val="22"/>
                <w:szCs w:val="22"/>
              </w:rPr>
            </w:pPr>
            <w:r w:rsidRPr="00277E40">
              <w:rPr>
                <w:rFonts w:ascii="Arial" w:hAnsi="Arial" w:cs="Arial"/>
                <w:bCs/>
                <w:i/>
                <w:sz w:val="22"/>
                <w:szCs w:val="22"/>
              </w:rPr>
              <w:t xml:space="preserve">5. </w:t>
            </w:r>
            <w:r w:rsidRPr="00277E40">
              <w:rPr>
                <w:rFonts w:ascii="Arial" w:hAnsi="Arial" w:cs="Arial"/>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p w14:paraId="353E963C" w14:textId="106B248A" w:rsidR="00856AE3" w:rsidRPr="00277E40" w:rsidRDefault="00856AE3" w:rsidP="00856AE3">
            <w:pPr>
              <w:jc w:val="left"/>
              <w:rPr>
                <w:rFonts w:ascii="Arial" w:hAnsi="Arial" w:cs="Arial"/>
                <w:bCs/>
                <w:caps/>
                <w:sz w:val="22"/>
                <w:szCs w:val="22"/>
              </w:rPr>
            </w:pPr>
          </w:p>
        </w:tc>
        <w:tc>
          <w:tcPr>
            <w:tcW w:w="4715" w:type="dxa"/>
          </w:tcPr>
          <w:p w14:paraId="0FF4E4F2" w14:textId="77777777" w:rsidR="00856AE3" w:rsidRPr="00277E40" w:rsidRDefault="00856AE3" w:rsidP="00856AE3">
            <w:pPr>
              <w:numPr>
                <w:ilvl w:val="0"/>
                <w:numId w:val="9"/>
              </w:numPr>
              <w:tabs>
                <w:tab w:val="left" w:pos="328"/>
                <w:tab w:val="left" w:pos="705"/>
              </w:tabs>
              <w:suppressAutoHyphens/>
              <w:ind w:left="0" w:firstLine="128"/>
              <w:contextualSpacing/>
              <w:rPr>
                <w:rFonts w:ascii="Arial" w:hAnsi="Arial" w:cs="Arial"/>
                <w:sz w:val="22"/>
                <w:szCs w:val="22"/>
              </w:rPr>
            </w:pPr>
            <w:r w:rsidRPr="00277E40">
              <w:rPr>
                <w:rFonts w:ascii="Arial" w:hAnsi="Arial" w:cs="Arial"/>
                <w:sz w:val="22"/>
                <w:szCs w:val="22"/>
              </w:rPr>
              <w:lastRenderedPageBreak/>
              <w:t> </w:t>
            </w:r>
            <w:r w:rsidRPr="00277E40">
              <w:rPr>
                <w:rStyle w:val="normaltextrun"/>
                <w:rFonts w:ascii="Arial" w:hAnsi="Arial" w:cs="Arial"/>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277E40">
              <w:rPr>
                <w:rStyle w:val="normaltextrun"/>
                <w:rFonts w:ascii="Arial" w:hAnsi="Arial" w:cs="Arial"/>
                <w:b/>
                <w:bCs/>
                <w:sz w:val="22"/>
                <w:szCs w:val="22"/>
                <w:highlight w:val="yellow"/>
                <w:shd w:val="clear" w:color="auto" w:fill="FFFFFF"/>
              </w:rPr>
              <w:t>........... </w:t>
            </w:r>
            <w:r w:rsidRPr="00277E40">
              <w:rPr>
                <w:rStyle w:val="normaltextrun"/>
                <w:rFonts w:ascii="Arial" w:hAnsi="Arial" w:cs="Arial"/>
                <w:sz w:val="22"/>
                <w:szCs w:val="22"/>
                <w:highlight w:val="yellow"/>
                <w:shd w:val="clear" w:color="auto" w:fill="FFFFFF"/>
              </w:rPr>
              <w:t>priedas</w:t>
            </w:r>
            <w:r w:rsidRPr="00277E40">
              <w:rPr>
                <w:rStyle w:val="normaltextrun"/>
                <w:rFonts w:ascii="Arial" w:hAnsi="Arial" w:cs="Arial"/>
                <w:sz w:val="22"/>
                <w:szCs w:val="22"/>
                <w:shd w:val="clear" w:color="auto" w:fill="FFFFFF"/>
              </w:rPr>
              <w:t>)</w:t>
            </w:r>
            <w:r w:rsidRPr="00277E40">
              <w:rPr>
                <w:rFonts w:ascii="Arial" w:hAnsi="Arial" w:cs="Arial"/>
                <w:sz w:val="22"/>
                <w:szCs w:val="22"/>
              </w:rPr>
              <w:t>.</w:t>
            </w:r>
          </w:p>
          <w:p w14:paraId="40FFD14F" w14:textId="77777777" w:rsidR="00856AE3" w:rsidRPr="00277E40" w:rsidRDefault="00856AE3" w:rsidP="00856AE3">
            <w:pPr>
              <w:ind w:firstLine="128"/>
              <w:rPr>
                <w:rFonts w:ascii="Arial" w:hAnsi="Arial" w:cs="Arial"/>
                <w:sz w:val="22"/>
                <w:szCs w:val="22"/>
              </w:rPr>
            </w:pPr>
            <w:r w:rsidRPr="00277E40">
              <w:rPr>
                <w:rFonts w:ascii="Arial" w:hAnsi="Arial" w:cs="Arial"/>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310DA2C9" w14:textId="77777777" w:rsidR="00856AE3" w:rsidRPr="00277E40" w:rsidRDefault="00856AE3" w:rsidP="00856AE3">
            <w:pPr>
              <w:ind w:firstLine="128"/>
              <w:rPr>
                <w:rFonts w:ascii="Arial" w:hAnsi="Arial" w:cs="Arial"/>
                <w:sz w:val="22"/>
                <w:szCs w:val="22"/>
              </w:rPr>
            </w:pPr>
            <w:r w:rsidRPr="00277E40">
              <w:rPr>
                <w:rFonts w:ascii="Arial" w:hAnsi="Arial" w:cs="Arial"/>
                <w:sz w:val="22"/>
                <w:szCs w:val="22"/>
              </w:rPr>
              <w:t>3. Dokumentai, pagrindžiantys tiekėjo ar tiekėjų grupės partnerio dalyvavimo</w:t>
            </w:r>
            <w:r w:rsidRPr="00277E40">
              <w:rPr>
                <w:rFonts w:ascii="Arial" w:hAnsi="Arial" w:cs="Arial"/>
                <w:color w:val="5B9BD5" w:themeColor="accent5"/>
                <w:sz w:val="22"/>
                <w:szCs w:val="22"/>
              </w:rPr>
              <w:t xml:space="preserve"> </w:t>
            </w:r>
            <w:r w:rsidRPr="00277E40">
              <w:rPr>
                <w:rFonts w:ascii="Arial" w:hAnsi="Arial" w:cs="Arial"/>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732ABFC0" w14:textId="77777777" w:rsidR="00856AE3" w:rsidRPr="00277E40" w:rsidRDefault="00856AE3" w:rsidP="00856AE3">
            <w:pPr>
              <w:rPr>
                <w:rFonts w:ascii="Arial" w:hAnsi="Arial" w:cs="Arial"/>
                <w:sz w:val="22"/>
                <w:szCs w:val="22"/>
              </w:rPr>
            </w:pPr>
            <w:r w:rsidRPr="00277E40">
              <w:rPr>
                <w:rFonts w:ascii="Arial" w:hAnsi="Arial" w:cs="Arial"/>
                <w:sz w:val="22"/>
                <w:szCs w:val="22"/>
              </w:rPr>
              <w:t xml:space="preserve">4. Nurodant kaip patirtį parengus </w:t>
            </w:r>
            <w:r w:rsidRPr="00277E40">
              <w:rPr>
                <w:rFonts w:ascii="Arial" w:hAnsi="Arial" w:cs="Arial"/>
                <w:bCs/>
                <w:sz w:val="22"/>
                <w:szCs w:val="22"/>
              </w:rPr>
              <w:t xml:space="preserve">techninį (-ius) arba (ir) techninį (-ius) darbo projektą (-us) </w:t>
            </w:r>
            <w:r w:rsidRPr="00277E40">
              <w:rPr>
                <w:rFonts w:ascii="Arial" w:hAnsi="Arial" w:cs="Arial"/>
                <w:sz w:val="22"/>
                <w:szCs w:val="22"/>
              </w:rPr>
              <w:t>valstybinės reikšmės keliuose</w:t>
            </w:r>
            <w:r w:rsidRPr="00277E40">
              <w:rPr>
                <w:rFonts w:ascii="Arial" w:hAnsi="Arial" w:cs="Arial"/>
                <w:sz w:val="22"/>
                <w:szCs w:val="22"/>
                <w:vertAlign w:val="superscript"/>
              </w:rPr>
              <w:t>1</w:t>
            </w:r>
            <w:r w:rsidRPr="00277E40">
              <w:rPr>
                <w:rFonts w:ascii="Arial" w:hAnsi="Arial" w:cs="Arial"/>
                <w:sz w:val="22"/>
                <w:szCs w:val="22"/>
              </w:rPr>
              <w:t>,</w:t>
            </w:r>
            <w:r w:rsidRPr="00277E40">
              <w:rPr>
                <w:rFonts w:ascii="Arial" w:hAnsi="Arial" w:cs="Arial"/>
                <w:b/>
                <w:sz w:val="22"/>
                <w:szCs w:val="22"/>
              </w:rPr>
              <w:t xml:space="preserve"> </w:t>
            </w:r>
            <w:r w:rsidRPr="00277E40">
              <w:rPr>
                <w:rFonts w:ascii="Arial" w:hAnsi="Arial" w:cs="Arial"/>
                <w:sz w:val="22"/>
                <w:szCs w:val="22"/>
              </w:rPr>
              <w:t>priklausomai nuo jų suskirstymo pagal reikšmę (magistraliniai ar (ir) krašto, ar (ir) rajoniniai keliai) arba (ir)</w:t>
            </w:r>
            <w:r w:rsidRPr="00277E40">
              <w:rPr>
                <w:rFonts w:ascii="Arial" w:hAnsi="Arial" w:cs="Arial"/>
                <w:bCs/>
                <w:sz w:val="22"/>
                <w:szCs w:val="22"/>
              </w:rPr>
              <w:t xml:space="preserve"> </w:t>
            </w:r>
            <w:r w:rsidRPr="00277E40">
              <w:rPr>
                <w:rFonts w:ascii="Arial" w:hAnsi="Arial" w:cs="Arial"/>
                <w:sz w:val="22"/>
                <w:szCs w:val="22"/>
              </w:rPr>
              <w:t xml:space="preserve">miestų, miestelių gatvėse su indeksu atitinkamai A ar (ir) B, ar (ir) C (greito eismo ar (ir) pagrindinės, ar (ir) aptarnaujančios gatvės), ar (ir) jų sankryžose (užsienio lygiaverčiuose statiniuose), pateikti statinio savininko išduotas pažymas ar kitą </w:t>
            </w:r>
            <w:r w:rsidRPr="00277E40">
              <w:rPr>
                <w:rFonts w:ascii="Arial" w:hAnsi="Arial" w:cs="Arial"/>
                <w:sz w:val="22"/>
                <w:szCs w:val="22"/>
              </w:rPr>
              <w:lastRenderedPageBreak/>
              <w:t>dokumentą apie gatvių priskyrimą šioms kategorijoms.</w:t>
            </w:r>
          </w:p>
          <w:p w14:paraId="4A0B1492" w14:textId="77777777" w:rsidR="00856AE3" w:rsidRPr="00277E40" w:rsidRDefault="00856AE3" w:rsidP="00856AE3">
            <w:pPr>
              <w:rPr>
                <w:rFonts w:ascii="Arial" w:hAnsi="Arial" w:cs="Arial"/>
                <w:sz w:val="22"/>
                <w:szCs w:val="22"/>
              </w:rPr>
            </w:pPr>
          </w:p>
          <w:p w14:paraId="26210D91" w14:textId="77777777" w:rsidR="00856AE3" w:rsidRPr="00277E40" w:rsidRDefault="00856AE3" w:rsidP="00856AE3">
            <w:pPr>
              <w:rPr>
                <w:rFonts w:ascii="Arial" w:hAnsi="Arial" w:cs="Arial"/>
                <w:sz w:val="22"/>
                <w:szCs w:val="22"/>
              </w:rPr>
            </w:pPr>
            <w:r w:rsidRPr="00277E40">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277E40">
              <w:rPr>
                <w:rFonts w:ascii="Arial" w:hAnsi="Arial" w:cs="Arial"/>
                <w:sz w:val="22"/>
                <w:szCs w:val="22"/>
              </w:rPr>
              <w:t>.</w:t>
            </w:r>
          </w:p>
          <w:p w14:paraId="3D16398A" w14:textId="647A4740" w:rsidR="00856AE3" w:rsidRPr="00277E40" w:rsidRDefault="00856AE3" w:rsidP="00856AE3">
            <w:pPr>
              <w:rPr>
                <w:rFonts w:ascii="Arial" w:hAnsi="Arial" w:cs="Arial"/>
                <w:bCs/>
                <w:caps/>
                <w:sz w:val="22"/>
                <w:szCs w:val="22"/>
              </w:rPr>
            </w:pPr>
          </w:p>
        </w:tc>
      </w:tr>
      <w:tr w:rsidR="00856AE3" w:rsidRPr="00BB208D" w14:paraId="03EE89C1" w14:textId="77777777" w:rsidTr="008C6A0C">
        <w:trPr>
          <w:trHeight w:val="850"/>
        </w:trPr>
        <w:tc>
          <w:tcPr>
            <w:tcW w:w="517" w:type="dxa"/>
            <w:tcBorders>
              <w:bottom w:val="single" w:sz="4" w:space="0" w:color="auto"/>
            </w:tcBorders>
            <w:vAlign w:val="center"/>
          </w:tcPr>
          <w:p w14:paraId="5BEAEEFE" w14:textId="4BC48BFA" w:rsidR="00856AE3" w:rsidRPr="009F644E" w:rsidRDefault="00856AE3" w:rsidP="00856AE3">
            <w:pPr>
              <w:jc w:val="left"/>
              <w:rPr>
                <w:sz w:val="22"/>
                <w:szCs w:val="22"/>
              </w:rPr>
            </w:pPr>
            <w:r w:rsidRPr="009F644E">
              <w:rPr>
                <w:sz w:val="22"/>
                <w:szCs w:val="22"/>
              </w:rPr>
              <w:lastRenderedPageBreak/>
              <w:t>2</w:t>
            </w:r>
          </w:p>
        </w:tc>
        <w:tc>
          <w:tcPr>
            <w:tcW w:w="4396" w:type="dxa"/>
            <w:tcBorders>
              <w:bottom w:val="single" w:sz="4" w:space="0" w:color="auto"/>
            </w:tcBorders>
          </w:tcPr>
          <w:p w14:paraId="1809EC53" w14:textId="77777777" w:rsidR="00856AE3" w:rsidRPr="00277E40" w:rsidRDefault="00856AE3" w:rsidP="00856AE3">
            <w:pPr>
              <w:rPr>
                <w:rFonts w:ascii="Arial" w:hAnsi="Arial" w:cs="Arial"/>
                <w:strike/>
                <w:sz w:val="22"/>
                <w:szCs w:val="22"/>
              </w:rPr>
            </w:pPr>
            <w:r w:rsidRPr="00277E40">
              <w:rPr>
                <w:rFonts w:ascii="Arial" w:hAnsi="Arial" w:cs="Arial"/>
                <w:sz w:val="22"/>
                <w:szCs w:val="22"/>
              </w:rPr>
              <w:t>Pirkimo sutartį turi vykdyti kvalifikuoti specialistai:</w:t>
            </w:r>
          </w:p>
          <w:p w14:paraId="47790EFE" w14:textId="5F6C9A41" w:rsidR="0046613E" w:rsidRPr="00277E40" w:rsidRDefault="00856AE3" w:rsidP="0046613E">
            <w:pPr>
              <w:rPr>
                <w:rFonts w:ascii="Arial" w:hAnsi="Arial" w:cs="Arial"/>
                <w:bCs/>
                <w:sz w:val="22"/>
              </w:rPr>
            </w:pPr>
            <w:r w:rsidRPr="00277E40">
              <w:rPr>
                <w:rFonts w:ascii="Arial" w:hAnsi="Arial" w:cs="Arial"/>
                <w:b/>
                <w:sz w:val="22"/>
                <w:szCs w:val="22"/>
              </w:rPr>
              <w:t xml:space="preserve">– </w:t>
            </w:r>
            <w:r w:rsidR="0046613E" w:rsidRPr="00277E40">
              <w:rPr>
                <w:rFonts w:ascii="Arial" w:hAnsi="Arial" w:cs="Arial"/>
                <w:bCs/>
                <w:sz w:val="22"/>
                <w:szCs w:val="22"/>
              </w:rPr>
              <w:t>ne mažiau kaip 1 (vienas) specialistas, kuriam suteikta teisė eiti ypatingojo statinio projekto vadovo pareigas statiniai: susisiekimo komunikacijos (keliai), kiti transporto statiniai.</w:t>
            </w:r>
          </w:p>
          <w:p w14:paraId="4FBBDA15" w14:textId="0A40FE18" w:rsidR="00856AE3" w:rsidRPr="00277E40" w:rsidRDefault="00856AE3" w:rsidP="00856AE3">
            <w:pPr>
              <w:rPr>
                <w:rFonts w:ascii="Arial" w:hAnsi="Arial" w:cs="Arial"/>
                <w:i/>
                <w:iCs/>
                <w:color w:val="002060"/>
                <w:sz w:val="22"/>
                <w:szCs w:val="22"/>
              </w:rPr>
            </w:pPr>
          </w:p>
          <w:p w14:paraId="74AA3EBA" w14:textId="18C75BFA" w:rsidR="00856AE3" w:rsidRPr="00277E40" w:rsidRDefault="00856AE3" w:rsidP="00856AE3">
            <w:pPr>
              <w:spacing w:before="60"/>
              <w:rPr>
                <w:rFonts w:ascii="Arial" w:hAnsi="Arial" w:cs="Arial"/>
                <w:sz w:val="22"/>
                <w:szCs w:val="22"/>
              </w:rPr>
            </w:pPr>
            <w:r w:rsidRPr="00277E40">
              <w:rPr>
                <w:rFonts w:ascii="Arial" w:hAnsi="Arial" w:cs="Arial"/>
                <w:b/>
                <w:bCs/>
                <w:sz w:val="22"/>
                <w:szCs w:val="22"/>
              </w:rPr>
              <w:t xml:space="preserve">– </w:t>
            </w:r>
            <w:r w:rsidR="005E0472" w:rsidRPr="00277E40">
              <w:rPr>
                <w:rFonts w:ascii="Arial" w:hAnsi="Arial" w:cs="Arial"/>
                <w:sz w:val="22"/>
                <w:szCs w:val="22"/>
              </w:rPr>
              <w:t>ne mažiau kaip 1 (vienas) specialistas, kuriam suteikta teisė eiti ypatingojo statinio projekto vykdymo priežiūros vadovo pareigas statiniai: susisiekimo komunikacijos (keliai), kiti transporto statiniai.</w:t>
            </w:r>
          </w:p>
          <w:p w14:paraId="0FDFD3A7" w14:textId="77777777" w:rsidR="005E0472" w:rsidRPr="00277E40" w:rsidRDefault="005E0472" w:rsidP="00856AE3">
            <w:pPr>
              <w:spacing w:before="60"/>
              <w:rPr>
                <w:rFonts w:ascii="Arial" w:hAnsi="Arial" w:cs="Arial"/>
                <w:sz w:val="22"/>
                <w:szCs w:val="22"/>
              </w:rPr>
            </w:pPr>
          </w:p>
          <w:p w14:paraId="42356360" w14:textId="77777777" w:rsidR="00856AE3" w:rsidRPr="00277E40" w:rsidRDefault="00856AE3" w:rsidP="00856AE3">
            <w:pPr>
              <w:rPr>
                <w:rFonts w:ascii="Arial" w:hAnsi="Arial" w:cs="Arial"/>
                <w:color w:val="FF0000"/>
                <w:sz w:val="22"/>
                <w:szCs w:val="22"/>
                <w:highlight w:val="cyan"/>
              </w:rPr>
            </w:pPr>
          </w:p>
          <w:p w14:paraId="153232D1" w14:textId="77777777" w:rsidR="00856AE3" w:rsidRPr="00277E40" w:rsidRDefault="00856AE3" w:rsidP="00856AE3">
            <w:pPr>
              <w:rPr>
                <w:rFonts w:ascii="Arial" w:hAnsi="Arial" w:cs="Arial"/>
                <w:b/>
                <w:bCs/>
                <w:i/>
                <w:color w:val="000000"/>
                <w:sz w:val="22"/>
                <w:szCs w:val="22"/>
              </w:rPr>
            </w:pPr>
            <w:r w:rsidRPr="00277E40">
              <w:rPr>
                <w:rFonts w:ascii="Arial" w:hAnsi="Arial" w:cs="Arial"/>
                <w:b/>
                <w:bCs/>
                <w:i/>
                <w:color w:val="000000"/>
                <w:sz w:val="22"/>
                <w:szCs w:val="22"/>
              </w:rPr>
              <w:t>Pastabos:</w:t>
            </w:r>
          </w:p>
          <w:p w14:paraId="41D446B4" w14:textId="77777777" w:rsidR="00856AE3" w:rsidRPr="00277E40" w:rsidRDefault="00856AE3" w:rsidP="00856AE3">
            <w:pPr>
              <w:rPr>
                <w:rFonts w:ascii="Arial" w:hAnsi="Arial" w:cs="Arial"/>
                <w:i/>
                <w:iCs/>
                <w:color w:val="000000"/>
                <w:sz w:val="22"/>
                <w:szCs w:val="22"/>
              </w:rPr>
            </w:pPr>
            <w:r w:rsidRPr="00277E40">
              <w:rPr>
                <w:rFonts w:ascii="Arial" w:hAnsi="Arial" w:cs="Arial"/>
                <w:i/>
                <w:color w:val="000000"/>
                <w:sz w:val="22"/>
                <w:szCs w:val="22"/>
              </w:rPr>
              <w:t>1. Pirkimo dokumentų šiame punkte nurodytus reikalavimus gali tenkinti tas pats specialistas, jeigu jo kvalifikacija atitinka minėtuose punktuose nustatytus reikalavimus.</w:t>
            </w:r>
          </w:p>
          <w:p w14:paraId="07A94BE0" w14:textId="77777777" w:rsidR="00856AE3" w:rsidRPr="00277E40" w:rsidRDefault="00856AE3" w:rsidP="00856AE3">
            <w:pPr>
              <w:rPr>
                <w:rFonts w:ascii="Arial" w:hAnsi="Arial" w:cs="Arial"/>
                <w:i/>
                <w:sz w:val="22"/>
                <w:szCs w:val="22"/>
              </w:rPr>
            </w:pPr>
            <w:r w:rsidRPr="00277E40">
              <w:rPr>
                <w:rFonts w:ascii="Arial" w:hAnsi="Arial" w:cs="Arial"/>
                <w:i/>
                <w:color w:val="000000"/>
                <w:sz w:val="22"/>
                <w:szCs w:val="22"/>
              </w:rPr>
              <w:t>2. </w:t>
            </w:r>
            <w:r w:rsidRPr="00277E40">
              <w:rPr>
                <w:rFonts w:ascii="Arial" w:hAnsi="Arial" w:cs="Arial"/>
                <w:i/>
                <w:sz w:val="22"/>
                <w:szCs w:val="22"/>
              </w:rPr>
              <w:t xml:space="preserve">Jeigu tiekėjas negali pasiūlyti specialisto, atitinkančio šiame punkte nurodyto kvalifikacijos reikalavimo visa apimtimi, jis gali siūlyti kelis specialistus, kurie atitinka šį reikalavimą kartu. </w:t>
            </w:r>
          </w:p>
          <w:p w14:paraId="5EDF5B3E" w14:textId="77777777" w:rsidR="00856AE3" w:rsidRPr="00277E40" w:rsidRDefault="00856AE3" w:rsidP="00856AE3">
            <w:pPr>
              <w:jc w:val="left"/>
              <w:rPr>
                <w:rFonts w:ascii="Arial" w:hAnsi="Arial" w:cs="Arial"/>
                <w:bCs/>
                <w:caps/>
                <w:sz w:val="22"/>
                <w:szCs w:val="22"/>
              </w:rPr>
            </w:pPr>
          </w:p>
        </w:tc>
        <w:tc>
          <w:tcPr>
            <w:tcW w:w="4715" w:type="dxa"/>
            <w:tcBorders>
              <w:bottom w:val="single" w:sz="4" w:space="0" w:color="auto"/>
            </w:tcBorders>
          </w:tcPr>
          <w:p w14:paraId="04D073BF" w14:textId="77777777" w:rsidR="00856AE3" w:rsidRPr="00277E40" w:rsidRDefault="00856AE3" w:rsidP="00856AE3">
            <w:pPr>
              <w:rPr>
                <w:rFonts w:ascii="Arial" w:hAnsi="Arial" w:cs="Arial"/>
                <w:b/>
                <w:color w:val="000000"/>
                <w:sz w:val="22"/>
                <w:szCs w:val="22"/>
              </w:rPr>
            </w:pPr>
            <w:r w:rsidRPr="00277E40">
              <w:rPr>
                <w:rFonts w:ascii="Arial" w:hAnsi="Arial" w:cs="Arial"/>
                <w:color w:val="000000"/>
                <w:sz w:val="22"/>
                <w:szCs w:val="22"/>
              </w:rPr>
              <w:t xml:space="preserve">1. Siūlomų specialistų sąrašas </w:t>
            </w:r>
            <w:r w:rsidRPr="00277E40">
              <w:rPr>
                <w:rFonts w:ascii="Arial" w:hAnsi="Arial" w:cs="Arial"/>
                <w:b/>
                <w:color w:val="000000"/>
                <w:sz w:val="22"/>
                <w:szCs w:val="22"/>
              </w:rPr>
              <w:t>(</w:t>
            </w:r>
            <w:r w:rsidRPr="00277E40">
              <w:rPr>
                <w:rFonts w:ascii="Arial" w:hAnsi="Arial" w:cs="Arial"/>
                <w:color w:val="000000"/>
                <w:sz w:val="22"/>
                <w:szCs w:val="22"/>
              </w:rPr>
              <w:t>konkurso sąlygų</w:t>
            </w:r>
            <w:r w:rsidRPr="00277E40">
              <w:rPr>
                <w:rFonts w:ascii="Arial" w:hAnsi="Arial" w:cs="Arial"/>
                <w:b/>
                <w:color w:val="000000"/>
                <w:sz w:val="22"/>
                <w:szCs w:val="22"/>
              </w:rPr>
              <w:t xml:space="preserve"> </w:t>
            </w:r>
            <w:r w:rsidRPr="00277E40">
              <w:rPr>
                <w:rFonts w:ascii="Arial" w:hAnsi="Arial" w:cs="Arial"/>
                <w:color w:val="000000"/>
                <w:sz w:val="22"/>
                <w:szCs w:val="22"/>
                <w:highlight w:val="yellow"/>
              </w:rPr>
              <w:t>...... priedas</w:t>
            </w:r>
            <w:r w:rsidRPr="00277E40">
              <w:rPr>
                <w:rFonts w:ascii="Arial" w:hAnsi="Arial" w:cs="Arial"/>
                <w:color w:val="000000"/>
                <w:sz w:val="22"/>
                <w:szCs w:val="22"/>
              </w:rPr>
              <w:t>).</w:t>
            </w:r>
          </w:p>
          <w:p w14:paraId="4BF50FAC" w14:textId="78F244E0" w:rsidR="00856AE3" w:rsidRPr="00277E40" w:rsidRDefault="00856AE3" w:rsidP="00856AE3">
            <w:pPr>
              <w:tabs>
                <w:tab w:val="left" w:pos="315"/>
              </w:tabs>
              <w:rPr>
                <w:rFonts w:ascii="Arial" w:hAnsi="Arial" w:cs="Arial"/>
                <w:sz w:val="22"/>
                <w:szCs w:val="22"/>
              </w:rPr>
            </w:pPr>
            <w:r w:rsidRPr="00277E40">
              <w:rPr>
                <w:rFonts w:ascii="Arial" w:hAnsi="Arial" w:cs="Arial"/>
                <w:color w:val="000000"/>
                <w:sz w:val="22"/>
                <w:szCs w:val="22"/>
              </w:rPr>
              <w:t xml:space="preserve">2. </w:t>
            </w:r>
            <w:r w:rsidRPr="00277E40">
              <w:rPr>
                <w:rFonts w:ascii="Arial" w:hAnsi="Arial" w:cs="Arial"/>
                <w:sz w:val="22"/>
                <w:szCs w:val="22"/>
              </w:rPr>
              <w:t>Perkančioji organizacija, naudodamasi valstybės įmonės  Statybos produkcijos sertifikavimo centro (http://www.s</w:t>
            </w:r>
            <w:r w:rsidR="000E4A33">
              <w:rPr>
                <w:rFonts w:ascii="Arial" w:hAnsi="Arial" w:cs="Arial"/>
                <w:sz w:val="22"/>
                <w:szCs w:val="22"/>
              </w:rPr>
              <w:t>sva</w:t>
            </w:r>
            <w:r w:rsidRPr="00277E40">
              <w:rPr>
                <w:rFonts w:ascii="Arial" w:hAnsi="Arial" w:cs="Arial"/>
                <w:sz w:val="22"/>
                <w:szCs w:val="22"/>
              </w:rPr>
              <w:t>.lt) duomenų registrais, patikrins atitiktį nustatytam reikalavimui.</w:t>
            </w:r>
          </w:p>
          <w:p w14:paraId="50251B59" w14:textId="410C5763" w:rsidR="00856AE3" w:rsidRPr="00277E40" w:rsidRDefault="00856AE3" w:rsidP="00856AE3">
            <w:pPr>
              <w:rPr>
                <w:rFonts w:ascii="Arial" w:hAnsi="Arial" w:cs="Arial"/>
                <w:sz w:val="22"/>
                <w:szCs w:val="22"/>
              </w:rPr>
            </w:pPr>
            <w:r w:rsidRPr="00277E40">
              <w:rPr>
                <w:rFonts w:ascii="Arial"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4D8C343" w14:textId="77777777" w:rsidR="00856AE3" w:rsidRPr="00277E40" w:rsidRDefault="00856AE3" w:rsidP="00856AE3">
            <w:pPr>
              <w:jc w:val="left"/>
              <w:rPr>
                <w:rFonts w:ascii="Arial" w:hAnsi="Arial" w:cs="Arial"/>
                <w:sz w:val="22"/>
                <w:szCs w:val="22"/>
              </w:rPr>
            </w:pPr>
            <w:r w:rsidRPr="00277E40">
              <w:rPr>
                <w:rFonts w:ascii="Arial" w:hAnsi="Arial" w:cs="Arial"/>
                <w:sz w:val="22"/>
                <w:szCs w:val="22"/>
              </w:rPr>
              <w:t>Jei pasitelkiamas specialistas (kvazisubtiekėjas) nėra tiekėjo ar ūkio  subjekto,</w:t>
            </w:r>
            <w:r w:rsidRPr="00277E40">
              <w:rPr>
                <w:rFonts w:ascii="Arial" w:eastAsia="Calibri" w:hAnsi="Arial" w:cs="Arial"/>
                <w:sz w:val="22"/>
                <w:szCs w:val="22"/>
              </w:rPr>
              <w:t xml:space="preserve"> </w:t>
            </w:r>
            <w:r w:rsidRPr="00277E40">
              <w:rPr>
                <w:rFonts w:ascii="Arial" w:hAnsi="Arial" w:cs="Arial"/>
                <w:sz w:val="22"/>
                <w:szCs w:val="22"/>
              </w:rPr>
              <w:t>kurio pajėgumais tiekėjas remiasi, darbuotojas, tačiau jį ketinama įdarbinti, jei pasiūlymas bus pripažintas laimėjusiu, turi būti pateikti dokumentai, įrodantys, kad laimėjimo atveju jis bus įdarbintas.</w:t>
            </w:r>
          </w:p>
          <w:p w14:paraId="39BC329D" w14:textId="3AC7C957" w:rsidR="00856AE3" w:rsidRPr="00277E40" w:rsidRDefault="00856AE3" w:rsidP="00856AE3">
            <w:pPr>
              <w:rPr>
                <w:rFonts w:ascii="Arial" w:hAnsi="Arial" w:cs="Arial"/>
                <w:bCs/>
                <w:caps/>
                <w:sz w:val="22"/>
                <w:szCs w:val="22"/>
              </w:rPr>
            </w:pPr>
            <w:r w:rsidRPr="00277E40">
              <w:rPr>
                <w:rFonts w:ascii="Arial" w:hAnsi="Arial"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w:t>
            </w:r>
            <w:r w:rsidRPr="00277E40">
              <w:rPr>
                <w:rFonts w:ascii="Arial" w:hAnsi="Arial" w:cs="Arial"/>
                <w:sz w:val="22"/>
                <w:szCs w:val="22"/>
              </w:rPr>
              <w:lastRenderedPageBreak/>
              <w:t>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56AE3" w:rsidRPr="00BB208D" w14:paraId="426D5215" w14:textId="77777777" w:rsidTr="008C6A0C">
        <w:trPr>
          <w:trHeight w:val="850"/>
        </w:trPr>
        <w:tc>
          <w:tcPr>
            <w:tcW w:w="517" w:type="dxa"/>
            <w:tcBorders>
              <w:top w:val="single" w:sz="4" w:space="0" w:color="auto"/>
              <w:left w:val="nil"/>
              <w:bottom w:val="nil"/>
              <w:right w:val="nil"/>
            </w:tcBorders>
            <w:vAlign w:val="center"/>
          </w:tcPr>
          <w:p w14:paraId="54926796" w14:textId="77777777" w:rsidR="00856AE3" w:rsidRPr="009F644E" w:rsidRDefault="00856AE3" w:rsidP="00856AE3">
            <w:pPr>
              <w:jc w:val="left"/>
              <w:rPr>
                <w:sz w:val="22"/>
                <w:szCs w:val="22"/>
              </w:rPr>
            </w:pPr>
          </w:p>
        </w:tc>
        <w:tc>
          <w:tcPr>
            <w:tcW w:w="4396" w:type="dxa"/>
            <w:tcBorders>
              <w:top w:val="single" w:sz="4" w:space="0" w:color="auto"/>
              <w:left w:val="nil"/>
              <w:bottom w:val="nil"/>
              <w:right w:val="nil"/>
            </w:tcBorders>
          </w:tcPr>
          <w:p w14:paraId="0F9CC062" w14:textId="77777777" w:rsidR="00856AE3" w:rsidRPr="009E691E" w:rsidRDefault="00856AE3" w:rsidP="00856AE3">
            <w:pPr>
              <w:rPr>
                <w:sz w:val="22"/>
                <w:szCs w:val="22"/>
              </w:rPr>
            </w:pPr>
          </w:p>
        </w:tc>
        <w:tc>
          <w:tcPr>
            <w:tcW w:w="4715" w:type="dxa"/>
            <w:tcBorders>
              <w:top w:val="single" w:sz="4" w:space="0" w:color="auto"/>
              <w:left w:val="nil"/>
              <w:bottom w:val="nil"/>
              <w:right w:val="nil"/>
            </w:tcBorders>
          </w:tcPr>
          <w:p w14:paraId="0B8D2FBE" w14:textId="77777777" w:rsidR="00856AE3" w:rsidRPr="009E691E" w:rsidRDefault="00856AE3" w:rsidP="00856AE3">
            <w:pPr>
              <w:rPr>
                <w:sz w:val="22"/>
                <w:szCs w:val="22"/>
              </w:rPr>
            </w:pP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5707" w14:textId="77777777" w:rsidR="007253C6" w:rsidRDefault="007253C6" w:rsidP="00EC4D0B">
      <w:r>
        <w:separator/>
      </w:r>
    </w:p>
  </w:endnote>
  <w:endnote w:type="continuationSeparator" w:id="0">
    <w:p w14:paraId="5F9FD99E" w14:textId="77777777" w:rsidR="007253C6" w:rsidRDefault="007253C6"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8D2A" w14:textId="77777777" w:rsidR="007253C6" w:rsidRDefault="007253C6" w:rsidP="00EC4D0B">
      <w:r>
        <w:separator/>
      </w:r>
    </w:p>
  </w:footnote>
  <w:footnote w:type="continuationSeparator" w:id="0">
    <w:p w14:paraId="40280BA6" w14:textId="77777777" w:rsidR="007253C6" w:rsidRDefault="007253C6" w:rsidP="00EC4D0B">
      <w:r>
        <w:continuationSeparator/>
      </w:r>
    </w:p>
  </w:footnote>
  <w:footnote w:id="1">
    <w:p w14:paraId="11F18D14" w14:textId="77777777" w:rsidR="00856AE3" w:rsidRPr="00217CFF" w:rsidRDefault="00856AE3" w:rsidP="0023282D">
      <w:pPr>
        <w:ind w:right="-1"/>
        <w:rPr>
          <w:spacing w:val="-4"/>
        </w:rPr>
      </w:pPr>
      <w:r w:rsidRPr="00217CFF">
        <w:rPr>
          <w:rStyle w:val="FootnoteReference"/>
        </w:rPr>
        <w:footnoteRef/>
      </w:r>
      <w:r w:rsidRPr="00217CFF">
        <w:t xml:space="preserve"> </w:t>
      </w:r>
      <w:r w:rsidRPr="00217CFF">
        <w:rPr>
          <w:spacing w:val="-4"/>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57"/>
      <w:gridCol w:w="5318"/>
      <w:gridCol w:w="1553"/>
    </w:tblGrid>
    <w:tr w:rsidR="00F20C9B" w14:paraId="6C6DAD52" w14:textId="77777777" w:rsidTr="007D0D21">
      <w:tc>
        <w:tcPr>
          <w:tcW w:w="2757" w:type="dxa"/>
          <w:vMerge w:val="restart"/>
          <w:vAlign w:val="center"/>
        </w:tcPr>
        <w:p w14:paraId="12CEC5CA" w14:textId="2737253E" w:rsidR="00F20C9B" w:rsidRDefault="00493D91" w:rsidP="005F5463">
          <w:pPr>
            <w:pStyle w:val="Header"/>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318" w:type="dxa"/>
          <w:vMerge w:val="restart"/>
          <w:vAlign w:val="center"/>
        </w:tcPr>
        <w:p w14:paraId="21868285" w14:textId="002D2AEE" w:rsidR="00F20C9B" w:rsidRPr="00EE4D34" w:rsidRDefault="006D6B07" w:rsidP="00066341">
          <w:pPr>
            <w:pStyle w:val="Header"/>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553" w:type="dxa"/>
          <w:vAlign w:val="center"/>
        </w:tcPr>
        <w:p w14:paraId="4049DB45" w14:textId="3CEF0064" w:rsidR="00F20C9B" w:rsidRPr="00FD42B8" w:rsidRDefault="007D0D21" w:rsidP="005F5463">
          <w:pPr>
            <w:pStyle w:val="Header"/>
            <w:rPr>
              <w:rFonts w:cs="Calibri"/>
              <w:color w:val="000000"/>
              <w:szCs w:val="20"/>
            </w:rPr>
          </w:pPr>
          <w:r>
            <w:rPr>
              <w:rFonts w:cs="Calibri"/>
              <w:color w:val="000000"/>
              <w:szCs w:val="20"/>
            </w:rPr>
            <w:t>SPS-PLP1.02.01</w:t>
          </w:r>
        </w:p>
      </w:tc>
    </w:tr>
    <w:tr w:rsidR="00F20C9B" w14:paraId="6FE0835F" w14:textId="77777777" w:rsidTr="007D0D21">
      <w:tc>
        <w:tcPr>
          <w:tcW w:w="2757" w:type="dxa"/>
          <w:vMerge/>
        </w:tcPr>
        <w:p w14:paraId="469F1907" w14:textId="77777777" w:rsidR="00F20C9B" w:rsidRDefault="00F20C9B" w:rsidP="005F5463">
          <w:pPr>
            <w:pStyle w:val="Header"/>
          </w:pPr>
        </w:p>
      </w:tc>
      <w:tc>
        <w:tcPr>
          <w:tcW w:w="5318" w:type="dxa"/>
          <w:vMerge/>
        </w:tcPr>
        <w:p w14:paraId="608FED4B" w14:textId="77777777" w:rsidR="00F20C9B" w:rsidRDefault="00F20C9B" w:rsidP="005F5463">
          <w:pPr>
            <w:pStyle w:val="Header"/>
          </w:pPr>
        </w:p>
      </w:tc>
      <w:tc>
        <w:tcPr>
          <w:tcW w:w="1553"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7D0D21">
      <w:tc>
        <w:tcPr>
          <w:tcW w:w="2757" w:type="dxa"/>
          <w:vMerge/>
        </w:tcPr>
        <w:p w14:paraId="131CCE66" w14:textId="77777777" w:rsidR="00F20C9B" w:rsidRDefault="00F20C9B" w:rsidP="005F5463">
          <w:pPr>
            <w:pStyle w:val="Header"/>
          </w:pPr>
        </w:p>
      </w:tc>
      <w:tc>
        <w:tcPr>
          <w:tcW w:w="5318" w:type="dxa"/>
          <w:vMerge/>
        </w:tcPr>
        <w:p w14:paraId="5326CE55" w14:textId="77777777" w:rsidR="00F20C9B" w:rsidRDefault="00F20C9B" w:rsidP="005F5463">
          <w:pPr>
            <w:pStyle w:val="Header"/>
          </w:pPr>
        </w:p>
      </w:tc>
      <w:tc>
        <w:tcPr>
          <w:tcW w:w="1553" w:type="dxa"/>
          <w:vAlign w:val="center"/>
        </w:tcPr>
        <w:p w14:paraId="12C68453" w14:textId="478B146F" w:rsidR="00F20C9B" w:rsidRDefault="00B841A7" w:rsidP="005F5463">
          <w:pPr>
            <w:pStyle w:val="Header"/>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4756"/>
    <w:rsid w:val="00010285"/>
    <w:rsid w:val="00011E8B"/>
    <w:rsid w:val="00015278"/>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C106D"/>
    <w:rsid w:val="000C24B2"/>
    <w:rsid w:val="000D5588"/>
    <w:rsid w:val="000D5D8D"/>
    <w:rsid w:val="000E4A33"/>
    <w:rsid w:val="000E5B1C"/>
    <w:rsid w:val="000E6571"/>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66B7"/>
    <w:rsid w:val="0026400F"/>
    <w:rsid w:val="00265EC4"/>
    <w:rsid w:val="002722F2"/>
    <w:rsid w:val="00273AB4"/>
    <w:rsid w:val="00277E40"/>
    <w:rsid w:val="002836FE"/>
    <w:rsid w:val="00291AAC"/>
    <w:rsid w:val="00293A51"/>
    <w:rsid w:val="002A0C50"/>
    <w:rsid w:val="002A4C15"/>
    <w:rsid w:val="002A5049"/>
    <w:rsid w:val="002A60BD"/>
    <w:rsid w:val="002A676B"/>
    <w:rsid w:val="002C1672"/>
    <w:rsid w:val="002C6C8D"/>
    <w:rsid w:val="002C72B9"/>
    <w:rsid w:val="002D04DD"/>
    <w:rsid w:val="002D2E11"/>
    <w:rsid w:val="002D4BBD"/>
    <w:rsid w:val="002D4C57"/>
    <w:rsid w:val="002E0940"/>
    <w:rsid w:val="002E4504"/>
    <w:rsid w:val="002F04F9"/>
    <w:rsid w:val="002F4D7E"/>
    <w:rsid w:val="002F65FC"/>
    <w:rsid w:val="00314A75"/>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13E"/>
    <w:rsid w:val="0046686C"/>
    <w:rsid w:val="004742EC"/>
    <w:rsid w:val="004761B0"/>
    <w:rsid w:val="00480C7E"/>
    <w:rsid w:val="004877C3"/>
    <w:rsid w:val="00493146"/>
    <w:rsid w:val="00493D91"/>
    <w:rsid w:val="004A262F"/>
    <w:rsid w:val="004B6E9C"/>
    <w:rsid w:val="004C06A1"/>
    <w:rsid w:val="004D0D4F"/>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67793"/>
    <w:rsid w:val="00570CC3"/>
    <w:rsid w:val="0057565E"/>
    <w:rsid w:val="00584B80"/>
    <w:rsid w:val="005A0F32"/>
    <w:rsid w:val="005A23E4"/>
    <w:rsid w:val="005A7973"/>
    <w:rsid w:val="005A7BFF"/>
    <w:rsid w:val="005C6C58"/>
    <w:rsid w:val="005D4E25"/>
    <w:rsid w:val="005D631A"/>
    <w:rsid w:val="005D6F1F"/>
    <w:rsid w:val="005E0472"/>
    <w:rsid w:val="005E59A1"/>
    <w:rsid w:val="005E61E7"/>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253C6"/>
    <w:rsid w:val="00725464"/>
    <w:rsid w:val="0072566E"/>
    <w:rsid w:val="00726151"/>
    <w:rsid w:val="0074430D"/>
    <w:rsid w:val="00756EB2"/>
    <w:rsid w:val="00765DA1"/>
    <w:rsid w:val="00766F6B"/>
    <w:rsid w:val="00770625"/>
    <w:rsid w:val="00790DCB"/>
    <w:rsid w:val="0079418E"/>
    <w:rsid w:val="007A0188"/>
    <w:rsid w:val="007A217F"/>
    <w:rsid w:val="007A42CF"/>
    <w:rsid w:val="007A5584"/>
    <w:rsid w:val="007B2E59"/>
    <w:rsid w:val="007B5EB3"/>
    <w:rsid w:val="007B629F"/>
    <w:rsid w:val="007B66F6"/>
    <w:rsid w:val="007C0027"/>
    <w:rsid w:val="007C0995"/>
    <w:rsid w:val="007C24AA"/>
    <w:rsid w:val="007C635E"/>
    <w:rsid w:val="007D0B89"/>
    <w:rsid w:val="007D0D21"/>
    <w:rsid w:val="007D1098"/>
    <w:rsid w:val="007E2C18"/>
    <w:rsid w:val="007F57F1"/>
    <w:rsid w:val="007F5DE2"/>
    <w:rsid w:val="007F6185"/>
    <w:rsid w:val="008002F6"/>
    <w:rsid w:val="008035E8"/>
    <w:rsid w:val="00806038"/>
    <w:rsid w:val="00807326"/>
    <w:rsid w:val="00814AD6"/>
    <w:rsid w:val="00825735"/>
    <w:rsid w:val="00835728"/>
    <w:rsid w:val="00835BA1"/>
    <w:rsid w:val="00835EE5"/>
    <w:rsid w:val="008423FD"/>
    <w:rsid w:val="0084382C"/>
    <w:rsid w:val="008504B4"/>
    <w:rsid w:val="00856801"/>
    <w:rsid w:val="00856AE3"/>
    <w:rsid w:val="008633F0"/>
    <w:rsid w:val="00867969"/>
    <w:rsid w:val="0087086E"/>
    <w:rsid w:val="0087202B"/>
    <w:rsid w:val="00876CE1"/>
    <w:rsid w:val="00893659"/>
    <w:rsid w:val="00893D82"/>
    <w:rsid w:val="008A1EC5"/>
    <w:rsid w:val="008A30EA"/>
    <w:rsid w:val="008A3157"/>
    <w:rsid w:val="008C3DF6"/>
    <w:rsid w:val="008C653D"/>
    <w:rsid w:val="008C6A0C"/>
    <w:rsid w:val="008E397B"/>
    <w:rsid w:val="008E4130"/>
    <w:rsid w:val="008E4684"/>
    <w:rsid w:val="008F5908"/>
    <w:rsid w:val="00904A80"/>
    <w:rsid w:val="0090587F"/>
    <w:rsid w:val="00907361"/>
    <w:rsid w:val="00913E02"/>
    <w:rsid w:val="00940E82"/>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01B2"/>
    <w:rsid w:val="009E14DD"/>
    <w:rsid w:val="009E2A62"/>
    <w:rsid w:val="009E629E"/>
    <w:rsid w:val="009E691E"/>
    <w:rsid w:val="009F49C3"/>
    <w:rsid w:val="009F644E"/>
    <w:rsid w:val="00A03585"/>
    <w:rsid w:val="00A0361A"/>
    <w:rsid w:val="00A149A5"/>
    <w:rsid w:val="00A21236"/>
    <w:rsid w:val="00A40BEA"/>
    <w:rsid w:val="00A455CA"/>
    <w:rsid w:val="00A548DD"/>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494"/>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2E6C"/>
    <w:rsid w:val="00D94BDE"/>
    <w:rsid w:val="00DA2ADC"/>
    <w:rsid w:val="00DB4FE8"/>
    <w:rsid w:val="00DB76F4"/>
    <w:rsid w:val="00DC2BDE"/>
    <w:rsid w:val="00DC336E"/>
    <w:rsid w:val="00DD2F72"/>
    <w:rsid w:val="00DD550A"/>
    <w:rsid w:val="00DE208B"/>
    <w:rsid w:val="00DF1D10"/>
    <w:rsid w:val="00DF2646"/>
    <w:rsid w:val="00E10F3B"/>
    <w:rsid w:val="00E1187A"/>
    <w:rsid w:val="00E12DAC"/>
    <w:rsid w:val="00E161E6"/>
    <w:rsid w:val="00E16A65"/>
    <w:rsid w:val="00E202D3"/>
    <w:rsid w:val="00E203E4"/>
    <w:rsid w:val="00E215F0"/>
    <w:rsid w:val="00E23386"/>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B763F"/>
    <w:rsid w:val="00EC4D0B"/>
    <w:rsid w:val="00EC4E2D"/>
    <w:rsid w:val="00ED16CB"/>
    <w:rsid w:val="00EE4D34"/>
    <w:rsid w:val="00EF0BC8"/>
    <w:rsid w:val="00EF0FF7"/>
    <w:rsid w:val="00EF14B7"/>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77910"/>
    <w:rsid w:val="00F85DC7"/>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Revision">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DefaultParagraphFont"/>
    <w:rsid w:val="003D21A3"/>
  </w:style>
  <w:style w:type="character" w:customStyle="1" w:styleId="ms-button-flexcontainer">
    <w:name w:val="ms-button-flexcontainer"/>
    <w:basedOn w:val="DefaultParagraphFont"/>
    <w:rsid w:val="003D21A3"/>
  </w:style>
  <w:style w:type="character" w:styleId="FootnoteReference">
    <w:name w:val="footnote reference"/>
    <w:basedOn w:val="DefaultParagraphFont"/>
    <w:uiPriority w:val="99"/>
    <w:unhideWhenUsed/>
    <w:rsid w:val="00907361"/>
    <w:rPr>
      <w:rFonts w:ascii="Times New Roman" w:hAnsi="Times New Roman" w:cs="Times New Roman" w:hint="default"/>
      <w:vertAlign w:val="superscript"/>
    </w:rPr>
  </w:style>
  <w:style w:type="character" w:customStyle="1" w:styleId="normaltextrun">
    <w:name w:val="normaltextrun"/>
    <w:basedOn w:val="DefaultParagraphFont"/>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4.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4726</Words>
  <Characters>2695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39</cp:revision>
  <dcterms:created xsi:type="dcterms:W3CDTF">2024-10-31T10:55:00Z</dcterms:created>
  <dcterms:modified xsi:type="dcterms:W3CDTF">2026-01-05T09:16:00Z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