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ind w:hanging="360" w:left="360"/>
        <w:jc w:val="right"/>
        <w:rPr>
          <w:rFonts w:ascii="Times New Roman" w:hAnsi="Times New Roman" w:eastAsia="Times New Roman" w:cs="Times New Roman"/>
          <w:color w:themeColor="text1" w:val="000000"/>
          <w:lang w:val="lt-LT"/>
        </w:rPr>
      </w:pPr>
      <w:r>
        <w:rPr>
          <w:rStyle w:val="Eop"/>
          <w:rFonts w:eastAsia="Times New Roman" w:cs="Times New Roman" w:ascii="Times New Roman" w:hAnsi="Times New Roman"/>
          <w:color w:themeColor="text1" w:val="000000"/>
          <w:lang w:val="lt-LT"/>
        </w:rPr>
        <w:t> </w:t>
      </w:r>
    </w:p>
    <w:p>
      <w:pPr>
        <w:pStyle w:val="Normal"/>
        <w:spacing w:lineRule="auto" w:line="360" w:before="0" w:after="0"/>
        <w:ind w:hanging="360" w:left="360"/>
        <w:jc w:val="center"/>
        <w:rPr>
          <w:rFonts w:ascii="Times New Roman" w:hAnsi="Times New Roman" w:eastAsia="Times New Roman" w:cs="Times New Roman"/>
          <w:color w:themeColor="text1" w:val="000000"/>
          <w:lang w:val="lt-LT"/>
        </w:rPr>
      </w:pPr>
      <w:r>
        <w:rPr>
          <w:rStyle w:val="Normaltextrun"/>
          <w:rFonts w:eastAsia="Times New Roman" w:cs="Times New Roman" w:ascii="Times New Roman" w:hAnsi="Times New Roman"/>
          <w:b/>
          <w:bCs/>
          <w:color w:themeColor="text1" w:val="000000"/>
          <w:lang w:val="lt-LT"/>
        </w:rPr>
        <w:t>TECHNINĖ SPECIFIKACIJA</w:t>
      </w:r>
      <w:r>
        <w:rPr>
          <w:rStyle w:val="Eop"/>
          <w:rFonts w:eastAsia="Times New Roman" w:cs="Times New Roman" w:ascii="Times New Roman" w:hAnsi="Times New Roman"/>
          <w:color w:themeColor="text1" w:val="000000"/>
          <w:lang w:val="lt-LT"/>
        </w:rPr>
        <w:t> </w:t>
      </w:r>
    </w:p>
    <w:p>
      <w:pPr>
        <w:pStyle w:val="Normal"/>
        <w:spacing w:lineRule="auto" w:line="360" w:before="0" w:after="0"/>
        <w:ind w:hanging="360" w:left="360"/>
        <w:jc w:val="center"/>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r>
    </w:p>
    <w:p>
      <w:pPr>
        <w:pStyle w:val="Normal"/>
        <w:spacing w:lineRule="auto" w:line="360" w:before="0" w:after="0"/>
        <w:ind w:hanging="360" w:left="360"/>
        <w:jc w:val="center"/>
        <w:rPr>
          <w:rFonts w:ascii="Times New Roman" w:hAnsi="Times New Roman" w:eastAsia="Times New Roman" w:cs="Times New Roman"/>
          <w:color w:themeColor="text1" w:val="000000"/>
          <w:lang w:val="lt-LT"/>
        </w:rPr>
      </w:pPr>
      <w:r>
        <w:rPr>
          <w:rStyle w:val="Normaltextrun"/>
          <w:rFonts w:eastAsia="Times New Roman" w:cs="Times New Roman" w:ascii="Times New Roman" w:hAnsi="Times New Roman"/>
          <w:b/>
          <w:bCs/>
          <w:color w:themeColor="text1" w:val="000000"/>
          <w:lang w:val="lt-LT"/>
        </w:rPr>
        <w:t>TUESI.LT VIEŠINIMAS: ŽENKLO ATRIBUTIKOS GAMYBA IR SKLAIDA</w:t>
      </w:r>
    </w:p>
    <w:p>
      <w:pPr>
        <w:pStyle w:val="Normal"/>
        <w:spacing w:lineRule="auto" w:line="360" w:before="0" w:after="0"/>
        <w:ind w:hanging="360" w:left="360"/>
        <w:jc w:val="center"/>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r>
    </w:p>
    <w:p>
      <w:pPr>
        <w:pStyle w:val="Normal"/>
        <w:spacing w:lineRule="auto" w:line="360" w:before="0" w:after="0"/>
        <w:ind w:hanging="360" w:left="360"/>
        <w:jc w:val="center"/>
        <w:rPr>
          <w:rFonts w:ascii="Times New Roman" w:hAnsi="Times New Roman" w:eastAsia="Times New Roman" w:cs="Times New Roman"/>
          <w:color w:themeColor="text1" w:val="000000"/>
          <w:lang w:val="lt-LT"/>
        </w:rPr>
      </w:pPr>
      <w:r>
        <w:rPr>
          <w:rStyle w:val="Normaltextrun"/>
          <w:rFonts w:eastAsia="Times New Roman" w:cs="Times New Roman" w:ascii="Times New Roman" w:hAnsi="Times New Roman"/>
          <w:b/>
          <w:bCs/>
          <w:color w:themeColor="text1" w:val="000000"/>
          <w:lang w:val="lt-LT"/>
        </w:rPr>
        <w:t>I SKYRIUS</w:t>
      </w:r>
    </w:p>
    <w:p>
      <w:pPr>
        <w:pStyle w:val="Normal"/>
        <w:spacing w:lineRule="auto" w:line="360" w:before="0" w:after="0"/>
        <w:ind w:hanging="360" w:left="360"/>
        <w:jc w:val="center"/>
        <w:rPr>
          <w:rFonts w:ascii="Times New Roman" w:hAnsi="Times New Roman" w:eastAsia="Times New Roman" w:cs="Times New Roman"/>
          <w:color w:themeColor="text1" w:val="000000"/>
          <w:lang w:val="lt-LT"/>
        </w:rPr>
      </w:pPr>
      <w:r>
        <w:rPr>
          <w:rStyle w:val="Normaltextrun"/>
          <w:rFonts w:eastAsia="Times New Roman" w:cs="Times New Roman" w:ascii="Times New Roman" w:hAnsi="Times New Roman"/>
          <w:b/>
          <w:bCs/>
          <w:color w:themeColor="text1" w:val="000000"/>
          <w:lang w:val="lt-LT"/>
        </w:rPr>
        <w:t>BENDROSIOS NUOSTATOS</w:t>
      </w:r>
    </w:p>
    <w:p>
      <w:pPr>
        <w:pStyle w:val="Normal"/>
        <w:spacing w:lineRule="auto" w:line="360" w:before="0" w:after="0"/>
        <w:ind w:hanging="360" w:left="360"/>
        <w:jc w:val="both"/>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r>
    </w:p>
    <w:p>
      <w:pPr>
        <w:pStyle w:val="ListParagraph"/>
        <w:numPr>
          <w:ilvl w:val="0"/>
          <w:numId w:val="1"/>
        </w:numPr>
        <w:spacing w:lineRule="auto" w:line="360" w:before="0" w:after="0"/>
        <w:ind w:hanging="360" w:left="360"/>
        <w:contextualSpacing/>
        <w:jc w:val="both"/>
        <w:rPr>
          <w:rStyle w:val="Normaltextrun"/>
          <w:rFonts w:ascii="Times New Roman" w:hAnsi="Times New Roman" w:eastAsia="Times New Roman" w:cs="Times New Roman"/>
          <w:color w:themeColor="text1" w:val="000000"/>
          <w:lang w:val="lt-LT"/>
        </w:rPr>
      </w:pPr>
      <w:r>
        <w:rPr>
          <w:rStyle w:val="Normaltextrun"/>
          <w:rFonts w:eastAsia="Times New Roman" w:cs="Times New Roman" w:ascii="Times New Roman" w:hAnsi="Times New Roman"/>
          <w:color w:themeColor="text1" w:val="000000"/>
          <w:lang w:val="lt-LT"/>
        </w:rPr>
        <w:t>Perkančioji organizacija – Biudžetinė įstaiga Higienos institutas, kodas 111958286, Studentų g. 45A, 08107 Vilnius (toliau – PO). </w:t>
      </w:r>
    </w:p>
    <w:p>
      <w:pPr>
        <w:pStyle w:val="ListParagraph"/>
        <w:numPr>
          <w:ilvl w:val="0"/>
          <w:numId w:val="1"/>
        </w:numPr>
        <w:spacing w:lineRule="auto" w:line="360" w:before="0" w:after="0"/>
        <w:ind w:hanging="360" w:left="360"/>
        <w:contextualSpacing/>
        <w:jc w:val="both"/>
        <w:rPr>
          <w:rStyle w:val="Normaltextrun"/>
          <w:rFonts w:ascii="Times New Roman" w:hAnsi="Times New Roman" w:eastAsia="Times New Roman" w:cs="Times New Roman"/>
          <w:color w:themeColor="text1" w:val="000000"/>
          <w:lang w:val="lt-LT"/>
        </w:rPr>
      </w:pPr>
      <w:r>
        <w:rPr>
          <w:rStyle w:val="Normaltextrun"/>
          <w:rFonts w:eastAsia="Times New Roman" w:cs="Times New Roman" w:ascii="Times New Roman" w:hAnsi="Times New Roman"/>
          <w:color w:themeColor="text1" w:val="000000"/>
          <w:lang w:val="lt-LT"/>
        </w:rPr>
        <w:t>Pirkimas skirtas įgyvendinti projekto 09-025-P-0001 „Psichikos sveikatos stiprinimas, stigmatizavimo mažinimas, savižudybių prevencija Vidurio, vakarų Lietuvos ir Sostinės regione“ veiklas.</w:t>
      </w:r>
    </w:p>
    <w:p>
      <w:pPr>
        <w:pStyle w:val="ListParagraph"/>
        <w:numPr>
          <w:ilvl w:val="0"/>
          <w:numId w:val="1"/>
        </w:numPr>
        <w:spacing w:lineRule="auto" w:line="360" w:before="0" w:after="0"/>
        <w:ind w:hanging="360" w:left="360"/>
        <w:contextualSpacing/>
        <w:jc w:val="both"/>
        <w:rPr>
          <w:rStyle w:val="Normaltextrun"/>
          <w:rFonts w:ascii="Times New Roman" w:hAnsi="Times New Roman" w:eastAsia="Times New Roman" w:cs="Times New Roman"/>
          <w:color w:themeColor="text1" w:val="000000"/>
          <w:lang w:val="lt-LT"/>
        </w:rPr>
      </w:pPr>
      <w:r>
        <w:rPr>
          <w:rStyle w:val="Normaltextrun"/>
          <w:rFonts w:eastAsia="Times New Roman" w:cs="Times New Roman" w:ascii="Times New Roman" w:hAnsi="Times New Roman"/>
          <w:color w:themeColor="text1" w:val="000000"/>
          <w:lang w:val="lt-LT"/>
        </w:rPr>
        <w:t xml:space="preserve">Pirkimo objektas – savižudybių prevencijos komunikacijos prekės ženklo „Tu esi“ atributikos įsigijimas.   </w:t>
      </w:r>
    </w:p>
    <w:p>
      <w:pPr>
        <w:pStyle w:val="ListParagraph"/>
        <w:numPr>
          <w:ilvl w:val="0"/>
          <w:numId w:val="1"/>
        </w:numPr>
        <w:spacing w:lineRule="auto" w:line="360" w:before="0" w:after="0"/>
        <w:ind w:hanging="360" w:left="36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Tiekėjas ir PO įsipareigoja skirti po kontaktinį asmenį, su kuriuo būtų derinami su pirkimu susiję klausimai. Susirašinėjimas sutarties vykdymo klausimais vykdomas elektroniniu paštu.  </w:t>
      </w:r>
    </w:p>
    <w:p>
      <w:pPr>
        <w:pStyle w:val="ListParagraph"/>
        <w:numPr>
          <w:ilvl w:val="0"/>
          <w:numId w:val="1"/>
        </w:numPr>
        <w:spacing w:lineRule="auto" w:line="360" w:before="0" w:after="0"/>
        <w:ind w:hanging="360" w:left="36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Sutarties galiojimo trukmė – 12 mėnesių nuo sutarties įsigaliojimo dienos.</w:t>
      </w:r>
    </w:p>
    <w:p>
      <w:pPr>
        <w:pStyle w:val="ListParagraph"/>
        <w:spacing w:lineRule="auto" w:line="360" w:before="0" w:after="0"/>
        <w:ind w:hanging="360" w:left="36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Normal"/>
        <w:spacing w:lineRule="auto" w:line="360" w:before="0" w:after="0"/>
        <w:ind w:hanging="360" w:left="360"/>
        <w:jc w:val="center"/>
        <w:rPr>
          <w:rFonts w:ascii="Times New Roman" w:hAnsi="Times New Roman" w:eastAsia="Times New Roman" w:cs="Times New Roman"/>
          <w:color w:themeColor="text1" w:val="000000"/>
          <w:lang w:val="lt-LT"/>
        </w:rPr>
      </w:pPr>
      <w:r>
        <w:rPr>
          <w:rStyle w:val="Normaltextrun"/>
          <w:rFonts w:eastAsia="Times New Roman" w:cs="Times New Roman" w:ascii="Times New Roman" w:hAnsi="Times New Roman"/>
          <w:b/>
          <w:bCs/>
          <w:color w:themeColor="text1" w:val="000000"/>
          <w:lang w:val="lt-LT"/>
        </w:rPr>
        <w:t>II SKYRIUS</w:t>
      </w:r>
      <w:r>
        <w:rPr>
          <w:rStyle w:val="Eop"/>
          <w:rFonts w:eastAsia="Times New Roman" w:cs="Times New Roman" w:ascii="Times New Roman" w:hAnsi="Times New Roman"/>
          <w:color w:themeColor="text1" w:val="000000"/>
          <w:lang w:val="lt-LT"/>
        </w:rPr>
        <w:t> </w:t>
      </w:r>
    </w:p>
    <w:p>
      <w:pPr>
        <w:pStyle w:val="Normal"/>
        <w:spacing w:lineRule="auto" w:line="360" w:before="0" w:after="0"/>
        <w:ind w:hanging="360" w:left="360"/>
        <w:jc w:val="center"/>
        <w:rPr>
          <w:rStyle w:val="Normaltextrun"/>
          <w:rFonts w:ascii="Times New Roman" w:hAnsi="Times New Roman" w:eastAsia="Times New Roman" w:cs="Times New Roman"/>
          <w:b/>
          <w:bCs/>
          <w:color w:themeColor="text1" w:val="000000"/>
          <w:lang w:val="lt-LT"/>
        </w:rPr>
      </w:pPr>
      <w:r>
        <w:rPr>
          <w:rStyle w:val="Normaltextrun"/>
          <w:rFonts w:eastAsia="Times New Roman" w:cs="Times New Roman" w:ascii="Times New Roman" w:hAnsi="Times New Roman"/>
          <w:b/>
          <w:bCs/>
          <w:color w:themeColor="text1" w:val="000000"/>
          <w:lang w:val="lt-LT"/>
        </w:rPr>
        <w:t>REIKALAVIMAI ATRIBUTIKAI</w:t>
      </w:r>
    </w:p>
    <w:p>
      <w:pPr>
        <w:pStyle w:val="Normal"/>
        <w:spacing w:lineRule="auto" w:line="360" w:before="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Prekės gaminamos pagal PO poreikį, nurodomą PO atskirame (-uose) užsakyme (-uose) pateikiamame (-uose) el. paštu ar kitomis Šalims priimtinomis komunikacijos priemonėmis.</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rPr>
      </w:pPr>
      <w:r>
        <w:rPr>
          <w:rFonts w:eastAsia="Times New Roman" w:cs="Times New Roman" w:ascii="Times New Roman" w:hAnsi="Times New Roman"/>
          <w:color w:themeColor="text1" w:val="000000"/>
          <w:lang w:val="lt-LT"/>
        </w:rPr>
        <w:t xml:space="preserve">Visa užsakoma atributika turi remtis prekės ženklo „Tu esi“ stiliaus knyga: </w:t>
      </w:r>
      <w:hyperlink r:id="rId2">
        <w:r>
          <w:rPr>
            <w:rStyle w:val="Hyperlink"/>
            <w:rFonts w:eastAsia="Times New Roman" w:cs="Times New Roman" w:ascii="Times New Roman" w:hAnsi="Times New Roman"/>
            <w:lang w:val="lt-LT"/>
          </w:rPr>
          <w:t>http://bit.ly/3Gu2C7m</w:t>
        </w:r>
      </w:hyperlink>
      <w:r>
        <w:rPr>
          <w:rFonts w:eastAsia="Times New Roman" w:cs="Times New Roman" w:ascii="Times New Roman" w:hAnsi="Times New Roman"/>
          <w:color w:themeColor="text1" w:val="000000"/>
          <w:lang w:val="lt-LT"/>
        </w:rPr>
        <w:t xml:space="preserve"> ir vadovautis stiliaus knygoje pateiktais nurodymais. </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rPr>
      </w:pPr>
      <w:r>
        <w:rPr>
          <w:rFonts w:eastAsia="Times New Roman" w:cs="Times New Roman" w:ascii="Times New Roman" w:hAnsi="Times New Roman"/>
          <w:color w:themeColor="text1" w:val="000000"/>
          <w:lang w:val="lt-LT"/>
        </w:rPr>
        <w:t xml:space="preserve">Ant visų gaminių turi būti prekės ženklo „Tu esi“ logotipo spauda. </w:t>
      </w:r>
      <w:r>
        <w:rPr>
          <w:rFonts w:eastAsia="Times New Roman" w:cs="Times New Roman" w:ascii="Times New Roman" w:hAnsi="Times New Roman"/>
          <w:color w:themeColor="text1" w:val="000000"/>
        </w:rPr>
        <w:t>Turi būti užtikrintas viešinimo ženklų ilgaamžiškumas, t.y., atsparumas vandens bei trinties poveikiui.</w:t>
      </w:r>
    </w:p>
    <w:p>
      <w:pPr>
        <w:pStyle w:val="Paragraph"/>
        <w:numPr>
          <w:ilvl w:val="0"/>
          <w:numId w:val="1"/>
        </w:numPr>
        <w:spacing w:lineRule="auto" w:line="360" w:beforeAutospacing="0" w:before="0" w:afterAutospacing="0" w:after="0"/>
        <w:ind w:hanging="360" w:left="360"/>
        <w:jc w:val="both"/>
        <w:rPr>
          <w:rStyle w:val="Normaltextrun"/>
          <w:rFonts w:ascii="Times New Roman" w:hAnsi="Times New Roman" w:eastAsia="Times New Roman" w:cs="Times New Roman"/>
          <w:color w:themeColor="text1" w:val="000000"/>
          <w:lang w:val="lt-LT"/>
        </w:rPr>
      </w:pPr>
      <w:r>
        <w:rPr>
          <w:rStyle w:val="Normaltextrun"/>
          <w:rFonts w:eastAsia="Times New Roman" w:cs="Times New Roman" w:ascii="Times New Roman" w:hAnsi="Times New Roman"/>
          <w:color w:themeColor="text1" w:val="000000"/>
          <w:lang w:val="lt-LT"/>
        </w:rPr>
        <w:t>Į pasiūlymo kainą turi būti įskaičiuota dizaino kūrimo (logotipo integravimas) ir prekių pristatymo paslauga.</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Pagal poreikį su prekių kokybe susiję klausimai aptariami PO ir Tiekėjo  nuotolinių susitikimų metu.</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Užsakomos atributikos preliminarūs kiekiai vienetais nurodyti šioje lentelėje:  </w:t>
      </w:r>
    </w:p>
    <w:tbl>
      <w:tblPr>
        <w:tblStyle w:val="Lentelstinklelis"/>
        <w:tblW w:w="9240" w:type="dxa"/>
        <w:jc w:val="left"/>
        <w:tblInd w:w="0" w:type="dxa"/>
        <w:tblLayout w:type="fixed"/>
        <w:tblCellMar>
          <w:top w:w="0" w:type="dxa"/>
          <w:left w:w="90" w:type="dxa"/>
          <w:bottom w:w="0" w:type="dxa"/>
          <w:right w:w="90" w:type="dxa"/>
        </w:tblCellMar>
        <w:tblLook w:firstRow="0" w:noVBand="1" w:lastRow="0" w:firstColumn="1" w:lastColumn="0" w:noHBand="1" w:val="0680"/>
      </w:tblPr>
      <w:tblGrid>
        <w:gridCol w:w="6509"/>
        <w:gridCol w:w="2730"/>
      </w:tblGrid>
      <w:tr>
        <w:trPr>
          <w:trHeight w:val="300" w:hRule="atLeast"/>
        </w:trPr>
        <w:tc>
          <w:tcPr>
            <w:tcW w:w="6509" w:type="dxa"/>
            <w:tcBorders>
              <w:top w:val="single" w:sz="6" w:space="0" w:color="000000"/>
              <w:left w:val="single" w:sz="6" w:space="0" w:color="000000"/>
            </w:tcBorders>
            <w:shd w:color="auto" w:fill="DAE8F8" w:val="clear"/>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kern w:val="0"/>
                <w:sz w:val="24"/>
                <w:szCs w:val="24"/>
                <w:lang w:val="en-US" w:eastAsia="ja-JP" w:bidi="ar-SA"/>
              </w:rPr>
              <w:t>Prekė</w:t>
            </w:r>
          </w:p>
        </w:tc>
        <w:tc>
          <w:tcPr>
            <w:tcW w:w="2730" w:type="dxa"/>
            <w:tcBorders>
              <w:top w:val="single" w:sz="6" w:space="0" w:color="000000"/>
              <w:right w:val="single" w:sz="6" w:space="0" w:color="000000"/>
            </w:tcBorders>
            <w:shd w:color="auto" w:fill="DAE8F8" w:val="clear"/>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kern w:val="0"/>
                <w:sz w:val="24"/>
                <w:szCs w:val="24"/>
                <w:lang w:val="en-US" w:eastAsia="ja-JP" w:bidi="ar-SA"/>
              </w:rPr>
              <w:t>Preliminarus kiekis (vnt.)</w:t>
            </w:r>
          </w:p>
        </w:tc>
      </w:tr>
      <w:tr>
        <w:trPr>
          <w:trHeight w:val="300" w:hRule="atLeast"/>
        </w:trPr>
        <w:tc>
          <w:tcPr>
            <w:tcW w:w="6509" w:type="dxa"/>
            <w:tcBorders>
              <w:lef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n-US" w:eastAsia="ja-JP" w:bidi="ar-SA"/>
              </w:rPr>
              <w:t>Daugkartinis maišelis</w:t>
            </w:r>
          </w:p>
        </w:tc>
        <w:tc>
          <w:tcPr>
            <w:tcW w:w="2730" w:type="dxa"/>
            <w:tcBorders>
              <w:righ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kern w:val="0"/>
                <w:sz w:val="24"/>
                <w:szCs w:val="24"/>
                <w:lang w:val="lt-LT" w:eastAsia="ja-JP" w:bidi="ar-SA"/>
              </w:rPr>
              <w:t>100</w:t>
            </w:r>
          </w:p>
        </w:tc>
      </w:tr>
      <w:tr>
        <w:trPr>
          <w:trHeight w:val="300" w:hRule="atLeast"/>
        </w:trPr>
        <w:tc>
          <w:tcPr>
            <w:tcW w:w="6509" w:type="dxa"/>
            <w:tcBorders>
              <w:lef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n-US" w:eastAsia="ja-JP" w:bidi="ar-SA"/>
              </w:rPr>
              <w:t>Termo puodelis</w:t>
            </w:r>
          </w:p>
        </w:tc>
        <w:tc>
          <w:tcPr>
            <w:tcW w:w="2730" w:type="dxa"/>
            <w:tcBorders>
              <w:righ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kern w:val="0"/>
                <w:sz w:val="24"/>
                <w:szCs w:val="24"/>
                <w:lang w:val="lt-LT" w:eastAsia="ja-JP" w:bidi="ar-SA"/>
              </w:rPr>
              <w:t>50</w:t>
            </w:r>
          </w:p>
        </w:tc>
      </w:tr>
      <w:tr>
        <w:trPr>
          <w:trHeight w:val="300" w:hRule="atLeast"/>
        </w:trPr>
        <w:tc>
          <w:tcPr>
            <w:tcW w:w="6509" w:type="dxa"/>
            <w:tcBorders>
              <w:lef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n-US" w:eastAsia="ja-JP" w:bidi="ar-SA"/>
              </w:rPr>
              <w:t>Gertuvė</w:t>
            </w:r>
          </w:p>
        </w:tc>
        <w:tc>
          <w:tcPr>
            <w:tcW w:w="2730" w:type="dxa"/>
            <w:tcBorders>
              <w:righ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kern w:val="0"/>
                <w:sz w:val="24"/>
                <w:szCs w:val="24"/>
                <w:lang w:val="lt-LT" w:eastAsia="ja-JP" w:bidi="ar-SA"/>
              </w:rPr>
              <w:t>50</w:t>
            </w:r>
          </w:p>
        </w:tc>
      </w:tr>
      <w:tr>
        <w:trPr>
          <w:trHeight w:val="300" w:hRule="atLeast"/>
        </w:trPr>
        <w:tc>
          <w:tcPr>
            <w:tcW w:w="6509" w:type="dxa"/>
            <w:tcBorders>
              <w:lef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n-US" w:eastAsia="ja-JP" w:bidi="ar-SA"/>
              </w:rPr>
              <w:t>Spalvą keičiantis puodelis</w:t>
            </w:r>
          </w:p>
        </w:tc>
        <w:tc>
          <w:tcPr>
            <w:tcW w:w="2730" w:type="dxa"/>
            <w:tcBorders>
              <w:righ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kern w:val="0"/>
                <w:sz w:val="24"/>
                <w:szCs w:val="24"/>
                <w:lang w:val="lt-LT" w:eastAsia="ja-JP" w:bidi="ar-SA"/>
              </w:rPr>
              <w:t>50</w:t>
            </w:r>
          </w:p>
        </w:tc>
      </w:tr>
      <w:tr>
        <w:trPr>
          <w:trHeight w:val="300" w:hRule="atLeast"/>
        </w:trPr>
        <w:tc>
          <w:tcPr>
            <w:tcW w:w="6509" w:type="dxa"/>
            <w:tcBorders>
              <w:lef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n-US" w:eastAsia="ja-JP" w:bidi="ar-SA"/>
              </w:rPr>
              <w:t>Belaidis išmaniojo telefono įkroviklis</w:t>
            </w:r>
          </w:p>
        </w:tc>
        <w:tc>
          <w:tcPr>
            <w:tcW w:w="2730" w:type="dxa"/>
            <w:tcBorders>
              <w:righ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kern w:val="0"/>
                <w:sz w:val="24"/>
                <w:szCs w:val="24"/>
                <w:lang w:val="lt-LT" w:eastAsia="ja-JP" w:bidi="ar-SA"/>
              </w:rPr>
              <w:t>30</w:t>
            </w:r>
          </w:p>
        </w:tc>
      </w:tr>
      <w:tr>
        <w:trPr>
          <w:trHeight w:val="300" w:hRule="atLeast"/>
        </w:trPr>
        <w:tc>
          <w:tcPr>
            <w:tcW w:w="6509" w:type="dxa"/>
            <w:tcBorders>
              <w:lef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n-US" w:eastAsia="ja-JP" w:bidi="ar-SA"/>
              </w:rPr>
              <w:t>Kuprinė kompiuteriui</w:t>
            </w:r>
          </w:p>
        </w:tc>
        <w:tc>
          <w:tcPr>
            <w:tcW w:w="2730" w:type="dxa"/>
            <w:tcBorders>
              <w:righ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kern w:val="0"/>
                <w:sz w:val="24"/>
                <w:szCs w:val="24"/>
                <w:lang w:val="lt-LT" w:eastAsia="ja-JP" w:bidi="ar-SA"/>
              </w:rPr>
              <w:t>25</w:t>
            </w:r>
          </w:p>
        </w:tc>
      </w:tr>
      <w:tr>
        <w:trPr>
          <w:trHeight w:val="300" w:hRule="atLeast"/>
        </w:trPr>
        <w:tc>
          <w:tcPr>
            <w:tcW w:w="6509" w:type="dxa"/>
            <w:tcBorders>
              <w:lef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n-US" w:eastAsia="ja-JP" w:bidi="ar-SA"/>
              </w:rPr>
              <w:t>Kojinės</w:t>
            </w:r>
          </w:p>
        </w:tc>
        <w:tc>
          <w:tcPr>
            <w:tcW w:w="2730" w:type="dxa"/>
            <w:tcBorders>
              <w:righ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kern w:val="0"/>
                <w:sz w:val="24"/>
                <w:szCs w:val="24"/>
                <w:lang w:val="lt-LT" w:eastAsia="ja-JP" w:bidi="ar-SA"/>
              </w:rPr>
              <w:t>100</w:t>
            </w:r>
          </w:p>
        </w:tc>
      </w:tr>
      <w:tr>
        <w:trPr>
          <w:trHeight w:val="300" w:hRule="atLeast"/>
        </w:trPr>
        <w:tc>
          <w:tcPr>
            <w:tcW w:w="6509" w:type="dxa"/>
            <w:tcBorders>
              <w:left w:val="single" w:sz="6" w:space="0" w:color="000000"/>
              <w:bottom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n-US" w:eastAsia="ja-JP" w:bidi="ar-SA"/>
              </w:rPr>
              <w:t>Atšvaitas</w:t>
            </w:r>
          </w:p>
        </w:tc>
        <w:tc>
          <w:tcPr>
            <w:tcW w:w="2730" w:type="dxa"/>
            <w:tcBorders>
              <w:bottom w:val="single" w:sz="6" w:space="0" w:color="000000"/>
              <w:right w:val="single" w:sz="6" w:space="0" w:color="000000"/>
            </w:tcBorders>
          </w:tcPr>
          <w:p>
            <w:pPr>
              <w:pStyle w:val="Normal"/>
              <w:widowControl/>
              <w:suppressAutoHyphens w:val="true"/>
              <w:spacing w:lineRule="auto" w:line="360" w:before="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kern w:val="0"/>
                <w:sz w:val="24"/>
                <w:szCs w:val="24"/>
                <w:lang w:val="lt-LT" w:eastAsia="ja-JP" w:bidi="ar-SA"/>
              </w:rPr>
              <w:t>500</w:t>
            </w:r>
          </w:p>
        </w:tc>
      </w:tr>
    </w:tbl>
    <w:p>
      <w:pPr>
        <w:pStyle w:val="Paragraph"/>
        <w:spacing w:lineRule="auto" w:line="360" w:beforeAutospacing="0" w:before="0" w:afterAutospacing="0" w:after="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rPr>
      </w:pPr>
      <w:r>
        <w:rPr>
          <w:rFonts w:eastAsia="Times New Roman" w:cs="Times New Roman" w:ascii="Times New Roman" w:hAnsi="Times New Roman"/>
          <w:b/>
          <w:bCs/>
          <w:lang w:val="lt-LT"/>
        </w:rPr>
        <w:t xml:space="preserve">Daugkartinis maišelis. </w:t>
      </w:r>
      <w:r>
        <w:rPr>
          <w:rFonts w:eastAsia="Times New Roman" w:cs="Times New Roman" w:ascii="Times New Roman" w:hAnsi="Times New Roman"/>
          <w:lang w:val="lt-LT"/>
        </w:rPr>
        <w:t xml:space="preserve">Aprašymas: daugkartinio naudojimo maišelis, pagamintas iš tvarių medžiagų, skirtas kasdieniam naudojimui. Medžiaga: 100% ekologiška arba perdirbta medvilnė. Medžiagos tankis turi būti ne mažesnis nei 220 g/m², kad užtikrintų maišelio ilgaamžiškumą ir atsparumą. </w:t>
      </w:r>
      <w:r>
        <w:rPr>
          <w:rFonts w:eastAsia="Times New Roman" w:cs="Times New Roman" w:ascii="Times New Roman" w:hAnsi="Times New Roman"/>
        </w:rPr>
        <w:t>Medžiaga turi turėti tai patvirtinančius sertifikatus (pvz., GOTS, OCS arba lygiavertį). Išmatavimai: ne mažesni nei 38 cm (plotis) x 42 cm (aukštis). Rankenos: turi turėti dvi ilgas rankenas (dirželius), kurių bendras ilgis yra ne trumpesnis nei 60 cm, kad maišelį būtų patogu nešioti ant peties. Rankenos turi būti pagamintos iš tos pačios medžiagos kaip ir maišelis bei tvirtai prisiūtos (pvz., kryžminiu dygsniu) prie korpuso, kad atlaikytų didesnį svorį. Priežiūra: medžiaga turi būti tinkama skalbti automatinėje skalbimo mašinoje iki 40°C temperatūroje. Po skalbimo maišelis turi išlaikyti savo pradinę formą, spalvą ir nesusitraukti daugiau nei 5%. Logotipas spausdinamas ant vienos maišelio pusės, šilkografijos būdu, užima ne daugiau nei 30 proc. gaminio ploto. Spalva ir dizainas derinami su PO.</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lang w:val="lt-LT"/>
        </w:rPr>
      </w:pPr>
      <w:r>
        <w:rPr>
          <w:rFonts w:eastAsia="Times New Roman" w:cs="Times New Roman" w:ascii="Times New Roman" w:hAnsi="Times New Roman"/>
          <w:b/>
          <w:bCs/>
          <w:lang w:val="lt-LT"/>
        </w:rPr>
        <w:t>Termo puodelis.</w:t>
      </w:r>
      <w:r>
        <w:rPr>
          <w:rFonts w:eastAsia="Times New Roman" w:cs="Times New Roman" w:ascii="Times New Roman" w:hAnsi="Times New Roman"/>
          <w:lang w:val="lt-LT"/>
        </w:rPr>
        <w:t xml:space="preserve"> Aprašymas: kokybiškas, sandarus ir ilgaamžis termo puodelis, skirtas tiek karštiems, tiek šaltiems gėrimams laikyti. Talpa: nuo 450 ml iki 500 ml. Išmatavimai: aukštis – iki 20 cm, skersmuo – iki 8 cm, kad puodelis tilptų į standartinius automobilio puodelių laikiklius. Korpusas: dvigubos sienelės, pagamintos iš maistinio nerūdijančio plieno viduje ir išorėje. Dangtelis su tarpine, užtikrinančia 100% sandarumą. Temperatūros išlaikymas: išlaiko skysčio temperatūrą (tiek karštą, tiek šaltą) ne trumpiau nei 4 valandas. Konstrukcija: puodelis turi būti atsparus smūgiams ir dūžiams. Dangtelis: atsukamas, su patogia atidaroma anga gėrimui, leidžiančia gerti neatidarius viso dangtelio. Anga turi būti sandariai uždaroma, kad apsaugotų nuo pratekėjimo. Priežiūra: puodelis turi būti lengvai valomas rankomis. Logotipas spausdinamas graviruojant lazeriu arba tampografijos būdu, užima ne daugiau nei 40 proc. gaminio ploto. Spalva ir dizainas derinami su PO. PO turi teisę nemokamai išbandyti 2 (dviejų) skirtingų pasirinktų gaminių pavyzdžius prieš pateikdama užsakymą Tiekėjui.</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lang w:val="lt-LT"/>
        </w:rPr>
      </w:pPr>
      <w:r>
        <w:rPr>
          <w:rStyle w:val="Normaltextrun"/>
          <w:rFonts w:eastAsia="Times New Roman" w:cs="Times New Roman" w:ascii="Times New Roman" w:hAnsi="Times New Roman"/>
          <w:b/>
          <w:bCs/>
          <w:color w:themeColor="text1" w:val="000000"/>
          <w:lang w:val="lt-LT"/>
        </w:rPr>
        <w:t xml:space="preserve">Gertuvė. </w:t>
      </w:r>
      <w:r>
        <w:rPr>
          <w:rStyle w:val="Normaltextrun"/>
          <w:rFonts w:eastAsia="Times New Roman" w:cs="Times New Roman" w:ascii="Times New Roman" w:hAnsi="Times New Roman"/>
          <w:color w:themeColor="text1" w:val="000000"/>
          <w:lang w:val="lt-LT"/>
        </w:rPr>
        <w:t xml:space="preserve">Talpa 500-1200 ml. </w:t>
      </w:r>
      <w:r>
        <w:rPr>
          <w:rFonts w:eastAsia="Times New Roman" w:cs="Times New Roman" w:ascii="Times New Roman" w:hAnsi="Times New Roman"/>
          <w:lang w:val="lt-LT"/>
        </w:rPr>
        <w:t>Aprašymas: daugkartinio naudojimo gertuvė, skirta vandeniui ir kitiems šaltiems gėrimams, pagaminta iš saugių ir patvarių medžiagų. Talpa: 500-1200 ml. Medžiaga neturi keisti gėrimo skonio ar kvapo. Dangtelis: sandarus, užsukamas dangtelis su patogia gėrimo anga (pvz., atlenkiamu kandikliu, sportiniu kamšteliu ar plačia anga). Savybės: atspari smūgiams ir kritimams; ergonomiška forma, patogi laikyti rankoje. Gali turėti matavimo skalę skysčio kiekiui sekti. Priežiūra: turi būti tinkama plauti indaplovėje arba lengvai valoma rankomis. Logotipas spausdinamas UV spaudos arba tampografijos būdu, užima ne daugiau nei 40 proc. gaminio ploto. Spalva ir dizainas derinami su PO.</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lang w:val="lt-LT"/>
        </w:rPr>
      </w:pPr>
      <w:r>
        <w:rPr>
          <w:rFonts w:eastAsia="Times New Roman" w:cs="Times New Roman" w:ascii="Times New Roman" w:hAnsi="Times New Roman"/>
          <w:b/>
          <w:bCs/>
          <w:lang w:val="lt-LT"/>
        </w:rPr>
        <w:t xml:space="preserve">Spalvą keičiantis puodelis. </w:t>
      </w:r>
      <w:r>
        <w:rPr>
          <w:rFonts w:eastAsia="Times New Roman" w:cs="Times New Roman" w:ascii="Times New Roman" w:hAnsi="Times New Roman"/>
          <w:lang w:val="lt-LT"/>
        </w:rPr>
        <w:t xml:space="preserve">Aprašymas: puodelis su danga, kuri pasikeičia (atsiranda arba pasikeičia paveikslėlis/užrašas) užpylus karštu skysčiu. Talpa: standartinė, apie 300-350 ml. Danga: padengtas specialia termo jautria danga, kuri reaguoja į karštį (temperatūrai pakilus virš 45-50°C). Pradinė spalva (šalto puodelio) turi būti vientisa (pvz., juoda, mėlyna). Dizainas: ant puodelio bus dedamas individualus dizainas, kuris atsiranda paveikus karščiui. Dizainas turi būti ryškus, aiškus ir ilgaamžis. </w:t>
      </w:r>
      <w:r>
        <w:rPr>
          <w:rFonts w:eastAsia="Times New Roman" w:cs="Times New Roman" w:ascii="Times New Roman" w:hAnsi="Times New Roman"/>
        </w:rPr>
        <w:t xml:space="preserve">Logotipas spausdinamas sublimacijos būdu, užima ne daugiau nei 30 proc. gaminio ploto. </w:t>
      </w:r>
      <w:r>
        <w:rPr>
          <w:rFonts w:eastAsia="Times New Roman" w:cs="Times New Roman" w:ascii="Times New Roman" w:hAnsi="Times New Roman"/>
          <w:lang w:val="lt-LT"/>
        </w:rPr>
        <w:t>Spalva ir dizainas derinami su PO.</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rPr>
      </w:pPr>
      <w:r>
        <w:rPr>
          <w:rFonts w:eastAsia="Times New Roman" w:cs="Times New Roman" w:ascii="Times New Roman" w:hAnsi="Times New Roman"/>
          <w:b/>
          <w:bCs/>
          <w:color w:themeColor="text1" w:val="000000"/>
          <w:lang w:val="lt-LT"/>
        </w:rPr>
        <w:t>Belaidis išmaniojo telefono įkroviklis.</w:t>
      </w:r>
      <w:r>
        <w:rPr>
          <w:rFonts w:eastAsia="Times New Roman" w:cs="Times New Roman" w:ascii="Times New Roman" w:hAnsi="Times New Roman"/>
          <w:color w:themeColor="text1" w:val="000000"/>
          <w:lang w:val="lt-LT"/>
        </w:rPr>
        <w:t xml:space="preserve"> </w:t>
      </w:r>
      <w:r>
        <w:rPr>
          <w:rFonts w:eastAsia="Times New Roman" w:cs="Times New Roman" w:ascii="Times New Roman" w:hAnsi="Times New Roman"/>
          <w:lang w:val="lt-LT"/>
        </w:rPr>
        <w:t xml:space="preserve">Aprašymas: universalus belaidis įkroviklis, suderinamas su populiariausiais išmaniaisiais telefonais, palaikančiais belaidžio įkrovimo funkciją. Standartas: turi palaikyti universalų Qi belaidžio įkrovimo standartą. Galia: įkrovimo galia – ne mažesnė nei 10W. Dizainas: plonas, kompaktiškas dizainas. Paviršius, ant kurio dedamas telefonas, turi būti padengtas neslystančia medžiaga (pvz., guma, silikonu), kad apsaugotų telefoną nuo nuslydimo. Saugumas: turi turėti integruotas apsaugos funkcijas (nuo perkaitimo, viršįtampio, trumpojo jungimo ir svetimkūnių aptikimo). Indikatorius: turi turėti LED indikatorių, rodantį įkrovimo būseną (pvz., budėjimo režimas, įkrovimas, įkrovimo pabaiga). </w:t>
      </w:r>
      <w:r>
        <w:rPr>
          <w:rFonts w:eastAsia="Times New Roman" w:cs="Times New Roman" w:ascii="Times New Roman" w:hAnsi="Times New Roman"/>
        </w:rPr>
        <w:t>Komplektacija: turi būti pateikiamas su maitinimo laidu (USB-A į USB-C arba lygiavertis), kurio ilgis ne trumpesnis nei 1 metras. Logotipas spausdinamas UV spaudos, tampografijos arba graviravimo būdu, yra visada matomas, kai įrenginys nenaudojamas, užima iki 40 proc. įkraunančio paviršiaus ploto. Spalva ir dizainas derinami su PO.</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lang w:val="lt-LT"/>
        </w:rPr>
      </w:pPr>
      <w:r>
        <w:rPr>
          <w:rStyle w:val="Normaltextrun"/>
          <w:rFonts w:eastAsia="Times New Roman" w:cs="Times New Roman" w:ascii="Times New Roman" w:hAnsi="Times New Roman"/>
          <w:b/>
          <w:bCs/>
          <w:color w:themeColor="text1" w:val="000000"/>
          <w:lang w:val="lt-LT"/>
        </w:rPr>
        <w:t>Kuprinė kompiuteriui.</w:t>
      </w:r>
      <w:r>
        <w:rPr>
          <w:rStyle w:val="Normaltextrun"/>
          <w:rFonts w:eastAsia="Times New Roman" w:cs="Times New Roman" w:ascii="Times New Roman" w:hAnsi="Times New Roman"/>
          <w:color w:themeColor="text1" w:val="000000"/>
          <w:lang w:val="lt-LT"/>
        </w:rPr>
        <w:t xml:space="preserve"> </w:t>
      </w:r>
      <w:r>
        <w:rPr>
          <w:rFonts w:eastAsia="Times New Roman" w:cs="Times New Roman" w:ascii="Times New Roman" w:hAnsi="Times New Roman"/>
          <w:lang w:val="lt-LT"/>
        </w:rPr>
        <w:t xml:space="preserve">Aprašymas: funkcionali ir patvari kuprinė, skirta saugiai transportuoti nešiojamąjį kompiuterį ir kitus asmeninius daiktus. Talpa: ne mažesnė nei 18 litrų. Kompiuterio skyrius: turi turėti atskirą, paminkštintą skyrių, skirtą nešiojamajam kompiuteriui, kurio ekrano įstrižainė yra iki 15,6 colių. Medžiaga: pagaminta iš vandeniui ir trinčiai atsparios medžiagos: poliesterio, nailono ar lygiavertės medžiagos. Skyriai: be kompiuterio skyriaus, turi turėti bent vieną pagrindinį skyrių dokumentams ir daiktams bei papildomą priekinę kišenę smulkiems daiktams. Gali turėti šonines kišenes gertuvei ar skėčiui. Nugarėlė ir petnešos: ergonomiška, paminkštinta nugarėlė su oro cirkuliacijos sistema. Reguliuojamo ilgio, paminkštintos petnešos. Papildomos funkcijos: gali turėti integruotą USB jungtį išorinei baterijai prijungti, slaptą kišenę nugarinėje dalyje vertingiems daiktams. </w:t>
      </w:r>
      <w:r>
        <w:rPr>
          <w:rFonts w:eastAsia="Times New Roman" w:cs="Times New Roman" w:ascii="Times New Roman" w:hAnsi="Times New Roman"/>
        </w:rPr>
        <w:t xml:space="preserve">Logotipas spausdinamas termo spaudos arba šilkografijos būdu, užima ne daugiau nei 30 proc. gaminio ploto. </w:t>
      </w:r>
      <w:r>
        <w:rPr>
          <w:rFonts w:eastAsia="Times New Roman" w:cs="Times New Roman" w:ascii="Times New Roman" w:hAnsi="Times New Roman"/>
          <w:lang w:val="lt-LT"/>
        </w:rPr>
        <w:t>Spalva ir dizainas derinami su PO.</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lang w:val="lt-LT"/>
        </w:rPr>
      </w:pPr>
      <w:r>
        <w:rPr>
          <w:rStyle w:val="Normaltextrun"/>
          <w:rFonts w:eastAsia="Times New Roman" w:cs="Times New Roman" w:ascii="Times New Roman" w:hAnsi="Times New Roman"/>
          <w:b/>
          <w:bCs/>
          <w:color w:themeColor="text1" w:val="000000"/>
          <w:lang w:val="lt-LT"/>
        </w:rPr>
        <w:t>Kojinės.</w:t>
      </w:r>
      <w:r>
        <w:rPr>
          <w:rStyle w:val="Normaltextrun"/>
          <w:rFonts w:eastAsia="Times New Roman" w:cs="Times New Roman" w:ascii="Times New Roman" w:hAnsi="Times New Roman"/>
          <w:color w:themeColor="text1" w:val="000000"/>
          <w:lang w:val="lt-LT"/>
        </w:rPr>
        <w:t xml:space="preserve"> </w:t>
      </w:r>
      <w:r>
        <w:rPr>
          <w:rFonts w:eastAsia="Times New Roman" w:cs="Times New Roman" w:ascii="Times New Roman" w:hAnsi="Times New Roman"/>
          <w:lang w:val="lt-LT"/>
        </w:rPr>
        <w:t>Aprašymas: klasikinio modelio, kokybiškos ir patogios kojinės, skirtos kasdieniam nešiojimui. Sudėtis: medvilnė turi sudaryti ne mažiau 75%. Dydžiai: turi būti pateikiami standartiniai dydžių intervalai (pvz., 36-38, 39-41, 42-44, 45-47). Dydžių pasiskirstymas bus patikslintas užsakymo metu. Ilgis: standartinis ilgis (iki blauzdos vidurio). Elastinė juosta: plati ir patogi elastinė juosta viršuje, kuri gerai priglunda, bet neveržia. Logotipas išsiuvinėjamas horizontaliai arba vertikaliai, ant arba žemiau elastinės juostos, išorinėje (blauzdos) pusėje, užima iki 30 proc. gaminio ploto. Kiekviena kojinių pora turi būti supakuota į atskirą celofaninį maišelį. Spalva ir dizainas derinami su PO.</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lang w:val="lt-LT"/>
        </w:rPr>
      </w:pPr>
      <w:r>
        <w:rPr>
          <w:rStyle w:val="Normaltextrun"/>
          <w:rFonts w:eastAsia="Times New Roman" w:cs="Times New Roman" w:ascii="Times New Roman" w:hAnsi="Times New Roman"/>
          <w:b/>
          <w:bCs/>
          <w:color w:themeColor="text1" w:val="000000"/>
          <w:lang w:val="lt-LT"/>
        </w:rPr>
        <w:t>Atšvaitas.</w:t>
      </w:r>
      <w:r>
        <w:rPr>
          <w:rStyle w:val="Normaltextrun"/>
          <w:rFonts w:eastAsia="Times New Roman" w:cs="Times New Roman" w:ascii="Times New Roman" w:hAnsi="Times New Roman"/>
          <w:color w:themeColor="text1" w:val="000000"/>
          <w:lang w:val="lt-LT"/>
        </w:rPr>
        <w:t xml:space="preserve"> </w:t>
      </w:r>
      <w:r>
        <w:rPr>
          <w:rFonts w:eastAsia="Times New Roman" w:cs="Times New Roman" w:ascii="Times New Roman" w:hAnsi="Times New Roman"/>
          <w:lang w:val="lt-LT"/>
        </w:rPr>
        <w:t>Aprašymas: pakabinamas atšvaitas, skirtas matomumui tamsiu paros metu padidinti ir saugumui užtikrinti. Forma ir dydis: apvali forma, skersmuo ne mažesnis nei 55 mm. Medžiaga: pagamintas iš aukštos kokybės reflektyvios (šviesą atspindinčios) kietos medžiagos. Tvirtinimas: turi turėti patikimą ir saugų tvirtinimo mechanizmą, pvz., metalinį segtuką (įsagėlę) nugarėlėje arba tvirtą metalinį karabiną, leidžiantį lengvai pritvirtinti atšvaitą prie drabužių, kuprinės ar rankinės. Logotipas spausdinamas tampografijos arba šilkografijos būdu ant išorinės atšvaito pusės, užima iki 40 proc. šviesą atspindinčio ploto. Spalva ir dizainas derinami su PO.</w:t>
      </w:r>
    </w:p>
    <w:p>
      <w:pPr>
        <w:pStyle w:val="Paragraph"/>
        <w:spacing w:lineRule="auto" w:line="360" w:beforeAutospacing="0" w:before="0" w:afterAutospacing="0" w:after="0"/>
        <w:jc w:val="both"/>
        <w:rPr>
          <w:rFonts w:ascii="Times New Roman" w:hAnsi="Times New Roman" w:eastAsia="Times New Roman" w:cs="Times New Roman"/>
          <w:lang w:val="lt-LT"/>
        </w:rPr>
      </w:pPr>
      <w:r>
        <w:rPr>
          <w:rFonts w:eastAsia="Times New Roman" w:cs="Times New Roman" w:ascii="Times New Roman" w:hAnsi="Times New Roman"/>
          <w:lang w:val="lt-LT"/>
        </w:rPr>
      </w:r>
    </w:p>
    <w:p>
      <w:pPr>
        <w:pStyle w:val="Normal"/>
        <w:spacing w:lineRule="auto" w:line="360" w:before="0" w:after="0"/>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III SKYRIUS</w:t>
      </w:r>
    </w:p>
    <w:p>
      <w:pPr>
        <w:pStyle w:val="Normal"/>
        <w:spacing w:lineRule="auto" w:line="360" w:before="0" w:after="0"/>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PREKIŲ DIZAINO MAKETŲ DERINIMO DARBAI, SĄLYGOS IR TERMINAI</w:t>
      </w:r>
    </w:p>
    <w:p>
      <w:pPr>
        <w:pStyle w:val="Normal"/>
        <w:spacing w:lineRule="auto" w:line="360" w:before="0" w:after="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Prekių pristatymo vieta – Higienos institutas,  Studentų g. 45A, 08107 Vilnius. </w:t>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Tiekėjas per 10 darbo dienų nuo sutarties įsigaliojimo dienos privalo PO kontaktiniam asmeniui el. paštu pateikti atributikai pasirinktų gaminių variantus derinimui. Prekės turi atitikti techninės specifikacijos reikalavimus. PO kontaktinis asmuo per 5 darbo dienas nuo gauto sąrašo patvirtina prekes arba paprašo jas pakeisti, jei prekės neatitinka techninėje specifikacijoje numatytų reikalavimų.  </w:t>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 </w:t>
      </w:r>
      <w:r>
        <w:rPr>
          <w:rFonts w:eastAsia="Times New Roman" w:cs="Times New Roman" w:ascii="Times New Roman" w:hAnsi="Times New Roman"/>
          <w:color w:themeColor="text1" w:val="000000"/>
        </w:rPr>
        <w:t>PO kontaktiniam asmeniui patvirtinus prekes, Tiekėjas su PO kontaktiniu asmeniu derina dizaino maketus, įskaitant, bet neapsiribojant logotipo dydžiu, spalva, spaudos būdu ir ženklinimo vieta. Kiekvienai prekei Tiekėjas pasiūlo ne mažiau 3 maketų, iš kurių PO konktaktinis asmuo išsirenka vieną maketą, pagal kurį bus vykdoma gamyba.</w:t>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 </w:t>
      </w:r>
      <w:r>
        <w:rPr>
          <w:rFonts w:eastAsia="Times New Roman" w:cs="Times New Roman" w:ascii="Times New Roman" w:hAnsi="Times New Roman"/>
          <w:color w:themeColor="text1" w:val="000000"/>
        </w:rPr>
        <w:t xml:space="preserve">PO ne vėliau kaip per 2 darbo dienas nuo maketų pateikimo dienos raštu pateikia Tiekėjui patvirtinimą dėl pasirinkto maketo arba motyvuotą paaiškinimą, kuriame išdėstomi nustatyti trūkumai ir nurodomi protingi, bet ne ilgesni kaip 3 darbo dienų terminai pašalinti maketų trūkumus ir/ar pateikti naujus maketus.  </w:t>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PO patvirtinus kiekvienos prekės maketus, Tiekėjui teikiamas prekių užsakymas dėl prekių kiekio gamybos. Tiekėjas užtikrina, kad prekės bus pagamintos ir pristatytos ne vėliau nei per 15 darbo dienų nuo maketų suderinimo.</w:t>
      </w:r>
    </w:p>
    <w:p>
      <w:pPr>
        <w:pStyle w:val="ListParagraph"/>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ListParagraph"/>
        <w:spacing w:lineRule="auto" w:line="360" w:before="0" w:after="0"/>
        <w:contextualSpacing/>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IV SKYRIUS</w:t>
      </w:r>
    </w:p>
    <w:p>
      <w:pPr>
        <w:pStyle w:val="ListParagraph"/>
        <w:spacing w:lineRule="auto" w:line="360" w:before="0" w:after="0"/>
        <w:contextualSpacing/>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KOKYBĖS REIKALAVIMAI</w:t>
      </w:r>
    </w:p>
    <w:p>
      <w:pPr>
        <w:pStyle w:val="ListParagraph"/>
        <w:spacing w:lineRule="auto" w:line="360" w:before="0" w:after="0"/>
        <w:contextualSpacing/>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Visos prekės turi būti naujos, švarios, tinkamai supakuotos saugiam transportavimui.</w:t>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PO kontaktinis asmuo, gavęs prekių su atributika siuntą, per 5 darbo dienas patikrina prekes ir įvertinęs jų atitikimą elektroniniam maketų dizainui bei techninėje specifikacijoje nurodytiems kriterijams, priima sprendimą dėl sutarties įvykdymo. Apie sprendimą PO informuoja tiekėją el. laišku. </w:t>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Neatitiktimi laikoma bet kuris nukrypimas nuo skyriuje „REIKALAVIMAI ATRIBUTIKAI“ nurodytų techninių reikalavimų, ženklinimo ir maketavimo reikalavimų arba matomi broko požymiai (spalvų neatitikimas patvirtintam maketui, spaudos išsiliejimai, poslinkis, nusitrynimai, defektai, siūlių iširimas, deformacijos ir pan.). Leistina broko riba – 0 vnt.</w:t>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Nustačius neatitiktį, Tiekėjas privalo per 10 darbo dienų be papildomo apmokėjimo pakeisti netinkamos kokybės vienetus tinkamos kokybės arba pašalinti trūkumus, arba grąžinti sumokėtą kainą už neatitinkančius vienetus. Visos su keitimu ir grąžinimu susijusios išlaidos tenka Tiekėjui.</w:t>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Nustačius prekių atitiktį šiai techninei specifikacijai, įforminamas priėmimo – perdavimo aktas. Šis aktas neatima teisės reikšti pretenzijas dėl paslėptų trūkumų, jeigu per 3 mėnesius nuo akto pasirašymo dienos pasirodytų prekių defektai.</w:t>
      </w:r>
    </w:p>
    <w:p>
      <w:pPr>
        <w:pStyle w:val="ListParagraph"/>
        <w:spacing w:lineRule="auto" w:line="360"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Normal"/>
        <w:spacing w:lineRule="auto" w:line="360" w:before="0" w:after="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V SKYRIUS</w:t>
      </w:r>
    </w:p>
    <w:p>
      <w:pPr>
        <w:pStyle w:val="Normal"/>
        <w:spacing w:lineRule="auto" w:line="360" w:before="0" w:after="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APLINKOSAUGINIAI REIKALAVIMAI</w:t>
      </w:r>
    </w:p>
    <w:p>
      <w:pPr>
        <w:pStyle w:val="Normal"/>
        <w:spacing w:lineRule="auto" w:line="360" w:before="0" w:after="0"/>
        <w:jc w:val="both"/>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Žalieji reikalavimai tekstilės gaminiams nustatyti Aplinkos ministro 2011 m. birželio 28 d. įsakymu Nr. D1-508 patvirtinto aprašo IX skyriuje.</w:t>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Termo puodeliai turi būti pagaminti iš perdirbamų medžiagų (nerūdijantis plienas, stiklas, PP plastikas). Izoliacijos sluoksnis be HFC dujų ar kitų ozoną ardančių medžiagų.</w:t>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lt-LT"/>
        </w:rPr>
        <w:t xml:space="preserve">Pirkėjas laiko PVM sąskaitos faktūros pateikimą elektroniniu (ne popieriniu) būdu aplinkos apsaugos kriterijumi, nustatytu pagal Aplinkos apsaugos kriterijų taikymo, vykdant žaliuosius pirkimus, tvarkos aprašo, patvirtinto Lietuvos Respublikos aplinkos ministro 2011 m. birželio 28 d. įsakymu Nr. </w:t>
      </w:r>
      <w:r>
        <w:rPr>
          <w:rFonts w:eastAsia="Times New Roman" w:cs="Times New Roman" w:ascii="Times New Roman" w:hAnsi="Times New Roman"/>
          <w:color w:themeColor="text1" w:val="000000"/>
        </w:rPr>
        <w:t>D1-508 (Lietuvos Respublikos aplinkos ministro 2022 m. gruodžio 13 d. įsakymo Nr. D1-401 redakcija), II skyriaus 4.4.4.1 punktu: „prekei pagaminti ir (ar) tiekti, paslaugai teikti ar darbams atlikti sunaudojama mažiau gamtos išteklių ir (ar) sudėtyje yra pakartotinai panaudotų ir (ar) perdirbtų medžiagų“; laiko pirkimą žaliuoju pirkimu, nes teikiant dokumentus elektroniniu būdu sunaudojama mažiau gamtos išteklių.</w:t>
      </w:r>
    </w:p>
    <w:p>
      <w:pPr>
        <w:pStyle w:val="ListParagraph"/>
        <w:numPr>
          <w:ilvl w:val="0"/>
          <w:numId w:val="1"/>
        </w:numPr>
        <w:spacing w:lineRule="auto" w:line="36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Prekė, kuri tiekiama ar perduodama antrinėje pakuotėje, turi atitikti pakuotėms nustatytus minimalius aplinkos apsaugos kriterijus (2 priedo II skyrius „Pakuotės: turi būti laikytinos perdirbamosiomis pakuotėmis pagal Lietuvos Respublikos mokesčio už aplinkos teršimą įstatymo nuostatas.“), nebent tai prieštarauja higienos normoms.</w:t>
      </w:r>
    </w:p>
    <w:p>
      <w:pPr>
        <w:pStyle w:val="Normal"/>
        <w:spacing w:lineRule="auto" w:line="360" w:before="0" w:after="0"/>
        <w:ind w:hanging="360" w:left="360"/>
        <w:jc w:val="both"/>
        <w:rPr>
          <w:rStyle w:val="Normaltextrun"/>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r>
    </w:p>
    <w:p>
      <w:pPr>
        <w:pStyle w:val="Normal"/>
        <w:spacing w:lineRule="auto" w:line="360" w:before="0" w:after="0"/>
        <w:ind w:hanging="360" w:left="360"/>
        <w:jc w:val="center"/>
        <w:rPr>
          <w:rStyle w:val="Normaltextrun"/>
          <w:rFonts w:ascii="Times New Roman" w:hAnsi="Times New Roman" w:eastAsia="Times New Roman" w:cs="Times New Roman"/>
          <w:b/>
          <w:bCs/>
          <w:color w:themeColor="text1" w:val="000000"/>
          <w:lang w:val="lt-LT"/>
        </w:rPr>
      </w:pPr>
      <w:r>
        <w:rPr>
          <w:rStyle w:val="Normaltextrun"/>
          <w:rFonts w:eastAsia="Times New Roman" w:cs="Times New Roman" w:ascii="Times New Roman" w:hAnsi="Times New Roman"/>
          <w:b/>
          <w:bCs/>
          <w:color w:themeColor="text1" w:val="000000"/>
          <w:lang w:val="lt-LT"/>
        </w:rPr>
        <w:t>VI SKYRIUS</w:t>
      </w:r>
    </w:p>
    <w:p>
      <w:pPr>
        <w:pStyle w:val="Paragraph"/>
        <w:spacing w:lineRule="auto" w:line="360" w:beforeAutospacing="0" w:before="0" w:afterAutospacing="0" w:after="0"/>
        <w:ind w:hanging="360" w:left="360"/>
        <w:jc w:val="center"/>
        <w:rPr>
          <w:rFonts w:ascii="Times New Roman" w:hAnsi="Times New Roman" w:eastAsia="Times New Roman" w:cs="Times New Roman"/>
          <w:color w:val="00000A"/>
          <w:lang w:val="lt-LT"/>
        </w:rPr>
      </w:pPr>
      <w:r>
        <w:rPr>
          <w:rFonts w:eastAsia="Times New Roman" w:cs="Times New Roman" w:ascii="Times New Roman" w:hAnsi="Times New Roman"/>
          <w:b/>
          <w:bCs/>
          <w:color w:val="00000A"/>
          <w:lang w:val="lt-LT"/>
        </w:rPr>
        <w:t>REIKALAVIMAI ATSISKAITYMO TVARKAI</w:t>
      </w:r>
      <w:r>
        <w:rPr>
          <w:rFonts w:eastAsia="Times New Roman" w:cs="Times New Roman" w:ascii="Times New Roman" w:hAnsi="Times New Roman"/>
          <w:color w:val="00000A"/>
          <w:lang w:val="lt-LT"/>
        </w:rPr>
        <w:t> </w:t>
      </w:r>
    </w:p>
    <w:p>
      <w:pPr>
        <w:pStyle w:val="Normal"/>
        <w:spacing w:lineRule="auto" w:line="360" w:before="0" w:after="0"/>
        <w:ind w:hanging="360" w:left="360"/>
        <w:jc w:val="both"/>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t>Prekės bus perkamos pagal faktinį PO poreikį. PO neįsipareigoja išnaudoti visos pirkimui skirtų lėšų sumos.</w:t>
      </w:r>
    </w:p>
    <w:p>
      <w:pPr>
        <w:pStyle w:val="Paragraph"/>
        <w:numPr>
          <w:ilvl w:val="0"/>
          <w:numId w:val="1"/>
        </w:numPr>
        <w:spacing w:lineRule="auto" w:line="360" w:beforeAutospacing="0" w:before="0" w:afterAutospacing="0" w:after="0"/>
        <w:ind w:hanging="360" w:left="360"/>
        <w:jc w:val="both"/>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t>PO kaskart esant poreikiui pateikia užsakymą atsižvelgdama į sutarties likutį ir moka už faktiškai pristatytas prekes pagal abiejų Šalių patvirtintus prekių priėmimo perdavimo aktus ir jų pagrindu išrašytas sąskaitas.</w:t>
      </w:r>
    </w:p>
    <w:p>
      <w:pPr>
        <w:pStyle w:val="ListParagraph"/>
        <w:numPr>
          <w:ilvl w:val="0"/>
          <w:numId w:val="1"/>
        </w:numPr>
        <w:spacing w:lineRule="auto" w:line="360" w:before="0" w:after="0"/>
        <w:ind w:hanging="360" w:left="360"/>
        <w:contextualSpacing/>
        <w:jc w:val="both"/>
        <w:rPr>
          <w:rFonts w:ascii="Times New Roman" w:hAnsi="Times New Roman" w:eastAsia="Times New Roman" w:cs="Times New Roman"/>
          <w:color w:val="00000A"/>
          <w:lang w:val="lt-LT"/>
        </w:rPr>
      </w:pPr>
      <w:r>
        <w:rPr>
          <w:rStyle w:val="Normaltextrun"/>
          <w:rFonts w:eastAsia="Times New Roman" w:cs="Times New Roman" w:ascii="Times New Roman" w:hAnsi="Times New Roman"/>
          <w:color w:themeColor="text1" w:val="000000"/>
          <w:lang w:val="lt-LT"/>
        </w:rPr>
        <w:t xml:space="preserve">PO sumoka </w:t>
      </w:r>
      <w:r>
        <w:rPr>
          <w:rFonts w:eastAsia="Times New Roman" w:cs="Times New Roman" w:ascii="Times New Roman" w:hAnsi="Times New Roman"/>
          <w:color w:val="00000A"/>
          <w:lang w:val="lt-LT"/>
        </w:rPr>
        <w:t>Tiekėjui už prekes per 30 (trisdešimt) kalendorinių dienų nuo sąskaitos-faktūros gavimo dienos.</w:t>
      </w:r>
    </w:p>
    <w:p>
      <w:pPr>
        <w:pStyle w:val="Normal"/>
        <w:spacing w:lineRule="auto" w:line="360" w:before="0" w:after="0"/>
        <w:ind w:hanging="360" w:left="360"/>
        <w:jc w:val="both"/>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r>
    </w:p>
    <w:p>
      <w:pPr>
        <w:pStyle w:val="Paragraph"/>
        <w:spacing w:lineRule="auto" w:line="360" w:beforeAutospacing="0" w:before="0" w:afterAutospacing="0" w:after="0"/>
        <w:ind w:hanging="360" w:left="360"/>
        <w:jc w:val="center"/>
        <w:rPr>
          <w:rFonts w:ascii="Times New Roman" w:hAnsi="Times New Roman" w:eastAsia="Times New Roman" w:cs="Times New Roman"/>
          <w:b/>
          <w:bCs/>
          <w:color w:val="00000A"/>
          <w:lang w:val="lt-LT"/>
        </w:rPr>
      </w:pPr>
      <w:r>
        <w:rPr>
          <w:rFonts w:eastAsia="Times New Roman" w:cs="Times New Roman" w:ascii="Times New Roman" w:hAnsi="Times New Roman"/>
          <w:b/>
          <w:bCs/>
          <w:color w:val="00000A"/>
          <w:lang w:val="lt-LT"/>
        </w:rPr>
        <w:t>VII SKYRIUS</w:t>
      </w:r>
    </w:p>
    <w:p>
      <w:pPr>
        <w:pStyle w:val="Paragraph"/>
        <w:spacing w:lineRule="auto" w:line="360" w:beforeAutospacing="0" w:before="0" w:afterAutospacing="0" w:after="0"/>
        <w:ind w:hanging="360" w:left="360"/>
        <w:jc w:val="center"/>
        <w:rPr>
          <w:rFonts w:ascii="Times New Roman" w:hAnsi="Times New Roman" w:eastAsia="Times New Roman" w:cs="Times New Roman"/>
          <w:color w:val="00000A"/>
          <w:lang w:val="lt-LT"/>
        </w:rPr>
      </w:pPr>
      <w:r>
        <w:rPr>
          <w:rFonts w:eastAsia="Times New Roman" w:cs="Times New Roman" w:ascii="Times New Roman" w:hAnsi="Times New Roman"/>
          <w:b/>
          <w:bCs/>
          <w:color w:val="00000A"/>
          <w:lang w:val="lt-LT"/>
        </w:rPr>
        <w:t>ASMENS DUOMENŲ TVARKYMAS</w:t>
      </w:r>
    </w:p>
    <w:p>
      <w:pPr>
        <w:pStyle w:val="Normal"/>
        <w:spacing w:lineRule="auto" w:line="360" w:before="0" w:after="0"/>
        <w:ind w:hanging="360" w:left="360"/>
        <w:jc w:val="both"/>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r>
    </w:p>
    <w:p>
      <w:pPr>
        <w:pStyle w:val="Paragraph"/>
        <w:numPr>
          <w:ilvl w:val="0"/>
          <w:numId w:val="1"/>
        </w:numPr>
        <w:spacing w:lineRule="auto" w:line="360" w:before="280" w:after="280"/>
        <w:ind w:hanging="360"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w:t>
      </w:r>
    </w:p>
    <w:p>
      <w:pPr>
        <w:pStyle w:val="Paragraph"/>
        <w:spacing w:lineRule="auto" w:line="360" w:beforeAutospacing="0" w:before="0" w:afterAutospacing="0" w:after="0"/>
        <w:ind w:left="36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 w:cs="" w:asciiTheme="minorHAnsi" w:cstheme="minorBidi" w:eastAsiaTheme="minorEastAsia" w:hAnsiTheme="minorHAnsi"/>
      <w:color w:val="auto"/>
      <w:kern w:val="0"/>
      <w:sz w:val="24"/>
      <w:szCs w:val="24"/>
      <w:lang w:val="en-US" w:eastAsia="ja-JP" w:bidi="ar-SA"/>
    </w:rPr>
  </w:style>
  <w:style w:type="character" w:styleId="DefaultParagraphFont" w:default="1">
    <w:name w:val="Default Paragraph Font"/>
    <w:uiPriority w:val="1"/>
    <w:semiHidden/>
    <w:unhideWhenUsed/>
    <w:qFormat/>
    <w:rPr/>
  </w:style>
  <w:style w:type="character" w:styleId="Eop" w:customStyle="1">
    <w:name w:val="eop"/>
    <w:basedOn w:val="DefaultParagraphFont"/>
    <w:uiPriority w:val="1"/>
    <w:qFormat/>
    <w:rsid w:val="36a8ce36"/>
    <w:rPr>
      <w:rFonts w:ascii="Aptos" w:hAnsi="Aptos" w:eastAsia="" w:cs="" w:asciiTheme="minorHAnsi" w:cstheme="minorBidi" w:eastAsiaTheme="minorEastAsia" w:hAnsiTheme="minorHAnsi"/>
      <w:sz w:val="24"/>
      <w:szCs w:val="24"/>
    </w:rPr>
  </w:style>
  <w:style w:type="character" w:styleId="Normaltextrun" w:customStyle="1">
    <w:name w:val="normaltextrun"/>
    <w:basedOn w:val="DefaultParagraphFont"/>
    <w:uiPriority w:val="1"/>
    <w:qFormat/>
    <w:rsid w:val="36a8ce36"/>
    <w:rPr>
      <w:rFonts w:ascii="Aptos" w:hAnsi="Aptos" w:eastAsia="" w:cs="" w:asciiTheme="minorHAnsi" w:cstheme="minorBidi" w:eastAsiaTheme="minorEastAsia" w:hAnsiTheme="minorHAnsi"/>
      <w:sz w:val="24"/>
      <w:szCs w:val="24"/>
    </w:rPr>
  </w:style>
  <w:style w:type="character" w:styleId="Hyperlink">
    <w:name w:val="Hyperlink"/>
    <w:basedOn w:val="DefaultParagraphFont"/>
    <w:uiPriority w:val="99"/>
    <w:unhideWhenUsed/>
    <w:rsid w:val="36a8ce36"/>
    <w:rPr>
      <w:color w:val="467886"/>
      <w:u w:val="single"/>
    </w:rPr>
  </w:style>
  <w:style w:type="character" w:styleId="Annotationreference">
    <w:name w:val="annotation reference"/>
    <w:basedOn w:val="DefaultParagraphFont"/>
    <w:uiPriority w:val="99"/>
    <w:semiHidden/>
    <w:unhideWhenUsed/>
    <w:qFormat/>
    <w:rsid w:val="00bf3df2"/>
    <w:rPr>
      <w:sz w:val="16"/>
      <w:szCs w:val="16"/>
    </w:rPr>
  </w:style>
  <w:style w:type="character" w:styleId="KomentarotekstasDiagrama" w:customStyle="1">
    <w:name w:val="Komentaro tekstas Diagrama"/>
    <w:basedOn w:val="DefaultParagraphFont"/>
    <w:link w:val="Annotationtext"/>
    <w:uiPriority w:val="99"/>
    <w:qFormat/>
    <w:rsid w:val="00bf3df2"/>
    <w:rPr>
      <w:sz w:val="20"/>
      <w:szCs w:val="20"/>
    </w:rPr>
  </w:style>
  <w:style w:type="character" w:styleId="KomentarotemaDiagrama" w:customStyle="1">
    <w:name w:val="Komentaro tema Diagrama"/>
    <w:basedOn w:val="KomentarotekstasDiagrama"/>
    <w:link w:val="Annotationsubject"/>
    <w:uiPriority w:val="99"/>
    <w:semiHidden/>
    <w:qFormat/>
    <w:rsid w:val="00bf3df2"/>
    <w:rPr>
      <w:b/>
      <w:bCs/>
      <w:sz w:val="20"/>
      <w:szCs w:val="20"/>
    </w:rPr>
  </w:style>
  <w:style w:type="character" w:styleId="Linenumber1">
    <w:name w:val="line number1"/>
    <w:qFormat/>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Paragraph" w:customStyle="1">
    <w:name w:val="paragraph"/>
    <w:basedOn w:val="Normal"/>
    <w:uiPriority w:val="1"/>
    <w:qFormat/>
    <w:rsid w:val="36a8ce36"/>
    <w:pPr>
      <w:spacing w:lineRule="auto" w:line="240" w:beforeAutospacing="1" w:afterAutospacing="1"/>
    </w:pPr>
    <w:rPr>
      <w:lang w:eastAsia="lt-LT"/>
    </w:rPr>
  </w:style>
  <w:style w:type="paragraph" w:styleId="ListParagraph">
    <w:name w:val="List Paragraph"/>
    <w:basedOn w:val="Normal"/>
    <w:uiPriority w:val="34"/>
    <w:qFormat/>
    <w:rsid w:val="36a8ce36"/>
    <w:pPr>
      <w:spacing w:before="0" w:after="160"/>
      <w:ind w:left="720"/>
      <w:contextualSpacing/>
    </w:pPr>
    <w:rPr/>
  </w:style>
  <w:style w:type="paragraph" w:styleId="Revision">
    <w:name w:val="Revision"/>
    <w:uiPriority w:val="99"/>
    <w:semiHidden/>
    <w:qFormat/>
    <w:rsid w:val="00a83d5a"/>
    <w:pPr>
      <w:widowControl/>
      <w:suppressAutoHyphens w:val="true"/>
      <w:bidi w:val="0"/>
      <w:spacing w:before="0" w:after="0"/>
      <w:jc w:val="left"/>
    </w:pPr>
    <w:rPr>
      <w:rFonts w:ascii="Aptos" w:hAnsi="Aptos" w:eastAsia="" w:cs="" w:asciiTheme="minorHAnsi" w:cstheme="minorBidi" w:eastAsiaTheme="minorEastAsia" w:hAnsiTheme="minorHAnsi"/>
      <w:color w:val="auto"/>
      <w:kern w:val="0"/>
      <w:sz w:val="24"/>
      <w:szCs w:val="24"/>
      <w:lang w:val="en-US" w:eastAsia="ja-JP" w:bidi="ar-SA"/>
    </w:rPr>
  </w:style>
  <w:style w:type="paragraph" w:styleId="Annotationtext">
    <w:name w:val="annotation text"/>
    <w:basedOn w:val="Normal"/>
    <w:link w:val="KomentarotekstasDiagrama"/>
    <w:uiPriority w:val="99"/>
    <w:unhideWhenUsed/>
    <w:qFormat/>
    <w:rsid w:val="00bf3df2"/>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bf3df2"/>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it.ly/3Gu2C7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43eccf01d11c63691f6e7f77e49816c8">
  <xsd:schema xmlns:xsd="http://www.w3.org/2001/XMLSchema" xmlns:xs="http://www.w3.org/2001/XMLSchema" xmlns:p="http://schemas.microsoft.com/office/2006/metadata/properties" xmlns:ns2="d1b24185-aeae-4433-b70e-7616315af5c2" targetNamespace="http://schemas.microsoft.com/office/2006/metadata/properties" ma:root="true" ma:fieldsID="b736eeae536d03ea127389d8abd1d025"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8F57B-B145-413A-905B-BFE613CC5B32}">
  <ds:schemaRefs>
    <ds:schemaRef ds:uri="http://schemas.microsoft.com/sharepoint/v3/contenttype/forms"/>
  </ds:schemaRefs>
</ds:datastoreItem>
</file>

<file path=customXml/itemProps2.xml><?xml version="1.0" encoding="utf-8"?>
<ds:datastoreItem xmlns:ds="http://schemas.openxmlformats.org/officeDocument/2006/customXml" ds:itemID="{E3DFA8DC-E48A-4E68-8AA7-71177D1D77A5}">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11363693-80DC-4246-BF59-34E19932CC6B}"/>
</file>

<file path=docProps/app.xml><?xml version="1.0" encoding="utf-8"?>
<Properties xmlns="http://schemas.openxmlformats.org/officeDocument/2006/extended-properties" xmlns:vt="http://schemas.openxmlformats.org/officeDocument/2006/docPropsVTypes">
  <Template>Normal.dotm</Template>
  <TotalTime>11</TotalTime>
  <Application>LibreOffice/7.6.4.1$Windows_X86_64 LibreOffice_project/e19e193f88cd6c0525a17fb7a176ed8e6a3e2aa1</Application>
  <AppVersion>15.0000</AppVersion>
  <Pages>7</Pages>
  <Words>1807</Words>
  <Characters>12238</Characters>
  <CharactersWithSpaces>13970</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2025-11-10T07:52:00Z</dcterms:created>
  <dc:creator>Tomas Knabikas</dc:creator>
  <dc:description/>
  <dc:language>en-US</dc:language>
  <cp:lastModifiedBy/>
  <dcterms:modified xsi:type="dcterms:W3CDTF">2026-01-09T12:08:44Z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