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932A9B" w:rsidP="00B50198">
      <w:pPr>
        <w:jc w:val="center"/>
        <w:rPr>
          <w:rFonts w:asciiTheme="majorHAnsi" w:hAnsiTheme="majorHAnsi"/>
          <w:b/>
          <w:bCs/>
          <w:sz w:val="22"/>
          <w:szCs w:val="22"/>
          <w:lang w:val="lt-LT"/>
        </w:rPr>
      </w:pPr>
      <w:r>
        <w:rPr>
          <w:rFonts w:asciiTheme="majorHAnsi" w:hAnsiTheme="majorHAnsi"/>
          <w:b/>
          <w:bCs/>
          <w:sz w:val="22"/>
          <w:szCs w:val="22"/>
          <w:lang w:val="lt-LT"/>
        </w:rPr>
        <w:t>DEXA ĮRANGA</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932A9B">
        <w:rPr>
          <w:rFonts w:asciiTheme="majorHAnsi" w:hAnsiTheme="majorHAnsi"/>
          <w:b/>
          <w:bCs/>
          <w:color w:val="4F81BD" w:themeColor="accent1"/>
          <w:sz w:val="22"/>
          <w:szCs w:val="22"/>
          <w:lang w:val="lt-LT"/>
        </w:rPr>
        <w:t>DEXA įrangą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932A9B">
        <w:rPr>
          <w:rFonts w:asciiTheme="majorHAnsi" w:hAnsiTheme="majorHAnsi"/>
          <w:b/>
          <w:bCs/>
          <w:color w:val="4F81BD" w:themeColor="accent1"/>
          <w:sz w:val="22"/>
          <w:szCs w:val="22"/>
          <w:lang w:val="lt-LT"/>
        </w:rPr>
        <w:t>DEXA įranga</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932A9B">
        <w:rPr>
          <w:rFonts w:asciiTheme="majorHAnsi" w:hAnsiTheme="majorHAnsi"/>
          <w:b/>
          <w:sz w:val="22"/>
          <w:szCs w:val="22"/>
        </w:rPr>
        <w:t>100.000,00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932A9B">
        <w:rPr>
          <w:rFonts w:ascii="Cambria" w:hAnsi="Cambria" w:cstheme="minorHAnsi"/>
          <w:i/>
          <w:noProof/>
          <w:color w:val="4F81BD" w:themeColor="accent1"/>
          <w:sz w:val="22"/>
          <w:szCs w:val="22"/>
        </w:rPr>
        <w:t>DEXA įrangos</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932A9B">
        <w:rPr>
          <w:rFonts w:ascii="Cambria" w:hAnsi="Cambria" w:cs="Calibri"/>
          <w:noProof/>
          <w:color w:val="4F81BD" w:themeColor="accent1"/>
          <w:sz w:val="22"/>
          <w:szCs w:val="22"/>
          <w:shd w:val="clear" w:color="auto" w:fill="FFFFFF"/>
        </w:rPr>
        <w:t>5943437</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9A4C2A"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sidRPr="00F05CFE">
        <w:rPr>
          <w:rFonts w:ascii="Cambria" w:hAnsi="Cambria"/>
        </w:rPr>
        <w:t xml:space="preserve">perkamas </w:t>
      </w:r>
      <w:r w:rsidR="00932A9B">
        <w:rPr>
          <w:rFonts w:ascii="Cambria" w:hAnsi="Cambria"/>
        </w:rPr>
        <w:t xml:space="preserve">1 prekės komplektas, kurio sudedamosios dalys turi </w:t>
      </w:r>
      <w:r w:rsidR="009A4C2A" w:rsidRPr="009A4C2A">
        <w:rPr>
          <w:rFonts w:ascii="Cambria" w:hAnsi="Cambria"/>
        </w:rPr>
        <w:t>tarpusavyje techniškai der</w:t>
      </w:r>
      <w:r w:rsidR="00932A9B">
        <w:rPr>
          <w:rFonts w:ascii="Cambria" w:hAnsi="Cambria"/>
        </w:rPr>
        <w:t>ėti</w:t>
      </w:r>
      <w:r w:rsidR="00E030E5" w:rsidRPr="009A4C2A">
        <w:rPr>
          <w:rFonts w:ascii="Cambria" w:hAnsi="Cambria"/>
          <w:bCs/>
          <w:noProof/>
        </w:rPr>
        <w:t>.</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041873"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041873"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041873"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041873"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041873"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0343FF">
        <w:rPr>
          <w:rFonts w:asciiTheme="majorHAnsi" w:hAnsiTheme="majorHAnsi" w:cs="Times New Roman"/>
          <w:color w:val="auto"/>
        </w:rPr>
        <w:t xml:space="preserve">5.4. </w:t>
      </w:r>
      <w:r w:rsidRPr="000343FF">
        <w:rPr>
          <w:rFonts w:asciiTheme="majorHAnsi" w:hAnsiTheme="majorHAnsi" w:cs="Times New Roman"/>
          <w:iCs/>
          <w:color w:val="auto"/>
        </w:rPr>
        <w:t xml:space="preserve">Pasiūlymas turi būti pateiktas iki </w:t>
      </w:r>
      <w:r w:rsidR="00AA5E63" w:rsidRPr="000343FF">
        <w:rPr>
          <w:rFonts w:asciiTheme="majorHAnsi" w:hAnsiTheme="majorHAnsi" w:cs="Times New Roman"/>
          <w:b/>
          <w:iCs/>
          <w:color w:val="548DD4" w:themeColor="text2" w:themeTint="99"/>
        </w:rPr>
        <w:t>202</w:t>
      </w:r>
      <w:r w:rsidR="00716026" w:rsidRPr="000343FF">
        <w:rPr>
          <w:rFonts w:asciiTheme="majorHAnsi" w:hAnsiTheme="majorHAnsi" w:cs="Times New Roman"/>
          <w:b/>
          <w:iCs/>
          <w:color w:val="548DD4" w:themeColor="text2" w:themeTint="99"/>
        </w:rPr>
        <w:t>6</w:t>
      </w:r>
      <w:r w:rsidRPr="000343FF">
        <w:rPr>
          <w:rFonts w:asciiTheme="majorHAnsi" w:hAnsiTheme="majorHAnsi" w:cs="Times New Roman"/>
          <w:b/>
          <w:iCs/>
          <w:color w:val="548DD4" w:themeColor="text2" w:themeTint="99"/>
        </w:rPr>
        <w:t xml:space="preserve"> m. </w:t>
      </w:r>
      <w:r w:rsidR="00CB5C6F" w:rsidRPr="000343FF">
        <w:rPr>
          <w:rFonts w:asciiTheme="majorHAnsi" w:hAnsiTheme="majorHAnsi" w:cs="Times New Roman"/>
          <w:b/>
          <w:iCs/>
          <w:color w:val="548DD4" w:themeColor="text2" w:themeTint="99"/>
        </w:rPr>
        <w:t xml:space="preserve">vasario </w:t>
      </w:r>
      <w:r w:rsidR="000343FF" w:rsidRPr="000343FF">
        <w:rPr>
          <w:rFonts w:asciiTheme="majorHAnsi" w:hAnsiTheme="majorHAnsi" w:cs="Times New Roman"/>
          <w:b/>
          <w:iCs/>
          <w:color w:val="548DD4" w:themeColor="text2" w:themeTint="99"/>
        </w:rPr>
        <w:t>17</w:t>
      </w:r>
      <w:r w:rsidR="00F21792" w:rsidRPr="000343FF">
        <w:rPr>
          <w:rFonts w:asciiTheme="majorHAnsi" w:hAnsiTheme="majorHAnsi" w:cs="Times New Roman"/>
          <w:b/>
          <w:iCs/>
          <w:color w:val="548DD4" w:themeColor="text2" w:themeTint="99"/>
        </w:rPr>
        <w:t xml:space="preserve"> </w:t>
      </w:r>
      <w:r w:rsidRPr="000343FF">
        <w:rPr>
          <w:rFonts w:asciiTheme="majorHAnsi" w:hAnsiTheme="majorHAnsi" w:cs="Times New Roman"/>
          <w:b/>
          <w:iCs/>
          <w:color w:val="548DD4" w:themeColor="text2" w:themeTint="99"/>
        </w:rPr>
        <w:t>d.</w:t>
      </w:r>
      <w:r w:rsidR="00E958C2" w:rsidRPr="000343FF">
        <w:rPr>
          <w:rFonts w:asciiTheme="majorHAnsi" w:hAnsiTheme="majorHAnsi" w:cs="Times New Roman"/>
          <w:b/>
          <w:iCs/>
          <w:color w:val="548DD4" w:themeColor="text2" w:themeTint="99"/>
        </w:rPr>
        <w:t xml:space="preserve"> 0</w:t>
      </w:r>
      <w:r w:rsidR="00F21792" w:rsidRPr="000343FF">
        <w:rPr>
          <w:rFonts w:asciiTheme="majorHAnsi" w:hAnsiTheme="majorHAnsi" w:cs="Times New Roman"/>
          <w:b/>
          <w:iCs/>
          <w:color w:val="548DD4" w:themeColor="text2" w:themeTint="99"/>
        </w:rPr>
        <w:t>8</w:t>
      </w:r>
      <w:r w:rsidR="005823A0" w:rsidRPr="000343FF">
        <w:rPr>
          <w:rFonts w:asciiTheme="majorHAnsi" w:hAnsiTheme="majorHAnsi" w:cs="Times New Roman"/>
          <w:b/>
          <w:iCs/>
          <w:color w:val="548DD4" w:themeColor="text2" w:themeTint="99"/>
        </w:rPr>
        <w:t xml:space="preserve"> val. </w:t>
      </w:r>
      <w:r w:rsidR="000343FF" w:rsidRPr="000343FF">
        <w:rPr>
          <w:rFonts w:asciiTheme="majorHAnsi" w:hAnsiTheme="majorHAnsi" w:cs="Times New Roman"/>
          <w:b/>
          <w:iCs/>
          <w:color w:val="548DD4" w:themeColor="text2" w:themeTint="99"/>
        </w:rPr>
        <w:t>00</w:t>
      </w:r>
      <w:r w:rsidRPr="000343FF">
        <w:rPr>
          <w:rFonts w:asciiTheme="majorHAnsi" w:hAnsiTheme="majorHAnsi" w:cs="Times New Roman"/>
          <w:b/>
          <w:iCs/>
          <w:color w:val="548DD4" w:themeColor="text2" w:themeTint="99"/>
        </w:rPr>
        <w:t xml:space="preserve"> min.</w:t>
      </w:r>
      <w:r w:rsidRPr="000343FF">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0343FF">
        <w:rPr>
          <w:rFonts w:asciiTheme="majorHAnsi" w:hAnsiTheme="majorHAnsi" w:cs="Times New Roman"/>
          <w:lang w:val="it-IT"/>
        </w:rPr>
        <w:t xml:space="preserve">trumpiau </w:t>
      </w:r>
      <w:r w:rsidRPr="000343FF">
        <w:rPr>
          <w:rFonts w:asciiTheme="majorHAnsi" w:hAnsiTheme="majorHAnsi" w:cs="Times New Roman"/>
          <w:lang w:val="lt-LT"/>
        </w:rPr>
        <w:t xml:space="preserve">kaip iki </w:t>
      </w:r>
      <w:r w:rsidR="00AF145C" w:rsidRPr="000343FF">
        <w:rPr>
          <w:rFonts w:asciiTheme="majorHAnsi" w:hAnsiTheme="majorHAnsi" w:cs="Times New Roman"/>
          <w:b/>
          <w:color w:val="548DD4" w:themeColor="text2" w:themeTint="99"/>
          <w:lang w:val="lt-LT"/>
        </w:rPr>
        <w:t>202</w:t>
      </w:r>
      <w:r w:rsidR="00692844" w:rsidRPr="000343FF">
        <w:rPr>
          <w:rFonts w:asciiTheme="majorHAnsi" w:hAnsiTheme="majorHAnsi" w:cs="Times New Roman"/>
          <w:b/>
          <w:color w:val="548DD4" w:themeColor="text2" w:themeTint="99"/>
          <w:lang w:val="lt-LT"/>
        </w:rPr>
        <w:t>6-</w:t>
      </w:r>
      <w:r w:rsidR="005B2F3E" w:rsidRPr="000343FF">
        <w:rPr>
          <w:rFonts w:asciiTheme="majorHAnsi" w:hAnsiTheme="majorHAnsi" w:cs="Times New Roman"/>
          <w:b/>
          <w:color w:val="548DD4" w:themeColor="text2" w:themeTint="99"/>
          <w:lang w:val="lt-LT"/>
        </w:rPr>
        <w:t>0</w:t>
      </w:r>
      <w:r w:rsidR="00CB5C6F" w:rsidRPr="000343FF">
        <w:rPr>
          <w:rFonts w:asciiTheme="majorHAnsi" w:hAnsiTheme="majorHAnsi" w:cs="Times New Roman"/>
          <w:b/>
          <w:color w:val="548DD4" w:themeColor="text2" w:themeTint="99"/>
          <w:lang w:val="lt-LT"/>
        </w:rPr>
        <w:t>6-</w:t>
      </w:r>
      <w:r w:rsidR="000343FF" w:rsidRPr="000343FF">
        <w:rPr>
          <w:rFonts w:asciiTheme="majorHAnsi" w:hAnsiTheme="majorHAnsi" w:cs="Times New Roman"/>
          <w:b/>
          <w:color w:val="548DD4" w:themeColor="text2" w:themeTint="99"/>
          <w:lang w:val="lt-LT"/>
        </w:rPr>
        <w:t>17</w:t>
      </w:r>
      <w:r w:rsidR="00805DD4" w:rsidRPr="000343FF">
        <w:rPr>
          <w:rFonts w:asciiTheme="majorHAnsi" w:hAnsiTheme="majorHAnsi" w:cs="Times New Roman"/>
          <w:b/>
          <w:color w:val="548DD4" w:themeColor="text2" w:themeTint="99"/>
          <w:lang w:val="lt-LT"/>
        </w:rPr>
        <w:t>.</w:t>
      </w:r>
      <w:r w:rsidRPr="000343FF">
        <w:rPr>
          <w:rFonts w:asciiTheme="majorHAnsi" w:hAnsiTheme="majorHAnsi" w:cs="Times New Roman"/>
          <w:lang w:val="pt-PT"/>
        </w:rPr>
        <w:t xml:space="preserve"> Jeigu pasi</w:t>
      </w:r>
      <w:r w:rsidRPr="000343FF">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CB5C6F">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Pr>
          <w:rFonts w:asciiTheme="majorHAnsi" w:hAnsiTheme="majorHAnsi"/>
          <w:b/>
          <w:sz w:val="22"/>
          <w:szCs w:val="22"/>
          <w:lang w:val="lt-LT"/>
        </w:rPr>
        <w:t>9</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CB5C6F" w:rsidRPr="00BA5FC8">
        <w:rPr>
          <w:rFonts w:asciiTheme="majorHAnsi" w:hAnsiTheme="majorHAnsi"/>
          <w:b/>
          <w:sz w:val="22"/>
          <w:szCs w:val="22"/>
        </w:rPr>
        <w:t>(</w:t>
      </w:r>
      <w:r w:rsidR="00CB5C6F" w:rsidRPr="00BA5FC8">
        <w:rPr>
          <w:rFonts w:asciiTheme="majorHAnsi" w:eastAsia="Times New Roman" w:hAnsiTheme="majorHAnsi"/>
          <w:b/>
          <w:noProof/>
          <w:color w:val="000000"/>
          <w:sz w:val="22"/>
          <w:szCs w:val="22"/>
        </w:rPr>
        <w:t>katalogus, prospektus ar kitą informaciją su visų siūlomų prekių iliustracijomis bei aprašymais</w:t>
      </w:r>
      <w:r w:rsidR="00CB5C6F" w:rsidRPr="00BA5FC8">
        <w:rPr>
          <w:rFonts w:asciiTheme="majorHAnsi" w:hAnsiTheme="majorHAnsi"/>
          <w:b/>
          <w:sz w:val="22"/>
          <w:szCs w:val="22"/>
        </w:rPr>
        <w:t>)</w:t>
      </w:r>
      <w:r w:rsidR="00CB5C6F">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A30983">
        <w:rPr>
          <w:rFonts w:asciiTheme="majorHAnsi" w:hAnsiTheme="majorHAnsi"/>
          <w:iCs/>
          <w:lang w:val="lt-LT"/>
        </w:rPr>
        <w:t>0</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A3098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w:t>
      </w:r>
      <w:r w:rsidRPr="003714C3">
        <w:rPr>
          <w:rFonts w:asciiTheme="majorHAnsi" w:hAnsiTheme="majorHAnsi"/>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A803B4" w:rsidRPr="003714C3" w:rsidRDefault="00B50198" w:rsidP="00CB5C6F">
      <w:pPr>
        <w:pStyle w:val="Body2"/>
        <w:jc w:val="center"/>
        <w:rPr>
          <w:rFonts w:asciiTheme="majorHAnsi" w:hAnsiTheme="majorHAnsi" w:cs="Times New Roman"/>
          <w:b/>
          <w:bCs/>
          <w:color w:val="auto"/>
        </w:rPr>
      </w:pPr>
      <w:r w:rsidRPr="003714C3">
        <w:rPr>
          <w:rFonts w:asciiTheme="majorHAnsi" w:hAnsiTheme="majorHAnsi" w:cs="Times New Roman"/>
          <w:b/>
          <w:bCs/>
          <w:color w:val="auto"/>
        </w:rPr>
        <w:lastRenderedPageBreak/>
        <w:t>8. PAVYZDŽIŲ PATEIKIMAS</w:t>
      </w:r>
    </w:p>
    <w:p w:rsidR="00A803B4" w:rsidRPr="00DB0B7E" w:rsidRDefault="00A803B4" w:rsidP="00CB5C6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B5C6F">
        <w:rPr>
          <w:rFonts w:asciiTheme="majorHAnsi" w:hAnsiTheme="majorHAnsi" w:cs="Times New Roman"/>
          <w:color w:val="auto"/>
          <w:lang w:val="lt-LT"/>
        </w:rPr>
        <w:t>Netaikoma</w:t>
      </w:r>
      <w:r w:rsidRPr="00DB0B7E">
        <w:rPr>
          <w:rFonts w:asciiTheme="majorHAnsi" w:hAnsiTheme="majorHAnsi" w:cs="Times New Roman"/>
          <w:color w:val="auto"/>
        </w:rPr>
        <w:t>.</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0343FF">
        <w:rPr>
          <w:rFonts w:asciiTheme="majorHAnsi" w:hAnsiTheme="majorHAnsi"/>
          <w:b/>
          <w:iCs/>
          <w:color w:val="548DD4" w:themeColor="text2" w:themeTint="99"/>
          <w:sz w:val="22"/>
          <w:szCs w:val="22"/>
        </w:rPr>
        <w:t>202</w:t>
      </w:r>
      <w:r w:rsidR="00885E22" w:rsidRPr="000343FF">
        <w:rPr>
          <w:rFonts w:asciiTheme="majorHAnsi" w:hAnsiTheme="majorHAnsi"/>
          <w:b/>
          <w:iCs/>
          <w:color w:val="548DD4" w:themeColor="text2" w:themeTint="99"/>
          <w:sz w:val="22"/>
          <w:szCs w:val="22"/>
        </w:rPr>
        <w:t>6</w:t>
      </w:r>
      <w:r w:rsidRPr="000343FF">
        <w:rPr>
          <w:rFonts w:asciiTheme="majorHAnsi" w:hAnsiTheme="majorHAnsi"/>
          <w:b/>
          <w:iCs/>
          <w:color w:val="548DD4" w:themeColor="text2" w:themeTint="99"/>
          <w:sz w:val="22"/>
          <w:szCs w:val="22"/>
        </w:rPr>
        <w:t xml:space="preserve"> m.</w:t>
      </w:r>
      <w:r w:rsidR="00BE67E8" w:rsidRPr="000343FF">
        <w:rPr>
          <w:rFonts w:asciiTheme="majorHAnsi" w:hAnsiTheme="majorHAnsi"/>
          <w:b/>
          <w:iCs/>
          <w:color w:val="548DD4" w:themeColor="text2" w:themeTint="99"/>
          <w:sz w:val="22"/>
          <w:szCs w:val="22"/>
        </w:rPr>
        <w:t xml:space="preserve"> </w:t>
      </w:r>
      <w:r w:rsidR="00CB5C6F" w:rsidRPr="000343FF">
        <w:rPr>
          <w:rFonts w:asciiTheme="majorHAnsi" w:hAnsiTheme="majorHAnsi"/>
          <w:b/>
          <w:iCs/>
          <w:color w:val="548DD4" w:themeColor="text2" w:themeTint="99"/>
          <w:sz w:val="22"/>
          <w:szCs w:val="22"/>
        </w:rPr>
        <w:t xml:space="preserve">vasario </w:t>
      </w:r>
      <w:r w:rsidR="000343FF" w:rsidRPr="000343FF">
        <w:rPr>
          <w:rFonts w:asciiTheme="majorHAnsi" w:hAnsiTheme="majorHAnsi"/>
          <w:b/>
          <w:iCs/>
          <w:color w:val="548DD4" w:themeColor="text2" w:themeTint="99"/>
          <w:sz w:val="22"/>
          <w:szCs w:val="22"/>
        </w:rPr>
        <w:t>17</w:t>
      </w:r>
      <w:r w:rsidR="002B1E54" w:rsidRPr="000343FF">
        <w:rPr>
          <w:rFonts w:asciiTheme="majorHAnsi" w:hAnsiTheme="majorHAnsi"/>
          <w:b/>
          <w:iCs/>
          <w:color w:val="548DD4" w:themeColor="text2" w:themeTint="99"/>
          <w:sz w:val="22"/>
          <w:szCs w:val="22"/>
        </w:rPr>
        <w:t xml:space="preserve"> </w:t>
      </w:r>
      <w:r w:rsidR="00E958C2" w:rsidRPr="000343FF">
        <w:rPr>
          <w:rFonts w:asciiTheme="majorHAnsi" w:hAnsiTheme="majorHAnsi"/>
          <w:b/>
          <w:iCs/>
          <w:color w:val="548DD4" w:themeColor="text2" w:themeTint="99"/>
          <w:sz w:val="22"/>
          <w:szCs w:val="22"/>
        </w:rPr>
        <w:t>d. 0</w:t>
      </w:r>
      <w:r w:rsidR="00F21792" w:rsidRPr="000343FF">
        <w:rPr>
          <w:rFonts w:asciiTheme="majorHAnsi" w:hAnsiTheme="majorHAnsi"/>
          <w:b/>
          <w:iCs/>
          <w:color w:val="548DD4" w:themeColor="text2" w:themeTint="99"/>
          <w:sz w:val="22"/>
          <w:szCs w:val="22"/>
        </w:rPr>
        <w:t>8</w:t>
      </w:r>
      <w:r w:rsidR="005823A0" w:rsidRPr="000343FF">
        <w:rPr>
          <w:rFonts w:asciiTheme="majorHAnsi" w:hAnsiTheme="majorHAnsi"/>
          <w:b/>
          <w:iCs/>
          <w:color w:val="548DD4" w:themeColor="text2" w:themeTint="99"/>
          <w:sz w:val="22"/>
          <w:szCs w:val="22"/>
        </w:rPr>
        <w:t xml:space="preserve"> val. </w:t>
      </w:r>
      <w:r w:rsidR="000343FF" w:rsidRPr="000343FF">
        <w:rPr>
          <w:rFonts w:asciiTheme="majorHAnsi" w:hAnsiTheme="majorHAnsi"/>
          <w:b/>
          <w:iCs/>
          <w:color w:val="548DD4" w:themeColor="text2" w:themeTint="99"/>
          <w:sz w:val="22"/>
          <w:szCs w:val="22"/>
        </w:rPr>
        <w:t>30</w:t>
      </w:r>
      <w:r w:rsidRPr="000343FF">
        <w:rPr>
          <w:rFonts w:asciiTheme="majorHAnsi" w:hAnsiTheme="majorHAnsi"/>
          <w:b/>
          <w:iCs/>
          <w:color w:val="548DD4" w:themeColor="text2" w:themeTint="99"/>
          <w:sz w:val="22"/>
          <w:szCs w:val="22"/>
        </w:rPr>
        <w:t xml:space="preserve"> min</w:t>
      </w:r>
      <w:r w:rsidRPr="000343FF">
        <w:rPr>
          <w:rFonts w:asciiTheme="majorHAnsi" w:hAnsiTheme="majorHAnsi"/>
          <w:b/>
          <w:iCs/>
          <w:sz w:val="22"/>
          <w:szCs w:val="22"/>
        </w:rPr>
        <w:t>.</w:t>
      </w:r>
      <w:r w:rsidRPr="000343FF">
        <w:rPr>
          <w:rFonts w:asciiTheme="majorHAnsi" w:hAnsiTheme="majorHAnsi"/>
          <w:iCs/>
          <w:sz w:val="22"/>
          <w:szCs w:val="22"/>
        </w:rPr>
        <w:t xml:space="preserve"> </w:t>
      </w:r>
      <w:r w:rsidRPr="000343FF">
        <w:rPr>
          <w:rFonts w:asciiTheme="majorHAnsi" w:hAnsiTheme="majorHAnsi"/>
          <w:iCs/>
          <w:sz w:val="22"/>
          <w:szCs w:val="22"/>
          <w:u w:val="single"/>
        </w:rPr>
        <w:t xml:space="preserve">Jei pasiūlymas teikiamas šifruotas, slaptažodis turi būti pateiktas </w:t>
      </w:r>
      <w:r w:rsidR="009B3BF7" w:rsidRPr="000343FF">
        <w:rPr>
          <w:rFonts w:asciiTheme="majorHAnsi" w:hAnsiTheme="majorHAnsi"/>
          <w:b/>
          <w:iCs/>
          <w:color w:val="548DD4" w:themeColor="text2" w:themeTint="99"/>
          <w:sz w:val="22"/>
          <w:szCs w:val="22"/>
          <w:u w:val="single"/>
        </w:rPr>
        <w:t>202</w:t>
      </w:r>
      <w:r w:rsidR="00885E22" w:rsidRPr="000343FF">
        <w:rPr>
          <w:rFonts w:asciiTheme="majorHAnsi" w:hAnsiTheme="majorHAnsi"/>
          <w:b/>
          <w:iCs/>
          <w:color w:val="548DD4" w:themeColor="text2" w:themeTint="99"/>
          <w:sz w:val="22"/>
          <w:szCs w:val="22"/>
          <w:u w:val="single"/>
        </w:rPr>
        <w:t>6</w:t>
      </w:r>
      <w:r w:rsidR="005A189F" w:rsidRPr="000343FF">
        <w:rPr>
          <w:rFonts w:asciiTheme="majorHAnsi" w:hAnsiTheme="majorHAnsi"/>
          <w:b/>
          <w:iCs/>
          <w:color w:val="548DD4" w:themeColor="text2" w:themeTint="99"/>
          <w:sz w:val="22"/>
          <w:szCs w:val="22"/>
          <w:u w:val="single"/>
        </w:rPr>
        <w:t xml:space="preserve"> m. </w:t>
      </w:r>
      <w:r w:rsidR="00CB5C6F" w:rsidRPr="000343FF">
        <w:rPr>
          <w:rFonts w:asciiTheme="majorHAnsi" w:hAnsiTheme="majorHAnsi"/>
          <w:b/>
          <w:iCs/>
          <w:color w:val="548DD4" w:themeColor="text2" w:themeTint="99"/>
          <w:sz w:val="22"/>
          <w:szCs w:val="22"/>
          <w:u w:val="single"/>
        </w:rPr>
        <w:t xml:space="preserve">vasario </w:t>
      </w:r>
      <w:r w:rsidR="000343FF" w:rsidRPr="000343FF">
        <w:rPr>
          <w:rFonts w:asciiTheme="majorHAnsi" w:hAnsiTheme="majorHAnsi"/>
          <w:b/>
          <w:iCs/>
          <w:color w:val="548DD4" w:themeColor="text2" w:themeTint="99"/>
          <w:sz w:val="22"/>
          <w:szCs w:val="22"/>
          <w:u w:val="single"/>
        </w:rPr>
        <w:t>17</w:t>
      </w:r>
      <w:r w:rsidR="00F21792" w:rsidRPr="000343FF">
        <w:rPr>
          <w:rFonts w:asciiTheme="majorHAnsi" w:hAnsiTheme="majorHAnsi"/>
          <w:b/>
          <w:iCs/>
          <w:color w:val="548DD4" w:themeColor="text2" w:themeTint="99"/>
          <w:sz w:val="22"/>
          <w:szCs w:val="22"/>
          <w:u w:val="single"/>
        </w:rPr>
        <w:t xml:space="preserve"> </w:t>
      </w:r>
      <w:r w:rsidRPr="000343FF">
        <w:rPr>
          <w:rFonts w:asciiTheme="majorHAnsi" w:hAnsiTheme="majorHAnsi"/>
          <w:b/>
          <w:iCs/>
          <w:color w:val="548DD4" w:themeColor="text2" w:themeTint="99"/>
          <w:sz w:val="22"/>
          <w:szCs w:val="22"/>
          <w:u w:val="single"/>
        </w:rPr>
        <w:t>d.</w:t>
      </w:r>
      <w:r w:rsidRPr="000343FF">
        <w:rPr>
          <w:rFonts w:asciiTheme="majorHAnsi" w:hAnsiTheme="majorHAnsi"/>
          <w:iCs/>
          <w:color w:val="548DD4" w:themeColor="text2" w:themeTint="99"/>
          <w:sz w:val="22"/>
          <w:szCs w:val="22"/>
          <w:u w:val="single"/>
        </w:rPr>
        <w:t xml:space="preserve"> intervale </w:t>
      </w:r>
      <w:r w:rsidR="00E958C2" w:rsidRPr="000343FF">
        <w:rPr>
          <w:rFonts w:asciiTheme="majorHAnsi" w:hAnsiTheme="majorHAnsi"/>
          <w:b/>
          <w:iCs/>
          <w:color w:val="548DD4" w:themeColor="text2" w:themeTint="99"/>
          <w:sz w:val="22"/>
          <w:szCs w:val="22"/>
          <w:u w:val="single"/>
        </w:rPr>
        <w:t>0</w:t>
      </w:r>
      <w:r w:rsidR="00F21792" w:rsidRPr="000343FF">
        <w:rPr>
          <w:rFonts w:asciiTheme="majorHAnsi" w:hAnsiTheme="majorHAnsi"/>
          <w:b/>
          <w:iCs/>
          <w:color w:val="548DD4" w:themeColor="text2" w:themeTint="99"/>
          <w:sz w:val="22"/>
          <w:szCs w:val="22"/>
          <w:u w:val="single"/>
        </w:rPr>
        <w:t>8</w:t>
      </w:r>
      <w:r w:rsidR="005823A0" w:rsidRPr="000343FF">
        <w:rPr>
          <w:rFonts w:asciiTheme="majorHAnsi" w:hAnsiTheme="majorHAnsi"/>
          <w:b/>
          <w:iCs/>
          <w:color w:val="548DD4" w:themeColor="text2" w:themeTint="99"/>
          <w:sz w:val="22"/>
          <w:szCs w:val="22"/>
          <w:u w:val="single"/>
        </w:rPr>
        <w:t>.</w:t>
      </w:r>
      <w:r w:rsidR="000343FF" w:rsidRPr="000343FF">
        <w:rPr>
          <w:rFonts w:asciiTheme="majorHAnsi" w:hAnsiTheme="majorHAnsi"/>
          <w:b/>
          <w:iCs/>
          <w:color w:val="548DD4" w:themeColor="text2" w:themeTint="99"/>
          <w:sz w:val="22"/>
          <w:szCs w:val="22"/>
          <w:u w:val="single"/>
        </w:rPr>
        <w:t>00</w:t>
      </w:r>
      <w:r w:rsidR="00652BA3" w:rsidRPr="000343FF">
        <w:rPr>
          <w:rFonts w:asciiTheme="majorHAnsi" w:hAnsiTheme="majorHAnsi"/>
          <w:b/>
          <w:iCs/>
          <w:color w:val="548DD4" w:themeColor="text2" w:themeTint="99"/>
          <w:sz w:val="22"/>
          <w:szCs w:val="22"/>
          <w:u w:val="single"/>
        </w:rPr>
        <w:t xml:space="preserve"> –</w:t>
      </w:r>
      <w:r w:rsidR="009B15AA" w:rsidRPr="000343FF">
        <w:rPr>
          <w:rFonts w:asciiTheme="majorHAnsi" w:hAnsiTheme="majorHAnsi"/>
          <w:b/>
          <w:iCs/>
          <w:color w:val="548DD4" w:themeColor="text2" w:themeTint="99"/>
          <w:sz w:val="22"/>
          <w:szCs w:val="22"/>
          <w:u w:val="single"/>
        </w:rPr>
        <w:t xml:space="preserve"> </w:t>
      </w:r>
      <w:r w:rsidR="00E958C2" w:rsidRPr="000343FF">
        <w:rPr>
          <w:rFonts w:asciiTheme="majorHAnsi" w:hAnsiTheme="majorHAnsi"/>
          <w:b/>
          <w:iCs/>
          <w:color w:val="548DD4" w:themeColor="text2" w:themeTint="99"/>
          <w:sz w:val="22"/>
          <w:szCs w:val="22"/>
          <w:u w:val="single"/>
        </w:rPr>
        <w:t>0</w:t>
      </w:r>
      <w:r w:rsidR="00F21792" w:rsidRPr="000343FF">
        <w:rPr>
          <w:rFonts w:asciiTheme="majorHAnsi" w:hAnsiTheme="majorHAnsi"/>
          <w:b/>
          <w:iCs/>
          <w:color w:val="548DD4" w:themeColor="text2" w:themeTint="99"/>
          <w:sz w:val="22"/>
          <w:szCs w:val="22"/>
          <w:u w:val="single"/>
        </w:rPr>
        <w:t>8</w:t>
      </w:r>
      <w:r w:rsidR="005823A0" w:rsidRPr="000343FF">
        <w:rPr>
          <w:rFonts w:asciiTheme="majorHAnsi" w:hAnsiTheme="majorHAnsi"/>
          <w:b/>
          <w:iCs/>
          <w:color w:val="548DD4" w:themeColor="text2" w:themeTint="99"/>
          <w:sz w:val="22"/>
          <w:szCs w:val="22"/>
          <w:u w:val="single"/>
        </w:rPr>
        <w:t>.</w:t>
      </w:r>
      <w:r w:rsidR="000343FF" w:rsidRPr="000343FF">
        <w:rPr>
          <w:rFonts w:asciiTheme="majorHAnsi" w:hAnsiTheme="majorHAnsi"/>
          <w:b/>
          <w:iCs/>
          <w:color w:val="548DD4" w:themeColor="text2" w:themeTint="99"/>
          <w:sz w:val="22"/>
          <w:szCs w:val="22"/>
          <w:u w:val="single"/>
        </w:rPr>
        <w:t>30</w:t>
      </w:r>
      <w:r w:rsidRPr="000343FF">
        <w:rPr>
          <w:rFonts w:asciiTheme="majorHAnsi" w:hAnsiTheme="majorHAnsi"/>
          <w:b/>
          <w:iCs/>
          <w:color w:val="548DD4" w:themeColor="text2" w:themeTint="99"/>
          <w:sz w:val="22"/>
          <w:szCs w:val="22"/>
          <w:u w:val="single"/>
        </w:rPr>
        <w:t xml:space="preserve"> val.</w:t>
      </w:r>
      <w:r w:rsidRPr="000343FF">
        <w:rPr>
          <w:rFonts w:asciiTheme="majorHAnsi" w:hAnsiTheme="majorHAnsi"/>
          <w:b/>
          <w:iCs/>
          <w:sz w:val="22"/>
          <w:szCs w:val="22"/>
          <w:u w:val="single"/>
        </w:rPr>
        <w:t xml:space="preserve"> </w:t>
      </w:r>
      <w:r w:rsidRPr="000343FF">
        <w:rPr>
          <w:rFonts w:asciiTheme="majorHAnsi" w:hAnsiTheme="majorHAnsi"/>
          <w:iCs/>
          <w:sz w:val="22"/>
          <w:szCs w:val="22"/>
          <w:u w:val="single"/>
        </w:rPr>
        <w:t>(žr. 6 skyrių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lastRenderedPageBreak/>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2" w:name="_Toc488306772"/>
      <w:r w:rsidRPr="003714C3">
        <w:rPr>
          <w:rFonts w:asciiTheme="majorHAnsi" w:hAnsiTheme="majorHAnsi"/>
          <w:b/>
          <w:sz w:val="22"/>
        </w:rPr>
        <w:t>ELEKTRONINIS AUKCIONAS</w:t>
      </w:r>
      <w:bookmarkEnd w:id="2"/>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3"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3"/>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lastRenderedPageBreak/>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4" w:name="_Hlk488957884"/>
      <w:r w:rsidRPr="003714C3">
        <w:rPr>
          <w:rFonts w:asciiTheme="majorHAnsi" w:hAnsiTheme="majorHAnsi" w:cs="Times New Roman"/>
        </w:rPr>
        <w:t xml:space="preserve">13.1.9. </w:t>
      </w:r>
      <w:bookmarkEnd w:id="4"/>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5" w:name="_Toc47844937"/>
      <w:bookmarkStart w:id="6" w:name="_Toc60525491"/>
      <w:bookmarkEnd w:id="5"/>
      <w:bookmarkEnd w:id="6"/>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315EF6">
        <w:rPr>
          <w:rFonts w:asciiTheme="majorHAnsi" w:hAnsiTheme="majorHAnsi"/>
          <w:b/>
          <w:highlight w:val="green"/>
        </w:rPr>
        <w:t>100</w:t>
      </w:r>
      <w:r w:rsidR="005D280F">
        <w:rPr>
          <w:rFonts w:asciiTheme="majorHAnsi" w:hAnsiTheme="majorHAnsi"/>
          <w:b/>
          <w:highlight w:val="green"/>
        </w:rPr>
        <w:t>.000,00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1C57BD" w:rsidRDefault="001C57BD" w:rsidP="002C0FC0">
      <w:pPr>
        <w:suppressAutoHyphens/>
        <w:ind w:firstLine="567"/>
        <w:jc w:val="both"/>
        <w:rPr>
          <w:rFonts w:ascii="Cambria" w:eastAsia="Calibri" w:hAnsi="Cambria"/>
          <w:noProof/>
          <w:color w:val="000000" w:themeColor="text1"/>
          <w:sz w:val="22"/>
          <w:szCs w:val="22"/>
          <w:bdr w:val="none" w:sz="0" w:space="0" w:color="auto"/>
          <w:lang w:val="lt-LT"/>
        </w:rPr>
      </w:pPr>
    </w:p>
    <w:p w:rsidR="002C0FC0" w:rsidRDefault="002C0FC0" w:rsidP="002C0FC0">
      <w:pPr>
        <w:suppressAutoHyphens/>
        <w:ind w:firstLine="567"/>
        <w:jc w:val="both"/>
        <w:rPr>
          <w:rFonts w:asciiTheme="majorHAnsi" w:hAnsiTheme="majorHAnsi"/>
          <w:sz w:val="22"/>
          <w:szCs w:val="22"/>
        </w:rPr>
      </w:pPr>
      <w:r w:rsidRPr="002C0FC0">
        <w:rPr>
          <w:rFonts w:asciiTheme="majorHAnsi" w:hAnsiTheme="majorHAnsi"/>
          <w:sz w:val="22"/>
          <w:szCs w:val="22"/>
        </w:rPr>
        <w:t xml:space="preserve">Nustatomas maksimalus bendras balų skaičius – 100 balų. Kriterijų tarpusavio santykis bendrame bale yra nustatomas pagal lyginamuosius svorius: </w:t>
      </w:r>
    </w:p>
    <w:p w:rsidR="001C57BD" w:rsidRPr="002C0FC0" w:rsidRDefault="001C57BD" w:rsidP="002C0FC0">
      <w:pPr>
        <w:suppressAutoHyphens/>
        <w:ind w:firstLine="567"/>
        <w:jc w:val="both"/>
        <w:rPr>
          <w:rFonts w:asciiTheme="majorHAnsi" w:hAnsiTheme="majorHAnsi"/>
          <w:sz w:val="22"/>
          <w:szCs w:val="22"/>
        </w:rPr>
      </w:pPr>
    </w:p>
    <w:p w:rsidR="001C57BD" w:rsidRPr="00197E05" w:rsidRDefault="001C57BD" w:rsidP="001C57BD">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197E05">
        <w:rPr>
          <w:rFonts w:ascii="Cambria" w:eastAsia="Times New Roman" w:hAnsi="Cambria"/>
          <w:noProof/>
          <w:color w:val="000000"/>
          <w:sz w:val="22"/>
          <w:szCs w:val="22"/>
          <w:lang w:val="lt-LT"/>
        </w:rPr>
        <w:t xml:space="preserve">1) kaina (K) – </w:t>
      </w:r>
      <w:r w:rsidRPr="00197E05">
        <w:rPr>
          <w:rFonts w:ascii="Cambria" w:eastAsia="Times New Roman" w:hAnsi="Cambria"/>
          <w:noProof/>
          <w:color w:val="000000" w:themeColor="text1"/>
          <w:sz w:val="22"/>
          <w:szCs w:val="22"/>
          <w:lang w:val="lt-LT"/>
        </w:rPr>
        <w:t>60;</w:t>
      </w:r>
    </w:p>
    <w:p w:rsidR="001C57BD" w:rsidRPr="00197E05" w:rsidRDefault="001C57BD" w:rsidP="001C57BD">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197E05">
        <w:rPr>
          <w:rFonts w:ascii="Cambria" w:eastAsia="Times New Roman" w:hAnsi="Cambria"/>
          <w:noProof/>
          <w:color w:val="000000" w:themeColor="text1"/>
          <w:sz w:val="22"/>
          <w:szCs w:val="22"/>
          <w:lang w:val="lt-LT"/>
        </w:rPr>
        <w:t>2) techniniai pranašumai (T) – 40;</w:t>
      </w:r>
    </w:p>
    <w:p w:rsidR="001C57BD" w:rsidRPr="00197E05" w:rsidRDefault="001C57BD" w:rsidP="001C57BD">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4681"/>
        <w:gridCol w:w="1230"/>
        <w:gridCol w:w="1420"/>
        <w:gridCol w:w="1773"/>
      </w:tblGrid>
      <w:tr w:rsidR="001C57BD" w:rsidRPr="00197E05" w:rsidTr="001C57BD">
        <w:trPr>
          <w:cantSplit/>
          <w:trHeight w:val="20"/>
          <w:tblHeader/>
        </w:trPr>
        <w:tc>
          <w:tcPr>
            <w:tcW w:w="3429" w:type="pct"/>
            <w:gridSpan w:val="3"/>
            <w:shd w:val="clear" w:color="auto" w:fill="FFFFFF"/>
            <w:vAlign w:val="center"/>
          </w:tcPr>
          <w:p w:rsidR="001C57BD" w:rsidRPr="00197E05" w:rsidRDefault="001C57BD" w:rsidP="001F67F4">
            <w:pPr>
              <w:ind w:right="-456" w:firstLine="851"/>
              <w:jc w:val="center"/>
              <w:rPr>
                <w:rFonts w:ascii="Cambria" w:hAnsi="Cambria"/>
                <w:b/>
                <w:noProof/>
                <w:sz w:val="22"/>
                <w:szCs w:val="22"/>
                <w:lang w:val="lt-LT"/>
              </w:rPr>
            </w:pPr>
            <w:r w:rsidRPr="00197E05">
              <w:rPr>
                <w:rFonts w:ascii="Cambria" w:hAnsi="Cambria"/>
                <w:b/>
                <w:noProof/>
                <w:sz w:val="22"/>
                <w:szCs w:val="22"/>
                <w:lang w:val="lt-LT"/>
              </w:rPr>
              <w:t>Vertinimo kriterijai</w:t>
            </w:r>
          </w:p>
        </w:tc>
        <w:tc>
          <w:tcPr>
            <w:tcW w:w="572" w:type="pct"/>
            <w:shd w:val="clear" w:color="auto" w:fill="FFFFFF"/>
            <w:vAlign w:val="center"/>
          </w:tcPr>
          <w:p w:rsidR="001C57BD" w:rsidRPr="00197E05" w:rsidRDefault="001C57BD" w:rsidP="001F67F4">
            <w:pPr>
              <w:jc w:val="center"/>
              <w:rPr>
                <w:rFonts w:ascii="Cambria" w:hAnsi="Cambria"/>
                <w:b/>
                <w:noProof/>
                <w:sz w:val="22"/>
                <w:szCs w:val="22"/>
                <w:lang w:val="lt-LT"/>
              </w:rPr>
            </w:pPr>
            <w:r w:rsidRPr="00197E05">
              <w:rPr>
                <w:rFonts w:ascii="Cambria" w:hAnsi="Cambria"/>
                <w:b/>
                <w:noProof/>
                <w:sz w:val="22"/>
                <w:szCs w:val="22"/>
                <w:lang w:val="lt-LT"/>
              </w:rPr>
              <w:t>Parametro lyginamasis svoris</w:t>
            </w:r>
          </w:p>
        </w:tc>
        <w:tc>
          <w:tcPr>
            <w:tcW w:w="999" w:type="pct"/>
            <w:shd w:val="clear" w:color="auto" w:fill="FFFFFF"/>
            <w:vAlign w:val="center"/>
          </w:tcPr>
          <w:p w:rsidR="001C57BD" w:rsidRPr="00197E05" w:rsidRDefault="001C57BD" w:rsidP="001F67F4">
            <w:pPr>
              <w:jc w:val="center"/>
              <w:rPr>
                <w:rFonts w:ascii="Cambria" w:hAnsi="Cambria"/>
                <w:b/>
                <w:noProof/>
                <w:sz w:val="22"/>
                <w:szCs w:val="22"/>
                <w:lang w:val="lt-LT"/>
              </w:rPr>
            </w:pPr>
            <w:r w:rsidRPr="00197E05">
              <w:rPr>
                <w:rFonts w:ascii="Cambria" w:hAnsi="Cambria"/>
                <w:b/>
                <w:noProof/>
                <w:sz w:val="22"/>
                <w:szCs w:val="22"/>
                <w:lang w:val="lt-LT"/>
              </w:rPr>
              <w:t>Lyginamasis svoris ekonominio naudingumo įvertinime</w:t>
            </w:r>
          </w:p>
        </w:tc>
      </w:tr>
      <w:tr w:rsidR="001C57BD" w:rsidRPr="00197E05" w:rsidTr="001C57BD">
        <w:trPr>
          <w:cantSplit/>
          <w:trHeight w:val="20"/>
        </w:trPr>
        <w:tc>
          <w:tcPr>
            <w:tcW w:w="4001" w:type="pct"/>
            <w:gridSpan w:val="4"/>
            <w:shd w:val="clear" w:color="auto" w:fill="FFFFFF"/>
            <w:vAlign w:val="center"/>
          </w:tcPr>
          <w:p w:rsidR="001C57BD" w:rsidRPr="00197E05" w:rsidRDefault="001C57BD" w:rsidP="001F67F4">
            <w:pPr>
              <w:rPr>
                <w:rFonts w:ascii="Cambria" w:hAnsi="Cambria"/>
                <w:b/>
                <w:noProof/>
                <w:sz w:val="22"/>
                <w:szCs w:val="22"/>
                <w:lang w:val="lt-LT"/>
              </w:rPr>
            </w:pPr>
            <w:r w:rsidRPr="00197E05">
              <w:rPr>
                <w:rFonts w:ascii="Cambria" w:hAnsi="Cambria"/>
                <w:b/>
                <w:noProof/>
                <w:sz w:val="22"/>
                <w:szCs w:val="22"/>
                <w:lang w:val="lt-LT"/>
              </w:rPr>
              <w:t>Kaina (K)</w:t>
            </w:r>
          </w:p>
        </w:tc>
        <w:tc>
          <w:tcPr>
            <w:tcW w:w="999" w:type="pct"/>
            <w:shd w:val="clear" w:color="auto" w:fill="FFFFFF"/>
            <w:vAlign w:val="center"/>
          </w:tcPr>
          <w:p w:rsidR="001C57BD" w:rsidRPr="00197E05" w:rsidRDefault="001C57BD" w:rsidP="001F67F4">
            <w:pPr>
              <w:jc w:val="center"/>
              <w:rPr>
                <w:rFonts w:ascii="Cambria" w:hAnsi="Cambria"/>
                <w:b/>
                <w:noProof/>
                <w:sz w:val="22"/>
                <w:szCs w:val="22"/>
                <w:lang w:val="lt-LT"/>
              </w:rPr>
            </w:pPr>
            <w:r w:rsidRPr="00197E05">
              <w:rPr>
                <w:rFonts w:ascii="Cambria" w:hAnsi="Cambria"/>
                <w:b/>
                <w:noProof/>
                <w:sz w:val="22"/>
                <w:szCs w:val="22"/>
                <w:lang w:val="lt-LT"/>
              </w:rPr>
              <w:t>X=60</w:t>
            </w:r>
          </w:p>
        </w:tc>
      </w:tr>
      <w:tr w:rsidR="001C57BD" w:rsidRPr="00197E05" w:rsidTr="001C57BD">
        <w:trPr>
          <w:cantSplit/>
          <w:trHeight w:val="20"/>
        </w:trPr>
        <w:tc>
          <w:tcPr>
            <w:tcW w:w="4001" w:type="pct"/>
            <w:gridSpan w:val="4"/>
            <w:shd w:val="clear" w:color="auto" w:fill="FFFFFF"/>
            <w:vAlign w:val="center"/>
          </w:tcPr>
          <w:p w:rsidR="001C57BD" w:rsidRPr="00197E05" w:rsidRDefault="001C57BD" w:rsidP="001F67F4">
            <w:pPr>
              <w:ind w:firstLine="34"/>
              <w:rPr>
                <w:rFonts w:ascii="Cambria" w:hAnsi="Cambria"/>
                <w:b/>
                <w:noProof/>
                <w:sz w:val="22"/>
                <w:szCs w:val="22"/>
                <w:lang w:val="lt-LT"/>
              </w:rPr>
            </w:pPr>
            <w:r w:rsidRPr="00197E05">
              <w:rPr>
                <w:rFonts w:ascii="Cambria" w:hAnsi="Cambria"/>
                <w:b/>
                <w:noProof/>
                <w:sz w:val="22"/>
                <w:szCs w:val="22"/>
                <w:lang w:val="lt-LT"/>
              </w:rPr>
              <w:t xml:space="preserve">Funkciniai pranašumai </w:t>
            </w:r>
            <w:r w:rsidRPr="00197E05">
              <w:rPr>
                <w:rFonts w:ascii="Cambria" w:hAnsi="Cambria"/>
                <w:b/>
                <w:noProof/>
                <w:kern w:val="24"/>
                <w:sz w:val="22"/>
                <w:szCs w:val="22"/>
                <w:lang w:val="lt-LT"/>
              </w:rPr>
              <w:t>(T)</w:t>
            </w:r>
          </w:p>
        </w:tc>
        <w:tc>
          <w:tcPr>
            <w:tcW w:w="999" w:type="pct"/>
            <w:shd w:val="clear" w:color="auto" w:fill="FFFFFF"/>
            <w:vAlign w:val="center"/>
          </w:tcPr>
          <w:p w:rsidR="001C57BD" w:rsidRPr="00197E05" w:rsidRDefault="001C57BD" w:rsidP="001F67F4">
            <w:pPr>
              <w:ind w:firstLine="34"/>
              <w:jc w:val="center"/>
              <w:rPr>
                <w:rFonts w:ascii="Cambria" w:hAnsi="Cambria"/>
                <w:b/>
                <w:noProof/>
                <w:sz w:val="22"/>
                <w:szCs w:val="22"/>
                <w:lang w:val="lt-LT"/>
              </w:rPr>
            </w:pPr>
            <w:r w:rsidRPr="00197E05">
              <w:rPr>
                <w:rFonts w:ascii="Cambria" w:hAnsi="Cambria"/>
                <w:b/>
                <w:noProof/>
                <w:sz w:val="22"/>
                <w:szCs w:val="22"/>
                <w:lang w:val="lt-LT"/>
              </w:rPr>
              <w:t>Y=40</w:t>
            </w:r>
          </w:p>
        </w:tc>
      </w:tr>
      <w:tr w:rsidR="001C57BD" w:rsidRPr="00197E05" w:rsidTr="001C57BD">
        <w:trPr>
          <w:trHeight w:val="20"/>
        </w:trPr>
        <w:tc>
          <w:tcPr>
            <w:tcW w:w="335" w:type="pct"/>
            <w:shd w:val="clear" w:color="auto" w:fill="FFFFFF"/>
            <w:vAlign w:val="center"/>
          </w:tcPr>
          <w:p w:rsidR="001C57BD" w:rsidRPr="00197E05" w:rsidRDefault="001C57BD" w:rsidP="001F67F4">
            <w:pPr>
              <w:ind w:left="-851" w:firstLine="851"/>
              <w:jc w:val="center"/>
              <w:rPr>
                <w:rFonts w:ascii="Cambria" w:hAnsi="Cambria"/>
                <w:b/>
                <w:noProof/>
                <w:sz w:val="22"/>
                <w:szCs w:val="22"/>
                <w:lang w:val="lt-LT"/>
              </w:rPr>
            </w:pPr>
            <w:r w:rsidRPr="00197E05">
              <w:rPr>
                <w:rFonts w:ascii="Cambria" w:hAnsi="Cambria"/>
                <w:b/>
                <w:noProof/>
                <w:sz w:val="22"/>
                <w:szCs w:val="22"/>
                <w:lang w:val="lt-LT"/>
              </w:rPr>
              <w:lastRenderedPageBreak/>
              <w:t>Nr.</w:t>
            </w:r>
          </w:p>
        </w:tc>
        <w:tc>
          <w:tcPr>
            <w:tcW w:w="2522" w:type="pct"/>
            <w:shd w:val="clear" w:color="auto" w:fill="FFFFFF"/>
            <w:vAlign w:val="center"/>
          </w:tcPr>
          <w:p w:rsidR="001C57BD" w:rsidRPr="00197E05" w:rsidRDefault="001C57BD" w:rsidP="001F67F4">
            <w:pPr>
              <w:tabs>
                <w:tab w:val="center" w:pos="2656"/>
              </w:tabs>
              <w:ind w:firstLine="34"/>
              <w:rPr>
                <w:rFonts w:ascii="Cambria" w:hAnsi="Cambria"/>
                <w:b/>
                <w:noProof/>
                <w:sz w:val="22"/>
                <w:szCs w:val="22"/>
                <w:lang w:val="lt-LT"/>
              </w:rPr>
            </w:pPr>
            <w:r w:rsidRPr="00197E05">
              <w:rPr>
                <w:rFonts w:ascii="Cambria" w:hAnsi="Cambria"/>
                <w:b/>
                <w:noProof/>
                <w:sz w:val="22"/>
                <w:szCs w:val="22"/>
                <w:lang w:val="lt-LT"/>
              </w:rPr>
              <w:t>Parametras</w:t>
            </w:r>
          </w:p>
        </w:tc>
        <w:tc>
          <w:tcPr>
            <w:tcW w:w="572" w:type="pct"/>
            <w:shd w:val="clear" w:color="auto" w:fill="FFFFFF"/>
            <w:vAlign w:val="center"/>
          </w:tcPr>
          <w:p w:rsidR="001C57BD" w:rsidRPr="00197E05" w:rsidRDefault="001C57BD" w:rsidP="001F67F4">
            <w:pPr>
              <w:jc w:val="center"/>
              <w:rPr>
                <w:rFonts w:ascii="Cambria" w:hAnsi="Cambria"/>
                <w:b/>
                <w:noProof/>
                <w:sz w:val="22"/>
                <w:szCs w:val="22"/>
                <w:lang w:val="lt-LT"/>
              </w:rPr>
            </w:pPr>
            <w:r w:rsidRPr="00197E05">
              <w:rPr>
                <w:rFonts w:ascii="Cambria" w:hAnsi="Cambria"/>
                <w:b/>
                <w:noProof/>
                <w:sz w:val="22"/>
                <w:szCs w:val="22"/>
                <w:lang w:val="lt-LT"/>
              </w:rPr>
              <w:t>Metodas</w:t>
            </w:r>
          </w:p>
        </w:tc>
        <w:tc>
          <w:tcPr>
            <w:tcW w:w="572" w:type="pct"/>
            <w:shd w:val="clear" w:color="auto" w:fill="FFFFFF"/>
            <w:vAlign w:val="center"/>
          </w:tcPr>
          <w:p w:rsidR="001C57BD" w:rsidRPr="00197E05" w:rsidRDefault="001C57BD" w:rsidP="001F67F4">
            <w:pPr>
              <w:ind w:firstLine="34"/>
              <w:jc w:val="center"/>
              <w:rPr>
                <w:rFonts w:ascii="Cambria" w:hAnsi="Cambria"/>
                <w:b/>
                <w:noProof/>
                <w:sz w:val="22"/>
                <w:szCs w:val="22"/>
                <w:lang w:val="lt-LT"/>
              </w:rPr>
            </w:pPr>
          </w:p>
        </w:tc>
        <w:tc>
          <w:tcPr>
            <w:tcW w:w="999" w:type="pct"/>
            <w:shd w:val="clear" w:color="auto" w:fill="FFFFFF"/>
            <w:vAlign w:val="center"/>
          </w:tcPr>
          <w:p w:rsidR="001C57BD" w:rsidRPr="00197E05" w:rsidRDefault="001C57BD" w:rsidP="001F67F4">
            <w:pPr>
              <w:ind w:firstLine="34"/>
              <w:jc w:val="center"/>
              <w:rPr>
                <w:rFonts w:ascii="Cambria" w:hAnsi="Cambria"/>
                <w:b/>
                <w:noProof/>
                <w:sz w:val="22"/>
                <w:szCs w:val="22"/>
                <w:lang w:val="lt-LT"/>
              </w:rPr>
            </w:pPr>
            <w:r w:rsidRPr="00197E05">
              <w:rPr>
                <w:rFonts w:ascii="Cambria" w:hAnsi="Cambria"/>
                <w:b/>
                <w:noProof/>
                <w:sz w:val="22"/>
                <w:szCs w:val="22"/>
                <w:lang w:val="lt-LT"/>
              </w:rPr>
              <w:t>Vertė</w:t>
            </w:r>
          </w:p>
        </w:tc>
      </w:tr>
      <w:tr w:rsidR="001C57BD" w:rsidRPr="00197E05" w:rsidTr="001C57BD">
        <w:trPr>
          <w:trHeight w:val="20"/>
        </w:trPr>
        <w:tc>
          <w:tcPr>
            <w:tcW w:w="335"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T</w:t>
            </w:r>
            <w:r w:rsidRPr="00197E05">
              <w:rPr>
                <w:rFonts w:ascii="Cambria" w:hAnsi="Cambria"/>
                <w:noProof/>
                <w:sz w:val="22"/>
                <w:szCs w:val="22"/>
                <w:vertAlign w:val="subscript"/>
                <w:lang w:val="lt-LT"/>
              </w:rPr>
              <w:t>1</w:t>
            </w:r>
          </w:p>
        </w:tc>
        <w:tc>
          <w:tcPr>
            <w:tcW w:w="2522" w:type="pct"/>
            <w:shd w:val="clear" w:color="auto" w:fill="auto"/>
          </w:tcPr>
          <w:p w:rsidR="001C57BD" w:rsidRPr="00197E05" w:rsidRDefault="001C57BD" w:rsidP="001F67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197E05">
              <w:rPr>
                <w:rFonts w:ascii="Cambria" w:hAnsi="Cambria"/>
                <w:noProof/>
                <w:sz w:val="22"/>
                <w:szCs w:val="22"/>
                <w:lang w:val="lt-LT"/>
              </w:rPr>
              <w:t>Laisva vertikali erdvė tarp stalviršio ir detektoriaus paviršių ≥ 600 mm (p. 2.6)</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Statinis: (taip/ne)</w:t>
            </w:r>
          </w:p>
        </w:tc>
        <w:tc>
          <w:tcPr>
            <w:tcW w:w="572" w:type="pct"/>
            <w:shd w:val="clear" w:color="auto" w:fill="auto"/>
          </w:tcPr>
          <w:p w:rsidR="001C57BD" w:rsidRPr="00197E05" w:rsidRDefault="001C57BD" w:rsidP="001F67F4">
            <w:pPr>
              <w:spacing w:line="720" w:lineRule="auto"/>
              <w:jc w:val="center"/>
              <w:rPr>
                <w:rFonts w:ascii="Cambria" w:hAnsi="Cambria"/>
                <w:noProof/>
                <w:sz w:val="22"/>
                <w:szCs w:val="22"/>
                <w:lang w:val="lt-LT"/>
              </w:rPr>
            </w:pPr>
            <w:r w:rsidRPr="00197E05">
              <w:rPr>
                <w:rFonts w:ascii="Cambria" w:hAnsi="Cambria"/>
                <w:noProof/>
                <w:sz w:val="22"/>
                <w:szCs w:val="22"/>
                <w:lang w:val="lt-LT"/>
              </w:rPr>
              <w:t>L</w:t>
            </w:r>
            <w:r w:rsidRPr="00197E05">
              <w:rPr>
                <w:rFonts w:ascii="Cambria" w:hAnsi="Cambria"/>
                <w:noProof/>
                <w:sz w:val="22"/>
                <w:szCs w:val="22"/>
                <w:vertAlign w:val="subscript"/>
                <w:lang w:val="lt-LT"/>
              </w:rPr>
              <w:t>1</w:t>
            </w:r>
            <w:r w:rsidRPr="00197E05">
              <w:rPr>
                <w:rFonts w:ascii="Cambria" w:hAnsi="Cambria"/>
                <w:noProof/>
                <w:sz w:val="22"/>
                <w:szCs w:val="22"/>
                <w:lang w:val="lt-LT"/>
              </w:rPr>
              <w:t xml:space="preserve"> = 0,15</w:t>
            </w:r>
          </w:p>
        </w:tc>
        <w:tc>
          <w:tcPr>
            <w:tcW w:w="999" w:type="pct"/>
            <w:shd w:val="clear" w:color="auto" w:fill="FFFFFF"/>
          </w:tcPr>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 xml:space="preserve">Įrašyti parametro vertę: </w:t>
            </w:r>
          </w:p>
          <w:p w:rsidR="001C57BD" w:rsidRPr="00197E05" w:rsidRDefault="001C57BD" w:rsidP="001F67F4">
            <w:pPr>
              <w:ind w:firstLine="34"/>
              <w:jc w:val="center"/>
              <w:rPr>
                <w:rFonts w:ascii="Cambria" w:hAnsi="Cambria"/>
                <w:noProof/>
                <w:sz w:val="22"/>
                <w:szCs w:val="22"/>
                <w:lang w:val="lt-LT"/>
              </w:rPr>
            </w:pPr>
            <w:r w:rsidRPr="00197E05">
              <w:rPr>
                <w:rFonts w:ascii="Cambria" w:eastAsia="Times New Roman" w:hAnsi="Cambria"/>
                <w:color w:val="7F7F7F" w:themeColor="text1" w:themeTint="80"/>
                <w:sz w:val="22"/>
                <w:szCs w:val="22"/>
                <w:lang w:val="lt-LT"/>
              </w:rPr>
              <w:t>taip/ne</w:t>
            </w:r>
          </w:p>
        </w:tc>
      </w:tr>
      <w:tr w:rsidR="001C57BD" w:rsidRPr="00197E05" w:rsidTr="001C57BD">
        <w:trPr>
          <w:trHeight w:val="20"/>
        </w:trPr>
        <w:tc>
          <w:tcPr>
            <w:tcW w:w="335"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T</w:t>
            </w:r>
            <w:r w:rsidRPr="00197E05">
              <w:rPr>
                <w:rFonts w:ascii="Cambria" w:hAnsi="Cambria"/>
                <w:noProof/>
                <w:sz w:val="22"/>
                <w:szCs w:val="22"/>
                <w:vertAlign w:val="subscript"/>
                <w:lang w:val="lt-LT"/>
              </w:rPr>
              <w:t>2</w:t>
            </w:r>
          </w:p>
        </w:tc>
        <w:tc>
          <w:tcPr>
            <w:tcW w:w="2522" w:type="pct"/>
            <w:shd w:val="clear" w:color="auto" w:fill="auto"/>
          </w:tcPr>
          <w:p w:rsidR="001C57BD" w:rsidRPr="00197E05" w:rsidRDefault="001C57BD" w:rsidP="001F67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197E05">
              <w:rPr>
                <w:rFonts w:ascii="Cambria" w:hAnsi="Cambria"/>
                <w:noProof/>
                <w:sz w:val="22"/>
                <w:szCs w:val="22"/>
                <w:lang w:val="lt-LT"/>
              </w:rPr>
              <w:t>Kanalų skaičius ≥ 128 (p. 5.1)</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Statinis: (taip/ne)</w:t>
            </w:r>
          </w:p>
        </w:tc>
        <w:tc>
          <w:tcPr>
            <w:tcW w:w="572" w:type="pct"/>
            <w:shd w:val="clear" w:color="auto" w:fill="auto"/>
          </w:tcPr>
          <w:p w:rsidR="001C57BD" w:rsidRPr="00197E05" w:rsidRDefault="001C57BD" w:rsidP="001F67F4">
            <w:pPr>
              <w:spacing w:line="720" w:lineRule="auto"/>
              <w:jc w:val="center"/>
              <w:rPr>
                <w:rFonts w:ascii="Cambria" w:hAnsi="Cambria"/>
                <w:noProof/>
                <w:sz w:val="22"/>
                <w:szCs w:val="22"/>
                <w:lang w:val="lt-LT"/>
              </w:rPr>
            </w:pPr>
            <w:r w:rsidRPr="00197E05">
              <w:rPr>
                <w:rFonts w:ascii="Cambria" w:hAnsi="Cambria"/>
                <w:noProof/>
                <w:sz w:val="22"/>
                <w:szCs w:val="22"/>
                <w:lang w:val="lt-LT"/>
              </w:rPr>
              <w:t>L</w:t>
            </w:r>
            <w:r w:rsidRPr="00197E05">
              <w:rPr>
                <w:rFonts w:ascii="Cambria" w:hAnsi="Cambria"/>
                <w:noProof/>
                <w:sz w:val="22"/>
                <w:szCs w:val="22"/>
                <w:vertAlign w:val="subscript"/>
                <w:lang w:val="lt-LT"/>
              </w:rPr>
              <w:t>2</w:t>
            </w:r>
            <w:r w:rsidRPr="00197E05">
              <w:rPr>
                <w:rFonts w:ascii="Cambria" w:hAnsi="Cambria"/>
                <w:noProof/>
                <w:sz w:val="22"/>
                <w:szCs w:val="22"/>
                <w:lang w:val="lt-LT"/>
              </w:rPr>
              <w:t xml:space="preserve"> = 0,15</w:t>
            </w:r>
          </w:p>
        </w:tc>
        <w:tc>
          <w:tcPr>
            <w:tcW w:w="999" w:type="pct"/>
            <w:shd w:val="clear" w:color="auto" w:fill="FFFFFF"/>
          </w:tcPr>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 xml:space="preserve">Įrašyti parametro vertę: </w:t>
            </w:r>
          </w:p>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taip/ne</w:t>
            </w:r>
          </w:p>
        </w:tc>
      </w:tr>
      <w:tr w:rsidR="001C57BD" w:rsidRPr="00197E05" w:rsidTr="001C57BD">
        <w:trPr>
          <w:trHeight w:val="20"/>
        </w:trPr>
        <w:tc>
          <w:tcPr>
            <w:tcW w:w="335"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T</w:t>
            </w:r>
            <w:r w:rsidRPr="00197E05">
              <w:rPr>
                <w:rFonts w:ascii="Cambria" w:hAnsi="Cambria"/>
                <w:noProof/>
                <w:sz w:val="22"/>
                <w:szCs w:val="22"/>
                <w:vertAlign w:val="subscript"/>
                <w:lang w:val="lt-LT"/>
              </w:rPr>
              <w:t>3</w:t>
            </w:r>
          </w:p>
        </w:tc>
        <w:tc>
          <w:tcPr>
            <w:tcW w:w="2522" w:type="pct"/>
            <w:shd w:val="clear" w:color="auto" w:fill="auto"/>
          </w:tcPr>
          <w:p w:rsidR="001C57BD" w:rsidRPr="00197E05" w:rsidRDefault="001C57BD" w:rsidP="001F67F4">
            <w:pPr>
              <w:rPr>
                <w:rFonts w:ascii="Cambria" w:hAnsi="Cambria"/>
                <w:noProof/>
                <w:color w:val="000000"/>
                <w:sz w:val="22"/>
                <w:szCs w:val="22"/>
                <w:lang w:val="lt-LT"/>
              </w:rPr>
            </w:pPr>
            <w:r w:rsidRPr="00197E05">
              <w:rPr>
                <w:rFonts w:ascii="Cambria" w:hAnsi="Cambria"/>
                <w:noProof/>
                <w:color w:val="000000"/>
                <w:sz w:val="22"/>
                <w:szCs w:val="22"/>
                <w:lang w:val="lt-LT"/>
              </w:rPr>
              <w:t>Mažo tankio stuburo ir klubo programa (p. 7.1.7)</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Statinis: (taip/ne)</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L</w:t>
            </w:r>
            <w:r w:rsidRPr="00197E05">
              <w:rPr>
                <w:rFonts w:ascii="Cambria" w:hAnsi="Cambria"/>
                <w:noProof/>
                <w:sz w:val="22"/>
                <w:szCs w:val="22"/>
                <w:vertAlign w:val="subscript"/>
                <w:lang w:val="lt-LT"/>
              </w:rPr>
              <w:t>3</w:t>
            </w:r>
            <w:r w:rsidRPr="00197E05">
              <w:rPr>
                <w:rFonts w:ascii="Cambria" w:hAnsi="Cambria"/>
                <w:noProof/>
                <w:sz w:val="22"/>
                <w:szCs w:val="22"/>
                <w:lang w:val="lt-LT"/>
              </w:rPr>
              <w:t xml:space="preserve"> = 0,10</w:t>
            </w:r>
          </w:p>
        </w:tc>
        <w:tc>
          <w:tcPr>
            <w:tcW w:w="999" w:type="pct"/>
            <w:shd w:val="clear" w:color="auto" w:fill="FFFFFF"/>
          </w:tcPr>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 xml:space="preserve">Įrašyti parametro vertę: </w:t>
            </w:r>
          </w:p>
          <w:p w:rsidR="001C57BD" w:rsidRPr="00197E05" w:rsidRDefault="001C57BD" w:rsidP="001F67F4">
            <w:pPr>
              <w:ind w:firstLine="34"/>
              <w:jc w:val="center"/>
              <w:rPr>
                <w:rFonts w:ascii="Cambria" w:hAnsi="Cambria"/>
                <w:noProof/>
                <w:sz w:val="22"/>
                <w:szCs w:val="22"/>
                <w:lang w:val="lt-LT"/>
              </w:rPr>
            </w:pPr>
            <w:r w:rsidRPr="00197E05">
              <w:rPr>
                <w:rFonts w:ascii="Cambria" w:eastAsia="Times New Roman" w:hAnsi="Cambria"/>
                <w:color w:val="7F7F7F" w:themeColor="text1" w:themeTint="80"/>
                <w:sz w:val="22"/>
                <w:szCs w:val="22"/>
                <w:lang w:val="lt-LT"/>
              </w:rPr>
              <w:t>taip/ne</w:t>
            </w:r>
          </w:p>
        </w:tc>
      </w:tr>
      <w:tr w:rsidR="001C57BD" w:rsidRPr="00197E05" w:rsidTr="001C57BD">
        <w:trPr>
          <w:trHeight w:val="20"/>
        </w:trPr>
        <w:tc>
          <w:tcPr>
            <w:tcW w:w="335"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T</w:t>
            </w:r>
            <w:r w:rsidRPr="00197E05">
              <w:rPr>
                <w:rFonts w:ascii="Cambria" w:hAnsi="Cambria"/>
                <w:noProof/>
                <w:sz w:val="22"/>
                <w:szCs w:val="22"/>
                <w:vertAlign w:val="subscript"/>
                <w:lang w:val="lt-LT"/>
              </w:rPr>
              <w:t>4</w:t>
            </w:r>
          </w:p>
        </w:tc>
        <w:tc>
          <w:tcPr>
            <w:tcW w:w="2522" w:type="pct"/>
            <w:shd w:val="clear" w:color="auto" w:fill="auto"/>
          </w:tcPr>
          <w:p w:rsidR="001C57BD" w:rsidRPr="00197E05" w:rsidRDefault="001C57BD" w:rsidP="001F67F4">
            <w:pPr>
              <w:rPr>
                <w:rFonts w:ascii="Cambria" w:hAnsi="Cambria"/>
                <w:noProof/>
                <w:sz w:val="22"/>
                <w:szCs w:val="22"/>
                <w:lang w:val="lt-LT"/>
              </w:rPr>
            </w:pPr>
            <w:r w:rsidRPr="00197E05">
              <w:rPr>
                <w:rFonts w:ascii="Cambria" w:hAnsi="Cambria"/>
                <w:noProof/>
                <w:sz w:val="22"/>
                <w:szCs w:val="22"/>
                <w:lang w:val="lt-LT"/>
              </w:rPr>
              <w:t>Ortopedinio kelio programa (p. 7.1.9)</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Statinis: (taip/ne)</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L</w:t>
            </w:r>
            <w:r w:rsidRPr="00197E05">
              <w:rPr>
                <w:rFonts w:ascii="Cambria" w:hAnsi="Cambria"/>
                <w:noProof/>
                <w:sz w:val="22"/>
                <w:szCs w:val="22"/>
                <w:vertAlign w:val="subscript"/>
                <w:lang w:val="lt-LT"/>
              </w:rPr>
              <w:t>4</w:t>
            </w:r>
            <w:r w:rsidRPr="00197E05">
              <w:rPr>
                <w:rFonts w:ascii="Cambria" w:hAnsi="Cambria"/>
                <w:noProof/>
                <w:sz w:val="22"/>
                <w:szCs w:val="22"/>
                <w:lang w:val="lt-LT"/>
              </w:rPr>
              <w:t xml:space="preserve"> = 0,10</w:t>
            </w:r>
          </w:p>
        </w:tc>
        <w:tc>
          <w:tcPr>
            <w:tcW w:w="999" w:type="pct"/>
            <w:shd w:val="clear" w:color="auto" w:fill="FFFFFF"/>
          </w:tcPr>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 xml:space="preserve">Įrašyti parametro vertę: </w:t>
            </w:r>
          </w:p>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taip/ne</w:t>
            </w:r>
          </w:p>
        </w:tc>
      </w:tr>
      <w:tr w:rsidR="001C57BD" w:rsidRPr="00197E05" w:rsidTr="001C57BD">
        <w:trPr>
          <w:trHeight w:val="20"/>
        </w:trPr>
        <w:tc>
          <w:tcPr>
            <w:tcW w:w="335"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T</w:t>
            </w:r>
            <w:r w:rsidRPr="00197E05">
              <w:rPr>
                <w:rFonts w:ascii="Cambria" w:hAnsi="Cambria"/>
                <w:noProof/>
                <w:sz w:val="22"/>
                <w:szCs w:val="22"/>
                <w:vertAlign w:val="subscript"/>
                <w:lang w:val="lt-LT"/>
              </w:rPr>
              <w:t>5</w:t>
            </w:r>
          </w:p>
        </w:tc>
        <w:tc>
          <w:tcPr>
            <w:tcW w:w="2522" w:type="pct"/>
            <w:shd w:val="clear" w:color="auto" w:fill="auto"/>
          </w:tcPr>
          <w:p w:rsidR="001C57BD" w:rsidRPr="00197E05" w:rsidRDefault="001C57BD" w:rsidP="001F67F4">
            <w:pPr>
              <w:rPr>
                <w:rFonts w:ascii="Cambria" w:hAnsi="Cambria"/>
                <w:noProof/>
                <w:sz w:val="22"/>
                <w:szCs w:val="22"/>
                <w:lang w:val="lt-LT"/>
              </w:rPr>
            </w:pPr>
            <w:r w:rsidRPr="00197E05">
              <w:rPr>
                <w:rFonts w:ascii="Cambria" w:hAnsi="Cambria"/>
                <w:noProof/>
                <w:sz w:val="22"/>
                <w:szCs w:val="22"/>
                <w:lang w:val="lt-LT"/>
              </w:rPr>
              <w:t>Skoliozinio stuburo programa (p. 7.1.10)</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Statinis: (taip/ne)</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L</w:t>
            </w:r>
            <w:r w:rsidRPr="00197E05">
              <w:rPr>
                <w:rFonts w:ascii="Cambria" w:hAnsi="Cambria"/>
                <w:noProof/>
                <w:sz w:val="22"/>
                <w:szCs w:val="22"/>
                <w:vertAlign w:val="subscript"/>
                <w:lang w:val="lt-LT"/>
              </w:rPr>
              <w:t>5</w:t>
            </w:r>
            <w:r w:rsidRPr="00197E05">
              <w:rPr>
                <w:rFonts w:ascii="Cambria" w:hAnsi="Cambria"/>
                <w:noProof/>
                <w:sz w:val="22"/>
                <w:szCs w:val="22"/>
                <w:lang w:val="lt-LT"/>
              </w:rPr>
              <w:t xml:space="preserve"> = 0,10</w:t>
            </w:r>
          </w:p>
        </w:tc>
        <w:tc>
          <w:tcPr>
            <w:tcW w:w="999" w:type="pct"/>
            <w:shd w:val="clear" w:color="auto" w:fill="FFFFFF"/>
          </w:tcPr>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 xml:space="preserve">Įrašyti parametro vertę: </w:t>
            </w:r>
          </w:p>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taip/ne</w:t>
            </w:r>
          </w:p>
        </w:tc>
      </w:tr>
      <w:tr w:rsidR="001C57BD" w:rsidRPr="00197E05" w:rsidTr="001C57BD">
        <w:trPr>
          <w:trHeight w:val="20"/>
        </w:trPr>
        <w:tc>
          <w:tcPr>
            <w:tcW w:w="335"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T</w:t>
            </w:r>
            <w:r w:rsidRPr="00197E05">
              <w:rPr>
                <w:rFonts w:ascii="Cambria" w:hAnsi="Cambria"/>
                <w:noProof/>
                <w:sz w:val="22"/>
                <w:szCs w:val="22"/>
                <w:vertAlign w:val="subscript"/>
                <w:lang w:val="lt-LT"/>
              </w:rPr>
              <w:t>6</w:t>
            </w:r>
          </w:p>
        </w:tc>
        <w:tc>
          <w:tcPr>
            <w:tcW w:w="2522" w:type="pct"/>
            <w:shd w:val="clear" w:color="auto" w:fill="auto"/>
          </w:tcPr>
          <w:p w:rsidR="001C57BD" w:rsidRPr="00197E05" w:rsidRDefault="001C57BD" w:rsidP="001F67F4">
            <w:pPr>
              <w:rPr>
                <w:rFonts w:ascii="Cambria" w:hAnsi="Cambria"/>
                <w:noProof/>
                <w:sz w:val="22"/>
                <w:szCs w:val="22"/>
                <w:lang w:val="lt-LT"/>
              </w:rPr>
            </w:pPr>
            <w:r w:rsidRPr="00197E05">
              <w:rPr>
                <w:rFonts w:ascii="Cambria" w:hAnsi="Cambria"/>
                <w:noProof/>
                <w:sz w:val="22"/>
                <w:szCs w:val="22"/>
                <w:lang w:val="lt-LT"/>
              </w:rPr>
              <w:t>Stuburo slankstelio lūžio analizė su pilvo aortos kalcifikacijos aptikimo funkcija (p. 7.5)</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eastAsia="Times New Roman" w:hAnsi="Cambria"/>
                <w:color w:val="000000"/>
                <w:sz w:val="22"/>
                <w:szCs w:val="22"/>
                <w:bdr w:val="none" w:sz="0" w:space="0" w:color="auto"/>
                <w:lang w:val="lt-LT"/>
              </w:rPr>
              <w:t>Statinis:</w:t>
            </w:r>
            <w:r w:rsidRPr="00197E05">
              <w:rPr>
                <w:rFonts w:ascii="Cambria" w:eastAsia="Times New Roman" w:hAnsi="Cambria"/>
                <w:color w:val="000000"/>
                <w:sz w:val="22"/>
                <w:szCs w:val="22"/>
                <w:bdr w:val="none" w:sz="0" w:space="0" w:color="auto"/>
                <w:lang w:val="lt-LT"/>
              </w:rPr>
              <w:br/>
              <w:t>(yra/nėra)</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L</w:t>
            </w:r>
            <w:r w:rsidRPr="00197E05">
              <w:rPr>
                <w:rFonts w:ascii="Cambria" w:hAnsi="Cambria"/>
                <w:noProof/>
                <w:sz w:val="22"/>
                <w:szCs w:val="22"/>
                <w:vertAlign w:val="subscript"/>
                <w:lang w:val="lt-LT"/>
              </w:rPr>
              <w:t>6</w:t>
            </w:r>
            <w:r w:rsidRPr="00197E05">
              <w:rPr>
                <w:rFonts w:ascii="Cambria" w:hAnsi="Cambria"/>
                <w:noProof/>
                <w:sz w:val="22"/>
                <w:szCs w:val="22"/>
                <w:lang w:val="lt-LT"/>
              </w:rPr>
              <w:t xml:space="preserve"> = 0,15</w:t>
            </w:r>
          </w:p>
        </w:tc>
        <w:tc>
          <w:tcPr>
            <w:tcW w:w="999" w:type="pct"/>
            <w:shd w:val="clear" w:color="auto" w:fill="FFFFFF"/>
          </w:tcPr>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 xml:space="preserve">Įrašyti parametro vertę: </w:t>
            </w:r>
          </w:p>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taip/ne</w:t>
            </w:r>
          </w:p>
        </w:tc>
      </w:tr>
      <w:tr w:rsidR="001C57BD" w:rsidRPr="00197E05" w:rsidTr="001C57BD">
        <w:trPr>
          <w:trHeight w:val="20"/>
        </w:trPr>
        <w:tc>
          <w:tcPr>
            <w:tcW w:w="335"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T</w:t>
            </w:r>
            <w:r w:rsidRPr="00197E05">
              <w:rPr>
                <w:rFonts w:ascii="Cambria" w:hAnsi="Cambria"/>
                <w:noProof/>
                <w:sz w:val="22"/>
                <w:szCs w:val="22"/>
                <w:vertAlign w:val="subscript"/>
                <w:lang w:val="lt-LT"/>
              </w:rPr>
              <w:t>7</w:t>
            </w:r>
          </w:p>
        </w:tc>
        <w:tc>
          <w:tcPr>
            <w:tcW w:w="2522" w:type="pct"/>
            <w:shd w:val="clear" w:color="auto" w:fill="auto"/>
          </w:tcPr>
          <w:p w:rsidR="001C57BD" w:rsidRPr="00197E05" w:rsidRDefault="001C57BD" w:rsidP="001F67F4">
            <w:pPr>
              <w:rPr>
                <w:rFonts w:ascii="Cambria" w:hAnsi="Cambria"/>
                <w:noProof/>
                <w:sz w:val="22"/>
                <w:szCs w:val="22"/>
                <w:lang w:val="lt-LT"/>
              </w:rPr>
            </w:pPr>
            <w:r w:rsidRPr="00197E05">
              <w:rPr>
                <w:rFonts w:ascii="Cambria" w:hAnsi="Cambria"/>
                <w:noProof/>
                <w:sz w:val="22"/>
                <w:szCs w:val="22"/>
                <w:lang w:val="lt-LT"/>
              </w:rPr>
              <w:t>Funkcija leidžianti tyrimo metu pakartotinai nustatyti tiriamosios zonos poziciją nekeičiant paciento padėties (p. 7.6)</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eastAsia="Times New Roman" w:hAnsi="Cambria"/>
                <w:color w:val="000000"/>
                <w:sz w:val="22"/>
                <w:szCs w:val="22"/>
                <w:bdr w:val="none" w:sz="0" w:space="0" w:color="auto"/>
                <w:lang w:val="lt-LT"/>
              </w:rPr>
              <w:t>Statinis:</w:t>
            </w:r>
            <w:r w:rsidRPr="00197E05">
              <w:rPr>
                <w:rFonts w:ascii="Cambria" w:eastAsia="Times New Roman" w:hAnsi="Cambria"/>
                <w:color w:val="000000"/>
                <w:sz w:val="22"/>
                <w:szCs w:val="22"/>
                <w:bdr w:val="none" w:sz="0" w:space="0" w:color="auto"/>
                <w:lang w:val="lt-LT"/>
              </w:rPr>
              <w:br/>
              <w:t>(yra/nėra)</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L</w:t>
            </w:r>
            <w:r w:rsidRPr="00197E05">
              <w:rPr>
                <w:rFonts w:ascii="Cambria" w:hAnsi="Cambria"/>
                <w:noProof/>
                <w:sz w:val="22"/>
                <w:szCs w:val="22"/>
                <w:vertAlign w:val="subscript"/>
                <w:lang w:val="lt-LT"/>
              </w:rPr>
              <w:t>7</w:t>
            </w:r>
            <w:r w:rsidRPr="00197E05">
              <w:rPr>
                <w:rFonts w:ascii="Cambria" w:hAnsi="Cambria"/>
                <w:noProof/>
                <w:sz w:val="22"/>
                <w:szCs w:val="22"/>
                <w:lang w:val="lt-LT"/>
              </w:rPr>
              <w:t xml:space="preserve"> = 0,10</w:t>
            </w:r>
          </w:p>
        </w:tc>
        <w:tc>
          <w:tcPr>
            <w:tcW w:w="999" w:type="pct"/>
            <w:shd w:val="clear" w:color="auto" w:fill="FFFFFF"/>
          </w:tcPr>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 xml:space="preserve">Įrašyti parametro vertę: </w:t>
            </w:r>
          </w:p>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taip/ne</w:t>
            </w:r>
          </w:p>
        </w:tc>
      </w:tr>
      <w:tr w:rsidR="001C57BD" w:rsidRPr="00197E05" w:rsidTr="001C57BD">
        <w:trPr>
          <w:trHeight w:val="20"/>
        </w:trPr>
        <w:tc>
          <w:tcPr>
            <w:tcW w:w="335"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T</w:t>
            </w:r>
            <w:r w:rsidRPr="00197E05">
              <w:rPr>
                <w:rFonts w:ascii="Cambria" w:hAnsi="Cambria"/>
                <w:noProof/>
                <w:sz w:val="22"/>
                <w:szCs w:val="22"/>
                <w:vertAlign w:val="subscript"/>
                <w:lang w:val="lt-LT"/>
              </w:rPr>
              <w:t>8</w:t>
            </w:r>
          </w:p>
        </w:tc>
        <w:tc>
          <w:tcPr>
            <w:tcW w:w="2522" w:type="pct"/>
            <w:shd w:val="clear" w:color="auto" w:fill="auto"/>
          </w:tcPr>
          <w:p w:rsidR="001C57BD" w:rsidRPr="00197E05" w:rsidRDefault="001C57BD" w:rsidP="001F67F4">
            <w:pPr>
              <w:rPr>
                <w:rFonts w:ascii="Cambria" w:hAnsi="Cambria"/>
                <w:noProof/>
                <w:sz w:val="22"/>
                <w:szCs w:val="22"/>
                <w:lang w:val="lt-LT"/>
              </w:rPr>
            </w:pPr>
            <w:r w:rsidRPr="00197E05">
              <w:rPr>
                <w:rFonts w:ascii="Cambria" w:eastAsia="Calibri" w:hAnsi="Cambria"/>
                <w:sz w:val="22"/>
                <w:szCs w:val="22"/>
                <w:bdr w:val="none" w:sz="0" w:space="0" w:color="auto"/>
                <w:lang w:val="lt-LT"/>
              </w:rPr>
              <w:t xml:space="preserve">Garantinis terminas </w:t>
            </w:r>
            <w:r w:rsidRPr="00197E05">
              <w:rPr>
                <w:rFonts w:ascii="Cambria" w:eastAsia="Calibri" w:hAnsi="Cambria"/>
                <w:color w:val="000000"/>
                <w:sz w:val="22"/>
                <w:szCs w:val="22"/>
                <w:bdr w:val="none" w:sz="0" w:space="0" w:color="auto"/>
                <w:lang w:val="lt-LT"/>
              </w:rPr>
              <w:t>≥ 36 mėn. (p. 13)</w:t>
            </w:r>
          </w:p>
        </w:tc>
        <w:tc>
          <w:tcPr>
            <w:tcW w:w="572" w:type="pct"/>
            <w:shd w:val="clear" w:color="auto" w:fill="auto"/>
          </w:tcPr>
          <w:p w:rsidR="001C57BD" w:rsidRPr="00197E05" w:rsidRDefault="001C57BD" w:rsidP="001F67F4">
            <w:pPr>
              <w:jc w:val="center"/>
              <w:rPr>
                <w:rFonts w:ascii="Cambria" w:eastAsia="Times New Roman" w:hAnsi="Cambria"/>
                <w:color w:val="000000"/>
                <w:sz w:val="22"/>
                <w:szCs w:val="22"/>
                <w:bdr w:val="none" w:sz="0" w:space="0" w:color="auto"/>
                <w:lang w:val="lt-LT"/>
              </w:rPr>
            </w:pPr>
            <w:r w:rsidRPr="00197E05">
              <w:rPr>
                <w:rFonts w:ascii="Cambria" w:eastAsia="Times New Roman" w:hAnsi="Cambria"/>
                <w:color w:val="000000"/>
                <w:sz w:val="22"/>
                <w:szCs w:val="22"/>
                <w:bdr w:val="none" w:sz="0" w:space="0" w:color="auto"/>
                <w:lang w:val="lt-LT"/>
              </w:rPr>
              <w:t>Statinis:</w:t>
            </w:r>
            <w:r w:rsidRPr="00197E05">
              <w:rPr>
                <w:rFonts w:ascii="Cambria" w:eastAsia="Times New Roman" w:hAnsi="Cambria"/>
                <w:color w:val="000000"/>
                <w:sz w:val="22"/>
                <w:szCs w:val="22"/>
                <w:bdr w:val="none" w:sz="0" w:space="0" w:color="auto"/>
                <w:lang w:val="lt-LT"/>
              </w:rPr>
              <w:br/>
              <w:t>(yra/nėra)</w:t>
            </w:r>
          </w:p>
        </w:tc>
        <w:tc>
          <w:tcPr>
            <w:tcW w:w="572" w:type="pct"/>
            <w:shd w:val="clear" w:color="auto" w:fill="auto"/>
          </w:tcPr>
          <w:p w:rsidR="001C57BD" w:rsidRPr="00197E05" w:rsidRDefault="001C57BD" w:rsidP="001F67F4">
            <w:pPr>
              <w:jc w:val="center"/>
              <w:rPr>
                <w:rFonts w:ascii="Cambria" w:hAnsi="Cambria"/>
                <w:noProof/>
                <w:sz w:val="22"/>
                <w:szCs w:val="22"/>
                <w:lang w:val="lt-LT"/>
              </w:rPr>
            </w:pPr>
            <w:r w:rsidRPr="00197E05">
              <w:rPr>
                <w:rFonts w:ascii="Cambria" w:hAnsi="Cambria"/>
                <w:noProof/>
                <w:sz w:val="22"/>
                <w:szCs w:val="22"/>
                <w:lang w:val="lt-LT"/>
              </w:rPr>
              <w:t>L</w:t>
            </w:r>
            <w:r w:rsidRPr="00197E05">
              <w:rPr>
                <w:rFonts w:ascii="Cambria" w:hAnsi="Cambria"/>
                <w:noProof/>
                <w:sz w:val="22"/>
                <w:szCs w:val="22"/>
                <w:vertAlign w:val="subscript"/>
                <w:lang w:val="lt-LT"/>
              </w:rPr>
              <w:t>7</w:t>
            </w:r>
            <w:r w:rsidRPr="00197E05">
              <w:rPr>
                <w:rFonts w:ascii="Cambria" w:hAnsi="Cambria"/>
                <w:noProof/>
                <w:sz w:val="22"/>
                <w:szCs w:val="22"/>
                <w:lang w:val="lt-LT"/>
              </w:rPr>
              <w:t xml:space="preserve"> = 0,15</w:t>
            </w:r>
          </w:p>
        </w:tc>
        <w:tc>
          <w:tcPr>
            <w:tcW w:w="999" w:type="pct"/>
            <w:shd w:val="clear" w:color="auto" w:fill="FFFFFF"/>
          </w:tcPr>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 xml:space="preserve">Įrašyti parametro vertę: </w:t>
            </w:r>
          </w:p>
          <w:p w:rsidR="001C57BD" w:rsidRPr="00197E05" w:rsidRDefault="001C57BD" w:rsidP="001F67F4">
            <w:pPr>
              <w:ind w:firstLine="34"/>
              <w:jc w:val="center"/>
              <w:rPr>
                <w:rFonts w:ascii="Cambria" w:eastAsia="Times New Roman" w:hAnsi="Cambria"/>
                <w:color w:val="7F7F7F" w:themeColor="text1" w:themeTint="80"/>
                <w:sz w:val="22"/>
                <w:szCs w:val="22"/>
                <w:lang w:val="lt-LT"/>
              </w:rPr>
            </w:pPr>
            <w:r w:rsidRPr="00197E05">
              <w:rPr>
                <w:rFonts w:ascii="Cambria" w:eastAsia="Times New Roman" w:hAnsi="Cambria"/>
                <w:color w:val="7F7F7F" w:themeColor="text1" w:themeTint="80"/>
                <w:sz w:val="22"/>
                <w:szCs w:val="22"/>
                <w:lang w:val="lt-LT"/>
              </w:rPr>
              <w:t>taip/ne</w:t>
            </w:r>
          </w:p>
        </w:tc>
      </w:tr>
    </w:tbl>
    <w:p w:rsidR="001C57BD" w:rsidRPr="00197E05" w:rsidRDefault="001C57BD" w:rsidP="001C57BD">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1C57BD" w:rsidRPr="00197E05" w:rsidRDefault="001C57BD" w:rsidP="001C57BD">
      <w:pPr>
        <w:shd w:val="clear" w:color="auto" w:fill="FFFFFF"/>
        <w:jc w:val="both"/>
        <w:rPr>
          <w:rFonts w:ascii="Cambria" w:hAnsi="Cambria"/>
          <w:noProof/>
          <w:sz w:val="22"/>
          <w:szCs w:val="22"/>
          <w:lang w:val="lt-LT"/>
        </w:rPr>
      </w:pPr>
      <w:r w:rsidRPr="00197E05">
        <w:rPr>
          <w:rFonts w:ascii="Cambria" w:hAnsi="Cambria"/>
          <w:noProof/>
          <w:sz w:val="22"/>
          <w:szCs w:val="22"/>
          <w:lang w:val="lt-LT"/>
        </w:rPr>
        <w:t>Pasiūlymo ekonominio naudingumo (kainos ir kokybės santykio) apskaičiavimo tvarka (formulė) yra pateikiama žemiau:</w:t>
      </w:r>
    </w:p>
    <w:p w:rsidR="001C57BD" w:rsidRPr="00197E05" w:rsidRDefault="001C57BD" w:rsidP="001C57BD">
      <w:pPr>
        <w:pStyle w:val="Sraopastraipa"/>
        <w:numPr>
          <w:ilvl w:val="0"/>
          <w:numId w:val="32"/>
        </w:numPr>
        <w:shd w:val="clear" w:color="auto" w:fill="FFFFFF"/>
        <w:jc w:val="both"/>
        <w:rPr>
          <w:rFonts w:ascii="Cambria" w:hAnsi="Cambria"/>
          <w:noProof/>
        </w:rPr>
      </w:pPr>
      <w:r w:rsidRPr="00197E05">
        <w:rPr>
          <w:rFonts w:ascii="Cambria" w:hAnsi="Cambria"/>
          <w:noProof/>
        </w:rPr>
        <w:t xml:space="preserve"> Pasiūlymo ekonominis naudingumas (E) apskaičiuojamas sudedant tiekėjo pasiūlymo kainos (K) ir techninių pranašumų (T) balus:</w:t>
      </w:r>
    </w:p>
    <w:p w:rsidR="001C57BD" w:rsidRPr="00197E05" w:rsidRDefault="001C57BD" w:rsidP="001C57BD">
      <w:pPr>
        <w:shd w:val="clear" w:color="auto" w:fill="FFFFFF"/>
        <w:jc w:val="center"/>
        <w:rPr>
          <w:rFonts w:ascii="Cambria" w:hAnsi="Cambria"/>
          <w:noProof/>
          <w:sz w:val="22"/>
          <w:szCs w:val="22"/>
          <w:lang w:val="lt-LT"/>
        </w:rPr>
      </w:pPr>
      <w:r w:rsidRPr="00197E05">
        <w:rPr>
          <w:rFonts w:ascii="Cambria" w:hAnsi="Cambria"/>
          <w:i/>
          <w:iCs/>
          <w:noProof/>
          <w:sz w:val="22"/>
          <w:szCs w:val="22"/>
          <w:lang w:val="lt-LT"/>
        </w:rPr>
        <w:t xml:space="preserve">E </w:t>
      </w:r>
      <w:r w:rsidRPr="00197E05">
        <w:rPr>
          <w:rFonts w:ascii="Cambria" w:hAnsi="Cambria"/>
          <w:noProof/>
          <w:sz w:val="22"/>
          <w:szCs w:val="22"/>
          <w:lang w:val="lt-LT"/>
        </w:rPr>
        <w:t xml:space="preserve">= </w:t>
      </w:r>
      <w:r w:rsidRPr="00197E05">
        <w:rPr>
          <w:rFonts w:ascii="Cambria" w:hAnsi="Cambria"/>
          <w:i/>
          <w:noProof/>
          <w:sz w:val="22"/>
          <w:szCs w:val="22"/>
          <w:lang w:val="lt-LT"/>
        </w:rPr>
        <w:t>K</w:t>
      </w:r>
      <w:r w:rsidRPr="00197E05">
        <w:rPr>
          <w:rFonts w:ascii="Cambria" w:hAnsi="Cambria"/>
          <w:i/>
          <w:iCs/>
          <w:noProof/>
          <w:sz w:val="22"/>
          <w:szCs w:val="22"/>
          <w:lang w:val="lt-LT"/>
        </w:rPr>
        <w:t>+ T</w:t>
      </w:r>
    </w:p>
    <w:p w:rsidR="001C57BD" w:rsidRPr="00197E05" w:rsidRDefault="001C57BD" w:rsidP="001C57BD">
      <w:pPr>
        <w:pStyle w:val="Sraopastraipa"/>
        <w:numPr>
          <w:ilvl w:val="0"/>
          <w:numId w:val="32"/>
        </w:numPr>
        <w:shd w:val="clear" w:color="auto" w:fill="FFFFFF"/>
        <w:jc w:val="both"/>
        <w:rPr>
          <w:rFonts w:ascii="Cambria" w:hAnsi="Cambria"/>
          <w:noProof/>
        </w:rPr>
      </w:pPr>
      <w:r w:rsidRPr="00197E05">
        <w:rPr>
          <w:rFonts w:ascii="Cambria" w:hAnsi="Cambria"/>
          <w:noProof/>
        </w:rPr>
        <w:t>Pasiūlymo kainos (K) balai apskaičiuojami mažiausios pasiūlytos kainos (K</w:t>
      </w:r>
      <w:r w:rsidRPr="00197E05">
        <w:rPr>
          <w:rFonts w:ascii="Cambria" w:hAnsi="Cambria"/>
          <w:noProof/>
          <w:vertAlign w:val="subscript"/>
        </w:rPr>
        <w:t>min</w:t>
      </w:r>
      <w:r w:rsidRPr="00197E05">
        <w:rPr>
          <w:rFonts w:ascii="Cambria" w:hAnsi="Cambria"/>
          <w:noProof/>
        </w:rPr>
        <w:t>) ir vertinamo pasiūlymo kainos (K</w:t>
      </w:r>
      <w:r w:rsidRPr="00197E05">
        <w:rPr>
          <w:rFonts w:ascii="Cambria" w:hAnsi="Cambria"/>
          <w:noProof/>
          <w:vertAlign w:val="subscript"/>
        </w:rPr>
        <w:t>v</w:t>
      </w:r>
      <w:r w:rsidRPr="00197E05">
        <w:rPr>
          <w:rFonts w:ascii="Cambria" w:hAnsi="Cambria"/>
          <w:noProof/>
        </w:rPr>
        <w:t>) santykį padauginant iš kainos lyginamojo svorio (X):</w:t>
      </w:r>
    </w:p>
    <w:p w:rsidR="001C57BD" w:rsidRPr="00197E05" w:rsidRDefault="001C57BD" w:rsidP="001C57BD">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1C57BD" w:rsidRPr="00197E05" w:rsidRDefault="001C57BD" w:rsidP="001C57BD">
      <w:pPr>
        <w:shd w:val="clear" w:color="auto" w:fill="FFFFFF"/>
        <w:jc w:val="center"/>
        <w:rPr>
          <w:rFonts w:ascii="Cambria" w:hAnsi="Cambria"/>
          <w:noProof/>
          <w:sz w:val="22"/>
          <w:szCs w:val="22"/>
          <w:lang w:val="lt-LT"/>
        </w:rPr>
      </w:pPr>
    </w:p>
    <w:p w:rsidR="001C57BD" w:rsidRPr="00197E05" w:rsidRDefault="001C57BD" w:rsidP="001C57BD">
      <w:pPr>
        <w:shd w:val="clear" w:color="auto" w:fill="FFFFFF"/>
        <w:ind w:firstLine="284"/>
        <w:jc w:val="both"/>
        <w:rPr>
          <w:rFonts w:ascii="Cambria" w:hAnsi="Cambria"/>
          <w:noProof/>
          <w:sz w:val="22"/>
          <w:szCs w:val="22"/>
          <w:lang w:val="lt-LT"/>
        </w:rPr>
      </w:pPr>
      <w:r w:rsidRPr="00197E05">
        <w:rPr>
          <w:rFonts w:ascii="Cambria" w:hAnsi="Cambria"/>
          <w:noProof/>
          <w:sz w:val="22"/>
          <w:szCs w:val="22"/>
          <w:lang w:val="lt-LT"/>
        </w:rPr>
        <w:t>3. Siūlomo objekto T</w:t>
      </w:r>
      <w:r w:rsidRPr="00197E05">
        <w:rPr>
          <w:rFonts w:ascii="Cambria" w:hAnsi="Cambria"/>
          <w:noProof/>
          <w:sz w:val="22"/>
          <w:szCs w:val="22"/>
          <w:vertAlign w:val="subscript"/>
          <w:lang w:val="lt-LT"/>
        </w:rPr>
        <w:t>1</w:t>
      </w:r>
      <w:r w:rsidRPr="00197E05">
        <w:rPr>
          <w:rFonts w:ascii="Cambria" w:hAnsi="Cambria"/>
          <w:noProof/>
          <w:sz w:val="22"/>
          <w:szCs w:val="22"/>
          <w:lang w:val="lt-LT"/>
        </w:rPr>
        <w:t>, T</w:t>
      </w:r>
      <w:r w:rsidRPr="00197E05">
        <w:rPr>
          <w:rFonts w:ascii="Cambria" w:hAnsi="Cambria"/>
          <w:noProof/>
          <w:sz w:val="22"/>
          <w:szCs w:val="22"/>
          <w:vertAlign w:val="subscript"/>
          <w:lang w:val="lt-LT"/>
        </w:rPr>
        <w:t xml:space="preserve">2 </w:t>
      </w:r>
      <w:r w:rsidRPr="00197E05">
        <w:rPr>
          <w:rFonts w:ascii="Cambria" w:hAnsi="Cambria"/>
          <w:noProof/>
          <w:sz w:val="22"/>
          <w:szCs w:val="22"/>
          <w:lang w:val="lt-LT"/>
        </w:rPr>
        <w:t>,</w:t>
      </w:r>
      <w:r w:rsidRPr="00197E05">
        <w:rPr>
          <w:rFonts w:ascii="Cambria" w:hAnsi="Cambria"/>
          <w:noProof/>
          <w:sz w:val="22"/>
          <w:szCs w:val="22"/>
          <w:vertAlign w:val="subscript"/>
          <w:lang w:val="lt-LT"/>
        </w:rPr>
        <w:t xml:space="preserve"> </w:t>
      </w:r>
      <w:r w:rsidRPr="00197E05">
        <w:rPr>
          <w:rFonts w:ascii="Cambria" w:hAnsi="Cambria"/>
          <w:noProof/>
          <w:sz w:val="22"/>
          <w:szCs w:val="22"/>
          <w:lang w:val="lt-LT"/>
        </w:rPr>
        <w:t>T</w:t>
      </w:r>
      <w:r w:rsidRPr="00197E05">
        <w:rPr>
          <w:rFonts w:ascii="Cambria" w:hAnsi="Cambria"/>
          <w:noProof/>
          <w:sz w:val="22"/>
          <w:szCs w:val="22"/>
          <w:vertAlign w:val="subscript"/>
          <w:lang w:val="lt-LT"/>
        </w:rPr>
        <w:t xml:space="preserve">3,  </w:t>
      </w:r>
      <w:r w:rsidRPr="00197E05">
        <w:rPr>
          <w:rFonts w:ascii="Cambria" w:hAnsi="Cambria"/>
          <w:noProof/>
          <w:sz w:val="22"/>
          <w:szCs w:val="22"/>
          <w:lang w:val="lt-LT"/>
        </w:rPr>
        <w:t>T</w:t>
      </w:r>
      <w:r w:rsidRPr="00197E05">
        <w:rPr>
          <w:rFonts w:ascii="Cambria" w:hAnsi="Cambria"/>
          <w:noProof/>
          <w:sz w:val="22"/>
          <w:szCs w:val="22"/>
          <w:vertAlign w:val="subscript"/>
          <w:lang w:val="lt-LT"/>
        </w:rPr>
        <w:t>4,</w:t>
      </w:r>
      <w:r w:rsidRPr="00197E05">
        <w:rPr>
          <w:rFonts w:ascii="Cambria" w:hAnsi="Cambria"/>
          <w:noProof/>
          <w:sz w:val="22"/>
          <w:szCs w:val="22"/>
          <w:lang w:val="lt-LT"/>
        </w:rPr>
        <w:t xml:space="preserve"> T</w:t>
      </w:r>
      <w:r w:rsidRPr="00197E05">
        <w:rPr>
          <w:rFonts w:ascii="Cambria" w:hAnsi="Cambria"/>
          <w:noProof/>
          <w:sz w:val="22"/>
          <w:szCs w:val="22"/>
          <w:vertAlign w:val="subscript"/>
          <w:lang w:val="lt-LT"/>
        </w:rPr>
        <w:t xml:space="preserve">5, </w:t>
      </w:r>
      <w:r w:rsidRPr="00197E05">
        <w:rPr>
          <w:rFonts w:ascii="Cambria" w:hAnsi="Cambria"/>
          <w:noProof/>
          <w:sz w:val="22"/>
          <w:szCs w:val="22"/>
          <w:lang w:val="lt-LT"/>
        </w:rPr>
        <w:t>T</w:t>
      </w:r>
      <w:r w:rsidRPr="00197E05">
        <w:rPr>
          <w:rFonts w:ascii="Cambria" w:hAnsi="Cambria"/>
          <w:noProof/>
          <w:sz w:val="22"/>
          <w:szCs w:val="22"/>
          <w:vertAlign w:val="subscript"/>
          <w:lang w:val="lt-LT"/>
        </w:rPr>
        <w:t xml:space="preserve">6, </w:t>
      </w:r>
      <w:r w:rsidRPr="00197E05">
        <w:rPr>
          <w:rFonts w:ascii="Cambria" w:hAnsi="Cambria"/>
          <w:noProof/>
          <w:sz w:val="22"/>
          <w:szCs w:val="22"/>
          <w:lang w:val="lt-LT"/>
        </w:rPr>
        <w:t>T</w:t>
      </w:r>
      <w:r w:rsidRPr="00197E05">
        <w:rPr>
          <w:rFonts w:ascii="Cambria" w:hAnsi="Cambria"/>
          <w:noProof/>
          <w:sz w:val="22"/>
          <w:szCs w:val="22"/>
          <w:vertAlign w:val="subscript"/>
          <w:lang w:val="lt-LT"/>
        </w:rPr>
        <w:t xml:space="preserve">7,  </w:t>
      </w:r>
      <w:r w:rsidRPr="00197E05">
        <w:rPr>
          <w:rFonts w:ascii="Cambria" w:hAnsi="Cambria"/>
          <w:noProof/>
          <w:sz w:val="22"/>
          <w:szCs w:val="22"/>
          <w:lang w:val="lt-LT"/>
        </w:rPr>
        <w:t>T</w:t>
      </w:r>
      <w:r w:rsidRPr="00197E05">
        <w:rPr>
          <w:rFonts w:ascii="Cambria" w:hAnsi="Cambria"/>
          <w:noProof/>
          <w:sz w:val="22"/>
          <w:szCs w:val="22"/>
          <w:vertAlign w:val="subscript"/>
          <w:lang w:val="lt-LT"/>
        </w:rPr>
        <w:t xml:space="preserve">8 </w:t>
      </w:r>
      <w:r w:rsidRPr="00197E05">
        <w:rPr>
          <w:rFonts w:ascii="Cambria" w:hAnsi="Cambria"/>
          <w:noProof/>
          <w:sz w:val="22"/>
          <w:szCs w:val="22"/>
          <w:lang w:val="lt-LT"/>
        </w:rPr>
        <w:t>techniniai parametrai aprašomi statiniu vertinimo būdu ir neturi skaitinių išraiškų (taip arba ne), todėl parametrų įvertinimas apskaičiuojamas pagal metodiką:</w:t>
      </w:r>
    </w:p>
    <w:p w:rsidR="001C57BD" w:rsidRPr="00197E05" w:rsidRDefault="001C57BD" w:rsidP="001C57BD">
      <w:pPr>
        <w:shd w:val="clear" w:color="auto" w:fill="FFFFFF"/>
        <w:ind w:firstLine="426"/>
        <w:jc w:val="both"/>
        <w:rPr>
          <w:rFonts w:ascii="Cambria" w:hAnsi="Cambria"/>
          <w:i/>
          <w:noProof/>
          <w:sz w:val="22"/>
          <w:szCs w:val="22"/>
          <w:vertAlign w:val="subscript"/>
          <w:lang w:val="lt-LT"/>
        </w:rPr>
      </w:pPr>
      <w:r w:rsidRPr="00197E05">
        <w:rPr>
          <w:rFonts w:ascii="Cambria" w:hAnsi="Cambria"/>
          <w:noProof/>
          <w:sz w:val="22"/>
          <w:szCs w:val="22"/>
          <w:lang w:val="lt-LT"/>
        </w:rPr>
        <w:lastRenderedPageBreak/>
        <w:t>Jei siūlomas objektas turi nurodytą pranašumą, gauna maksimalų balų skaičių pagal lyginamąjį svorį: T</w:t>
      </w:r>
      <w:r w:rsidRPr="00197E05">
        <w:rPr>
          <w:rFonts w:ascii="Cambria" w:hAnsi="Cambria"/>
          <w:noProof/>
          <w:sz w:val="22"/>
          <w:szCs w:val="22"/>
          <w:vertAlign w:val="subscript"/>
          <w:lang w:val="lt-LT"/>
        </w:rPr>
        <w:t>1</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1</w:t>
      </w:r>
      <w:r w:rsidRPr="00197E05">
        <w:rPr>
          <w:rFonts w:ascii="Cambria" w:hAnsi="Cambria"/>
          <w:noProof/>
          <w:sz w:val="22"/>
          <w:szCs w:val="22"/>
          <w:lang w:val="lt-LT"/>
        </w:rPr>
        <w:t xml:space="preserve"> = 0,15; T</w:t>
      </w:r>
      <w:r w:rsidRPr="00197E05">
        <w:rPr>
          <w:rFonts w:ascii="Cambria" w:hAnsi="Cambria"/>
          <w:noProof/>
          <w:sz w:val="22"/>
          <w:szCs w:val="22"/>
          <w:vertAlign w:val="subscript"/>
          <w:lang w:val="lt-LT"/>
        </w:rPr>
        <w:t>2</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2</w:t>
      </w:r>
      <w:r w:rsidRPr="00197E05">
        <w:rPr>
          <w:rFonts w:ascii="Cambria" w:hAnsi="Cambria"/>
          <w:noProof/>
          <w:sz w:val="22"/>
          <w:szCs w:val="22"/>
          <w:lang w:val="lt-LT"/>
        </w:rPr>
        <w:t xml:space="preserve"> = 0,15; T</w:t>
      </w:r>
      <w:r w:rsidRPr="00197E05">
        <w:rPr>
          <w:rFonts w:ascii="Cambria" w:hAnsi="Cambria"/>
          <w:noProof/>
          <w:sz w:val="22"/>
          <w:szCs w:val="22"/>
          <w:vertAlign w:val="subscript"/>
          <w:lang w:val="lt-LT"/>
        </w:rPr>
        <w:t>3</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3</w:t>
      </w:r>
      <w:r w:rsidRPr="00197E05">
        <w:rPr>
          <w:rFonts w:ascii="Cambria" w:hAnsi="Cambria"/>
          <w:noProof/>
          <w:sz w:val="22"/>
          <w:szCs w:val="22"/>
          <w:lang w:val="lt-LT"/>
        </w:rPr>
        <w:t xml:space="preserve"> = 0,10; T</w:t>
      </w:r>
      <w:r w:rsidRPr="00197E05">
        <w:rPr>
          <w:rFonts w:ascii="Cambria" w:hAnsi="Cambria"/>
          <w:noProof/>
          <w:sz w:val="22"/>
          <w:szCs w:val="22"/>
          <w:vertAlign w:val="subscript"/>
          <w:lang w:val="lt-LT"/>
        </w:rPr>
        <w:t>4</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4</w:t>
      </w:r>
      <w:r w:rsidRPr="00197E05">
        <w:rPr>
          <w:rFonts w:ascii="Cambria" w:hAnsi="Cambria"/>
          <w:noProof/>
          <w:sz w:val="22"/>
          <w:szCs w:val="22"/>
          <w:lang w:val="lt-LT"/>
        </w:rPr>
        <w:t xml:space="preserve"> = 0,10; T</w:t>
      </w:r>
      <w:r w:rsidRPr="00197E05">
        <w:rPr>
          <w:rFonts w:ascii="Cambria" w:hAnsi="Cambria"/>
          <w:noProof/>
          <w:sz w:val="22"/>
          <w:szCs w:val="22"/>
          <w:vertAlign w:val="subscript"/>
          <w:lang w:val="lt-LT"/>
        </w:rPr>
        <w:t>5</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5</w:t>
      </w:r>
      <w:r w:rsidRPr="00197E05">
        <w:rPr>
          <w:rFonts w:ascii="Cambria" w:hAnsi="Cambria"/>
          <w:noProof/>
          <w:sz w:val="22"/>
          <w:szCs w:val="22"/>
          <w:lang w:val="lt-LT"/>
        </w:rPr>
        <w:t xml:space="preserve"> = 0,10; T</w:t>
      </w:r>
      <w:r w:rsidRPr="00197E05">
        <w:rPr>
          <w:rFonts w:ascii="Cambria" w:hAnsi="Cambria"/>
          <w:noProof/>
          <w:sz w:val="22"/>
          <w:szCs w:val="22"/>
          <w:vertAlign w:val="subscript"/>
          <w:lang w:val="lt-LT"/>
        </w:rPr>
        <w:t>6</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6</w:t>
      </w:r>
      <w:r w:rsidRPr="00197E05">
        <w:rPr>
          <w:rFonts w:ascii="Cambria" w:hAnsi="Cambria"/>
          <w:noProof/>
          <w:sz w:val="22"/>
          <w:szCs w:val="22"/>
          <w:lang w:val="lt-LT"/>
        </w:rPr>
        <w:t xml:space="preserve"> = 0,15; T</w:t>
      </w:r>
      <w:r w:rsidRPr="00197E05">
        <w:rPr>
          <w:rFonts w:ascii="Cambria" w:hAnsi="Cambria"/>
          <w:noProof/>
          <w:sz w:val="22"/>
          <w:szCs w:val="22"/>
          <w:vertAlign w:val="subscript"/>
          <w:lang w:val="lt-LT"/>
        </w:rPr>
        <w:t>7</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7</w:t>
      </w:r>
      <w:r w:rsidRPr="00197E05">
        <w:rPr>
          <w:rFonts w:ascii="Cambria" w:hAnsi="Cambria"/>
          <w:noProof/>
          <w:sz w:val="22"/>
          <w:szCs w:val="22"/>
          <w:lang w:val="lt-LT"/>
        </w:rPr>
        <w:t xml:space="preserve"> = 0,10; T</w:t>
      </w:r>
      <w:r w:rsidRPr="00197E05">
        <w:rPr>
          <w:rFonts w:ascii="Cambria" w:hAnsi="Cambria"/>
          <w:noProof/>
          <w:sz w:val="22"/>
          <w:szCs w:val="22"/>
          <w:vertAlign w:val="subscript"/>
          <w:lang w:val="lt-LT"/>
        </w:rPr>
        <w:t>8</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8</w:t>
      </w:r>
      <w:r w:rsidRPr="00197E05">
        <w:rPr>
          <w:rFonts w:ascii="Cambria" w:hAnsi="Cambria"/>
          <w:noProof/>
          <w:sz w:val="22"/>
          <w:szCs w:val="22"/>
          <w:lang w:val="lt-LT"/>
        </w:rPr>
        <w:t xml:space="preserve"> = 0,15.</w:t>
      </w:r>
    </w:p>
    <w:p w:rsidR="001C57BD" w:rsidRPr="00197E05" w:rsidRDefault="001C57BD" w:rsidP="001C57BD">
      <w:pPr>
        <w:shd w:val="clear" w:color="auto" w:fill="FFFFFF"/>
        <w:ind w:firstLine="426"/>
        <w:jc w:val="both"/>
        <w:rPr>
          <w:rFonts w:ascii="Cambria" w:hAnsi="Cambria"/>
          <w:i/>
          <w:noProof/>
          <w:sz w:val="22"/>
          <w:szCs w:val="22"/>
          <w:lang w:val="lt-LT"/>
        </w:rPr>
      </w:pPr>
      <w:r w:rsidRPr="00197E05">
        <w:rPr>
          <w:rFonts w:ascii="Cambria" w:hAnsi="Cambria"/>
          <w:noProof/>
          <w:sz w:val="22"/>
          <w:szCs w:val="22"/>
          <w:lang w:val="lt-LT"/>
        </w:rPr>
        <w:t>Jei siūlomas objektas neturi nurodyto pranašumo, gauna nulį balų: T</w:t>
      </w:r>
      <w:r w:rsidRPr="00197E05">
        <w:rPr>
          <w:rFonts w:ascii="Cambria" w:hAnsi="Cambria"/>
          <w:noProof/>
          <w:sz w:val="22"/>
          <w:szCs w:val="22"/>
          <w:vertAlign w:val="subscript"/>
          <w:lang w:val="lt-LT"/>
        </w:rPr>
        <w:t>1</w:t>
      </w:r>
      <w:r w:rsidRPr="00197E05">
        <w:rPr>
          <w:rFonts w:ascii="Cambria" w:hAnsi="Cambria"/>
          <w:noProof/>
          <w:sz w:val="22"/>
          <w:szCs w:val="22"/>
          <w:lang w:val="lt-LT"/>
        </w:rPr>
        <w:t>= L</w:t>
      </w:r>
      <w:r w:rsidRPr="00197E05">
        <w:rPr>
          <w:rFonts w:ascii="Cambria" w:hAnsi="Cambria"/>
          <w:noProof/>
          <w:sz w:val="22"/>
          <w:szCs w:val="22"/>
          <w:vertAlign w:val="subscript"/>
          <w:lang w:val="lt-LT"/>
        </w:rPr>
        <w:t>1</w:t>
      </w:r>
      <w:r w:rsidRPr="00197E05">
        <w:rPr>
          <w:rFonts w:ascii="Cambria" w:hAnsi="Cambria"/>
          <w:noProof/>
          <w:sz w:val="22"/>
          <w:szCs w:val="22"/>
          <w:lang w:val="lt-LT"/>
        </w:rPr>
        <w:t xml:space="preserve"> = 0; T</w:t>
      </w:r>
      <w:r w:rsidRPr="00197E05">
        <w:rPr>
          <w:rFonts w:ascii="Cambria" w:hAnsi="Cambria"/>
          <w:noProof/>
          <w:sz w:val="22"/>
          <w:szCs w:val="22"/>
          <w:vertAlign w:val="subscript"/>
          <w:lang w:val="lt-LT"/>
        </w:rPr>
        <w:t>2</w:t>
      </w:r>
      <w:r w:rsidRPr="00197E05">
        <w:rPr>
          <w:rFonts w:ascii="Cambria" w:hAnsi="Cambria"/>
          <w:noProof/>
          <w:sz w:val="22"/>
          <w:szCs w:val="22"/>
          <w:lang w:val="lt-LT"/>
        </w:rPr>
        <w:t>= L</w:t>
      </w:r>
      <w:r w:rsidRPr="00197E05">
        <w:rPr>
          <w:rFonts w:ascii="Cambria" w:hAnsi="Cambria"/>
          <w:noProof/>
          <w:sz w:val="22"/>
          <w:szCs w:val="22"/>
          <w:vertAlign w:val="subscript"/>
          <w:lang w:val="lt-LT"/>
        </w:rPr>
        <w:t>2</w:t>
      </w:r>
      <w:r w:rsidRPr="00197E05">
        <w:rPr>
          <w:rFonts w:ascii="Cambria" w:hAnsi="Cambria"/>
          <w:noProof/>
          <w:sz w:val="22"/>
          <w:szCs w:val="22"/>
          <w:lang w:val="lt-LT"/>
        </w:rPr>
        <w:t>= 0; T</w:t>
      </w:r>
      <w:r w:rsidRPr="00197E05">
        <w:rPr>
          <w:rFonts w:ascii="Cambria" w:hAnsi="Cambria"/>
          <w:noProof/>
          <w:sz w:val="22"/>
          <w:szCs w:val="22"/>
          <w:vertAlign w:val="subscript"/>
          <w:lang w:val="lt-LT"/>
        </w:rPr>
        <w:t>3</w:t>
      </w:r>
      <w:r w:rsidRPr="00197E05">
        <w:rPr>
          <w:rFonts w:ascii="Cambria" w:hAnsi="Cambria"/>
          <w:noProof/>
          <w:sz w:val="22"/>
          <w:szCs w:val="22"/>
          <w:lang w:val="lt-LT"/>
        </w:rPr>
        <w:t>= L</w:t>
      </w:r>
      <w:r w:rsidRPr="00197E05">
        <w:rPr>
          <w:rFonts w:ascii="Cambria" w:hAnsi="Cambria"/>
          <w:noProof/>
          <w:sz w:val="22"/>
          <w:szCs w:val="22"/>
          <w:vertAlign w:val="subscript"/>
          <w:lang w:val="lt-LT"/>
        </w:rPr>
        <w:t>3</w:t>
      </w:r>
      <w:r w:rsidRPr="00197E05">
        <w:rPr>
          <w:rFonts w:ascii="Cambria" w:hAnsi="Cambria"/>
          <w:noProof/>
          <w:sz w:val="22"/>
          <w:szCs w:val="22"/>
          <w:lang w:val="lt-LT"/>
        </w:rPr>
        <w:t>= 0; T</w:t>
      </w:r>
      <w:r w:rsidRPr="00197E05">
        <w:rPr>
          <w:rFonts w:ascii="Cambria" w:hAnsi="Cambria"/>
          <w:noProof/>
          <w:sz w:val="22"/>
          <w:szCs w:val="22"/>
          <w:vertAlign w:val="subscript"/>
          <w:lang w:val="lt-LT"/>
        </w:rPr>
        <w:t>4</w:t>
      </w:r>
      <w:r w:rsidRPr="00197E05">
        <w:rPr>
          <w:rFonts w:ascii="Cambria" w:hAnsi="Cambria"/>
          <w:noProof/>
          <w:sz w:val="22"/>
          <w:szCs w:val="22"/>
          <w:lang w:val="lt-LT"/>
        </w:rPr>
        <w:t>= L</w:t>
      </w:r>
      <w:r w:rsidRPr="00197E05">
        <w:rPr>
          <w:rFonts w:ascii="Cambria" w:hAnsi="Cambria"/>
          <w:noProof/>
          <w:sz w:val="22"/>
          <w:szCs w:val="22"/>
          <w:vertAlign w:val="subscript"/>
          <w:lang w:val="lt-LT"/>
        </w:rPr>
        <w:t>4</w:t>
      </w:r>
      <w:r w:rsidRPr="00197E05">
        <w:rPr>
          <w:rFonts w:ascii="Cambria" w:hAnsi="Cambria"/>
          <w:noProof/>
          <w:sz w:val="22"/>
          <w:szCs w:val="22"/>
          <w:lang w:val="lt-LT"/>
        </w:rPr>
        <w:t>= 0; T</w:t>
      </w:r>
      <w:r w:rsidRPr="00197E05">
        <w:rPr>
          <w:rFonts w:ascii="Cambria" w:hAnsi="Cambria"/>
          <w:noProof/>
          <w:sz w:val="22"/>
          <w:szCs w:val="22"/>
          <w:vertAlign w:val="subscript"/>
          <w:lang w:val="lt-LT"/>
        </w:rPr>
        <w:t>5</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5</w:t>
      </w:r>
      <w:r w:rsidRPr="00197E05">
        <w:rPr>
          <w:rFonts w:ascii="Cambria" w:hAnsi="Cambria"/>
          <w:noProof/>
          <w:sz w:val="22"/>
          <w:szCs w:val="22"/>
          <w:lang w:val="lt-LT"/>
        </w:rPr>
        <w:t xml:space="preserve"> = 0; T</w:t>
      </w:r>
      <w:r w:rsidRPr="00197E05">
        <w:rPr>
          <w:rFonts w:ascii="Cambria" w:hAnsi="Cambria"/>
          <w:noProof/>
          <w:sz w:val="22"/>
          <w:szCs w:val="22"/>
          <w:vertAlign w:val="subscript"/>
          <w:lang w:val="lt-LT"/>
        </w:rPr>
        <w:t>6</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6</w:t>
      </w:r>
      <w:r w:rsidRPr="00197E05">
        <w:rPr>
          <w:rFonts w:ascii="Cambria" w:hAnsi="Cambria"/>
          <w:noProof/>
          <w:sz w:val="22"/>
          <w:szCs w:val="22"/>
          <w:lang w:val="lt-LT"/>
        </w:rPr>
        <w:t xml:space="preserve"> = 0; T</w:t>
      </w:r>
      <w:r w:rsidRPr="00197E05">
        <w:rPr>
          <w:rFonts w:ascii="Cambria" w:hAnsi="Cambria"/>
          <w:noProof/>
          <w:sz w:val="22"/>
          <w:szCs w:val="22"/>
          <w:vertAlign w:val="subscript"/>
          <w:lang w:val="lt-LT"/>
        </w:rPr>
        <w:t>7</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7</w:t>
      </w:r>
      <w:r w:rsidRPr="00197E05">
        <w:rPr>
          <w:rFonts w:ascii="Cambria" w:hAnsi="Cambria"/>
          <w:noProof/>
          <w:sz w:val="22"/>
          <w:szCs w:val="22"/>
          <w:lang w:val="lt-LT"/>
        </w:rPr>
        <w:t xml:space="preserve"> = 0; T</w:t>
      </w:r>
      <w:r w:rsidRPr="00197E05">
        <w:rPr>
          <w:rFonts w:ascii="Cambria" w:hAnsi="Cambria"/>
          <w:noProof/>
          <w:sz w:val="22"/>
          <w:szCs w:val="22"/>
          <w:vertAlign w:val="subscript"/>
          <w:lang w:val="lt-LT"/>
        </w:rPr>
        <w:t>8</w:t>
      </w:r>
      <w:r w:rsidRPr="00197E05">
        <w:rPr>
          <w:rFonts w:ascii="Cambria" w:hAnsi="Cambria"/>
          <w:noProof/>
          <w:sz w:val="22"/>
          <w:szCs w:val="22"/>
          <w:lang w:val="lt-LT"/>
        </w:rPr>
        <w:t xml:space="preserve"> = L</w:t>
      </w:r>
      <w:r w:rsidRPr="00197E05">
        <w:rPr>
          <w:rFonts w:ascii="Cambria" w:hAnsi="Cambria"/>
          <w:noProof/>
          <w:sz w:val="22"/>
          <w:szCs w:val="22"/>
          <w:vertAlign w:val="subscript"/>
          <w:lang w:val="lt-LT"/>
        </w:rPr>
        <w:t>8</w:t>
      </w:r>
      <w:r w:rsidRPr="00197E05">
        <w:rPr>
          <w:rFonts w:ascii="Cambria" w:hAnsi="Cambria"/>
          <w:noProof/>
          <w:sz w:val="22"/>
          <w:szCs w:val="22"/>
          <w:lang w:val="lt-LT"/>
        </w:rPr>
        <w:t xml:space="preserve"> = 0. </w:t>
      </w:r>
    </w:p>
    <w:p w:rsidR="001C57BD" w:rsidRPr="00197E05" w:rsidRDefault="001C57BD" w:rsidP="001C57BD">
      <w:pPr>
        <w:shd w:val="clear" w:color="auto" w:fill="FFFFFF"/>
        <w:jc w:val="both"/>
        <w:rPr>
          <w:rFonts w:ascii="Cambria" w:hAnsi="Cambria"/>
          <w:noProof/>
          <w:sz w:val="22"/>
          <w:szCs w:val="22"/>
          <w:lang w:val="lt-LT"/>
        </w:rPr>
      </w:pPr>
      <w:r w:rsidRPr="00197E05">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1C57BD" w:rsidRPr="00197E05" w:rsidRDefault="001C57BD" w:rsidP="001C57BD">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8</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1C57BD" w:rsidRPr="00197E05" w:rsidRDefault="001C57BD" w:rsidP="001C57BD">
      <w:pPr>
        <w:jc w:val="both"/>
        <w:rPr>
          <w:rFonts w:ascii="Cambria" w:hAnsi="Cambria"/>
          <w:noProof/>
          <w:sz w:val="22"/>
          <w:szCs w:val="22"/>
          <w:lang w:val="lt-LT"/>
        </w:rPr>
      </w:pPr>
    </w:p>
    <w:p w:rsidR="001C57BD" w:rsidRPr="00197E05" w:rsidRDefault="001C57BD" w:rsidP="001C57BD">
      <w:pPr>
        <w:pStyle w:val="Skaiiai2lygis"/>
        <w:numPr>
          <w:ilvl w:val="0"/>
          <w:numId w:val="0"/>
        </w:numPr>
        <w:ind w:firstLine="426"/>
        <w:rPr>
          <w:rFonts w:ascii="Cambria" w:eastAsia="Calibri" w:hAnsi="Cambria"/>
          <w:noProof/>
          <w:color w:val="auto"/>
          <w:lang w:val="lt-LT"/>
        </w:rPr>
      </w:pPr>
      <w:r w:rsidRPr="00197E05">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1C57BD" w:rsidRPr="00197E05" w:rsidRDefault="001C57BD" w:rsidP="001C57BD">
      <w:pPr>
        <w:pStyle w:val="Skaiiai2lygis"/>
        <w:numPr>
          <w:ilvl w:val="0"/>
          <w:numId w:val="0"/>
        </w:numPr>
        <w:ind w:firstLine="426"/>
        <w:rPr>
          <w:rFonts w:ascii="Cambria" w:hAnsi="Cambria"/>
          <w:noProof/>
          <w:color w:val="auto"/>
          <w:lang w:val="lt-LT"/>
        </w:rPr>
      </w:pPr>
      <w:r w:rsidRPr="00197E05">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197E05">
        <w:rPr>
          <w:rFonts w:ascii="Cambria" w:hAnsi="Cambria"/>
          <w:noProof/>
          <w:color w:val="auto"/>
          <w:lang w:val="lt-LT"/>
        </w:rPr>
        <w:t xml:space="preserve"> </w:t>
      </w:r>
    </w:p>
    <w:p w:rsidR="001C57BD" w:rsidRPr="00197E05" w:rsidRDefault="001C57BD" w:rsidP="001C57BD">
      <w:pPr>
        <w:rPr>
          <w:rFonts w:ascii="Cambria" w:hAnsi="Cambria"/>
          <w:noProof/>
          <w:sz w:val="22"/>
          <w:szCs w:val="22"/>
          <w:lang w:val="lt-LT"/>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 xml:space="preserve">Tiekėjas, norėdamas iki pirkimo sutarties, įskaitant atvejus, kai ji sudaroma pagal preliminariąją sutartį, ar preliminariosios sutarties sudarymo teisme ginčyti perkančiosios </w:t>
      </w:r>
      <w:r w:rsidRPr="003714C3">
        <w:rPr>
          <w:rFonts w:asciiTheme="majorHAnsi" w:hAnsiTheme="majorHAnsi" w:cs="Times New Roman"/>
          <w:lang w:val="lt-LT"/>
        </w:rPr>
        <w:lastRenderedPageBreak/>
        <w:t>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lastRenderedPageBreak/>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1F67F4" w:rsidRDefault="001F67F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1F67F4">
        <w:rPr>
          <w:rFonts w:asciiTheme="majorHAnsi" w:hAnsiTheme="majorHAnsi"/>
          <w:b/>
          <w:bCs/>
          <w:sz w:val="22"/>
          <w:szCs w:val="22"/>
          <w:lang w:val="lt-LT"/>
        </w:rPr>
        <w:t>DEXA ĮRANGOS</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1F67F4" w:rsidRPr="003714C3" w:rsidTr="008B62D0">
        <w:trPr>
          <w:trHeight w:val="510"/>
        </w:trPr>
        <w:tc>
          <w:tcPr>
            <w:tcW w:w="568" w:type="dxa"/>
            <w:vAlign w:val="center"/>
          </w:tcPr>
          <w:p w:rsidR="001F67F4" w:rsidRPr="003F0374" w:rsidRDefault="001F67F4" w:rsidP="001F67F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1F67F4" w:rsidRPr="00197E05" w:rsidRDefault="001F67F4" w:rsidP="001F67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197E05">
              <w:rPr>
                <w:rFonts w:ascii="Cambria" w:hAnsi="Cambria"/>
                <w:noProof/>
                <w:sz w:val="22"/>
                <w:szCs w:val="22"/>
                <w:lang w:val="lt-LT"/>
              </w:rPr>
              <w:t>Laisva vertikali erdvė tarp stalviršio ir detektoriaus paviršių ≥ 600 mm (p. 2.6)</w:t>
            </w:r>
          </w:p>
        </w:tc>
        <w:tc>
          <w:tcPr>
            <w:tcW w:w="2126"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F67F4" w:rsidRPr="003714C3" w:rsidTr="008B62D0">
        <w:trPr>
          <w:trHeight w:val="510"/>
        </w:trPr>
        <w:tc>
          <w:tcPr>
            <w:tcW w:w="568" w:type="dxa"/>
            <w:vAlign w:val="center"/>
          </w:tcPr>
          <w:p w:rsidR="001F67F4" w:rsidRPr="003F0374" w:rsidRDefault="001F67F4" w:rsidP="001F67F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1F67F4" w:rsidRPr="00197E05" w:rsidRDefault="001F67F4" w:rsidP="001F67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197E05">
              <w:rPr>
                <w:rFonts w:ascii="Cambria" w:hAnsi="Cambria"/>
                <w:noProof/>
                <w:sz w:val="22"/>
                <w:szCs w:val="22"/>
                <w:lang w:val="lt-LT"/>
              </w:rPr>
              <w:t>Kanalų skaičius ≥ 128 (p. 5.1)</w:t>
            </w:r>
          </w:p>
        </w:tc>
        <w:tc>
          <w:tcPr>
            <w:tcW w:w="2126"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F67F4" w:rsidRPr="003714C3" w:rsidTr="008B62D0">
        <w:trPr>
          <w:trHeight w:val="510"/>
        </w:trPr>
        <w:tc>
          <w:tcPr>
            <w:tcW w:w="568" w:type="dxa"/>
            <w:vAlign w:val="center"/>
          </w:tcPr>
          <w:p w:rsidR="001F67F4" w:rsidRPr="003F0374" w:rsidRDefault="001F67F4" w:rsidP="001F67F4">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1F67F4" w:rsidRPr="00197E05" w:rsidRDefault="001F67F4" w:rsidP="001F67F4">
            <w:pPr>
              <w:rPr>
                <w:rFonts w:ascii="Cambria" w:hAnsi="Cambria"/>
                <w:noProof/>
                <w:color w:val="000000"/>
                <w:sz w:val="22"/>
                <w:szCs w:val="22"/>
                <w:lang w:val="lt-LT"/>
              </w:rPr>
            </w:pPr>
            <w:r w:rsidRPr="00197E05">
              <w:rPr>
                <w:rFonts w:ascii="Cambria" w:hAnsi="Cambria"/>
                <w:noProof/>
                <w:color w:val="000000"/>
                <w:sz w:val="22"/>
                <w:szCs w:val="22"/>
                <w:lang w:val="lt-LT"/>
              </w:rPr>
              <w:t>Mažo tankio stuburo ir klubo programa (p. 7.1.7)</w:t>
            </w:r>
          </w:p>
        </w:tc>
        <w:tc>
          <w:tcPr>
            <w:tcW w:w="2126"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F67F4" w:rsidRPr="003714C3" w:rsidTr="008B62D0">
        <w:trPr>
          <w:trHeight w:val="510"/>
        </w:trPr>
        <w:tc>
          <w:tcPr>
            <w:tcW w:w="568" w:type="dxa"/>
            <w:vAlign w:val="center"/>
          </w:tcPr>
          <w:p w:rsidR="001F67F4" w:rsidRPr="003F0374" w:rsidRDefault="001F67F4" w:rsidP="001F67F4">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1F67F4" w:rsidRPr="00197E05" w:rsidRDefault="001F67F4" w:rsidP="001F67F4">
            <w:pPr>
              <w:rPr>
                <w:rFonts w:ascii="Cambria" w:hAnsi="Cambria"/>
                <w:noProof/>
                <w:sz w:val="22"/>
                <w:szCs w:val="22"/>
                <w:lang w:val="lt-LT"/>
              </w:rPr>
            </w:pPr>
            <w:r w:rsidRPr="00197E05">
              <w:rPr>
                <w:rFonts w:ascii="Cambria" w:hAnsi="Cambria"/>
                <w:noProof/>
                <w:sz w:val="22"/>
                <w:szCs w:val="22"/>
                <w:lang w:val="lt-LT"/>
              </w:rPr>
              <w:t>Ortopedinio kelio programa (p. 7.1.9)</w:t>
            </w:r>
          </w:p>
        </w:tc>
        <w:tc>
          <w:tcPr>
            <w:tcW w:w="2126"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F67F4" w:rsidRPr="003714C3" w:rsidTr="008B62D0">
        <w:trPr>
          <w:trHeight w:val="510"/>
        </w:trPr>
        <w:tc>
          <w:tcPr>
            <w:tcW w:w="568" w:type="dxa"/>
            <w:vAlign w:val="center"/>
          </w:tcPr>
          <w:p w:rsidR="001F67F4" w:rsidRPr="003F0374" w:rsidRDefault="001F67F4" w:rsidP="001F67F4">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1F67F4" w:rsidRPr="00197E05" w:rsidRDefault="001F67F4" w:rsidP="001F67F4">
            <w:pPr>
              <w:rPr>
                <w:rFonts w:ascii="Cambria" w:hAnsi="Cambria"/>
                <w:noProof/>
                <w:sz w:val="22"/>
                <w:szCs w:val="22"/>
                <w:lang w:val="lt-LT"/>
              </w:rPr>
            </w:pPr>
            <w:r w:rsidRPr="00197E05">
              <w:rPr>
                <w:rFonts w:ascii="Cambria" w:hAnsi="Cambria"/>
                <w:noProof/>
                <w:sz w:val="22"/>
                <w:szCs w:val="22"/>
                <w:lang w:val="lt-LT"/>
              </w:rPr>
              <w:t>Skoliozinio stuburo programa (p. 7.1.10)</w:t>
            </w:r>
          </w:p>
        </w:tc>
        <w:tc>
          <w:tcPr>
            <w:tcW w:w="2126"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F67F4" w:rsidRPr="003714C3" w:rsidTr="008B62D0">
        <w:trPr>
          <w:trHeight w:val="510"/>
        </w:trPr>
        <w:tc>
          <w:tcPr>
            <w:tcW w:w="568" w:type="dxa"/>
            <w:vAlign w:val="center"/>
          </w:tcPr>
          <w:p w:rsidR="001F67F4" w:rsidRPr="003F0374" w:rsidRDefault="001F67F4" w:rsidP="001F67F4">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6</w:t>
            </w:r>
          </w:p>
        </w:tc>
        <w:tc>
          <w:tcPr>
            <w:tcW w:w="3969" w:type="dxa"/>
            <w:shd w:val="clear" w:color="auto" w:fill="auto"/>
          </w:tcPr>
          <w:p w:rsidR="001F67F4" w:rsidRPr="00197E05" w:rsidRDefault="001F67F4" w:rsidP="001F67F4">
            <w:pPr>
              <w:rPr>
                <w:rFonts w:ascii="Cambria" w:hAnsi="Cambria"/>
                <w:noProof/>
                <w:sz w:val="22"/>
                <w:szCs w:val="22"/>
                <w:lang w:val="lt-LT"/>
              </w:rPr>
            </w:pPr>
            <w:r w:rsidRPr="00197E05">
              <w:rPr>
                <w:rFonts w:ascii="Cambria" w:hAnsi="Cambria"/>
                <w:noProof/>
                <w:sz w:val="22"/>
                <w:szCs w:val="22"/>
                <w:lang w:val="lt-LT"/>
              </w:rPr>
              <w:t>Stuburo slankstelio lūžio analizė su pilvo aortos kalcifikacijos aptikimo funkcija (p. 7.5)</w:t>
            </w:r>
          </w:p>
        </w:tc>
        <w:tc>
          <w:tcPr>
            <w:tcW w:w="2126"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F67F4" w:rsidRPr="003714C3" w:rsidTr="008B62D0">
        <w:trPr>
          <w:trHeight w:val="510"/>
        </w:trPr>
        <w:tc>
          <w:tcPr>
            <w:tcW w:w="568" w:type="dxa"/>
            <w:vAlign w:val="center"/>
          </w:tcPr>
          <w:p w:rsidR="001F67F4" w:rsidRPr="003F0374" w:rsidRDefault="001F67F4" w:rsidP="001F67F4">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7</w:t>
            </w:r>
          </w:p>
        </w:tc>
        <w:tc>
          <w:tcPr>
            <w:tcW w:w="3969" w:type="dxa"/>
            <w:shd w:val="clear" w:color="auto" w:fill="auto"/>
          </w:tcPr>
          <w:p w:rsidR="001F67F4" w:rsidRPr="00197E05" w:rsidRDefault="001F67F4" w:rsidP="001F67F4">
            <w:pPr>
              <w:rPr>
                <w:rFonts w:ascii="Cambria" w:hAnsi="Cambria"/>
                <w:noProof/>
                <w:sz w:val="22"/>
                <w:szCs w:val="22"/>
                <w:lang w:val="lt-LT"/>
              </w:rPr>
            </w:pPr>
            <w:r w:rsidRPr="00197E05">
              <w:rPr>
                <w:rFonts w:ascii="Cambria" w:hAnsi="Cambria"/>
                <w:noProof/>
                <w:sz w:val="22"/>
                <w:szCs w:val="22"/>
                <w:lang w:val="lt-LT"/>
              </w:rPr>
              <w:t>Funkcija leidžianti tyrimo metu pakartotinai nustatyti tiriamosios zonos poziciją nekeičiant paciento padėties (p. 7.6)</w:t>
            </w:r>
          </w:p>
        </w:tc>
        <w:tc>
          <w:tcPr>
            <w:tcW w:w="2126"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F67F4" w:rsidRPr="003714C3" w:rsidTr="008B62D0">
        <w:trPr>
          <w:trHeight w:val="510"/>
        </w:trPr>
        <w:tc>
          <w:tcPr>
            <w:tcW w:w="568" w:type="dxa"/>
            <w:vAlign w:val="center"/>
          </w:tcPr>
          <w:p w:rsidR="001F67F4" w:rsidRDefault="001F67F4" w:rsidP="001F67F4">
            <w:pPr>
              <w:ind w:right="-81"/>
              <w:jc w:val="center"/>
              <w:rPr>
                <w:rFonts w:ascii="Cambria" w:hAnsi="Cambria"/>
                <w:color w:val="000000" w:themeColor="text1"/>
                <w:sz w:val="22"/>
                <w:szCs w:val="22"/>
              </w:rPr>
            </w:pPr>
            <w:r>
              <w:rPr>
                <w:rFonts w:ascii="Cambria" w:hAnsi="Cambria"/>
                <w:color w:val="000000" w:themeColor="text1"/>
                <w:sz w:val="22"/>
                <w:szCs w:val="22"/>
              </w:rPr>
              <w:t>T</w:t>
            </w:r>
            <w:r w:rsidRPr="001F67F4">
              <w:rPr>
                <w:rFonts w:ascii="Cambria" w:hAnsi="Cambria"/>
                <w:color w:val="000000" w:themeColor="text1"/>
                <w:sz w:val="22"/>
                <w:szCs w:val="22"/>
                <w:vertAlign w:val="subscript"/>
              </w:rPr>
              <w:t>8</w:t>
            </w:r>
          </w:p>
        </w:tc>
        <w:tc>
          <w:tcPr>
            <w:tcW w:w="3969" w:type="dxa"/>
            <w:shd w:val="clear" w:color="auto" w:fill="auto"/>
          </w:tcPr>
          <w:p w:rsidR="001F67F4" w:rsidRPr="00197E05" w:rsidRDefault="001F67F4" w:rsidP="001F67F4">
            <w:pPr>
              <w:rPr>
                <w:rFonts w:ascii="Cambria" w:hAnsi="Cambria"/>
                <w:noProof/>
                <w:sz w:val="22"/>
                <w:szCs w:val="22"/>
                <w:lang w:val="lt-LT"/>
              </w:rPr>
            </w:pPr>
            <w:r w:rsidRPr="00197E05">
              <w:rPr>
                <w:rFonts w:ascii="Cambria" w:eastAsia="Calibri" w:hAnsi="Cambria"/>
                <w:sz w:val="22"/>
                <w:szCs w:val="22"/>
                <w:bdr w:val="none" w:sz="0" w:space="0" w:color="auto"/>
                <w:lang w:val="lt-LT"/>
              </w:rPr>
              <w:t xml:space="preserve">Garantinis terminas </w:t>
            </w:r>
            <w:r w:rsidRPr="00197E05">
              <w:rPr>
                <w:rFonts w:ascii="Cambria" w:eastAsia="Calibri" w:hAnsi="Cambria"/>
                <w:color w:val="000000"/>
                <w:sz w:val="22"/>
                <w:szCs w:val="22"/>
                <w:bdr w:val="none" w:sz="0" w:space="0" w:color="auto"/>
                <w:lang w:val="lt-LT"/>
              </w:rPr>
              <w:t>≥ 36 mėn. (p. 13)</w:t>
            </w:r>
          </w:p>
        </w:tc>
        <w:tc>
          <w:tcPr>
            <w:tcW w:w="2126"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F67F4" w:rsidRPr="003714C3" w:rsidRDefault="001F67F4" w:rsidP="001F67F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 xml:space="preserve">Jei pasiūlyme nėra konfidencialios informacijos, tiekėjas turi nurodyti, kad konfidencialios informacijos pasiūlyme </w:t>
            </w:r>
            <w:proofErr w:type="gramStart"/>
            <w:r w:rsidRPr="003714C3">
              <w:rPr>
                <w:rFonts w:asciiTheme="majorHAnsi" w:hAnsiTheme="majorHAnsi"/>
                <w:sz w:val="22"/>
                <w:szCs w:val="22"/>
              </w:rPr>
              <w:t>nėra.</w:t>
            </w:r>
            <w:r w:rsidRPr="003714C3">
              <w:rPr>
                <w:rFonts w:asciiTheme="majorHAnsi" w:hAnsiTheme="majorHAnsi"/>
                <w:sz w:val="22"/>
                <w:szCs w:val="22"/>
              </w:rPr>
              <w:softHyphen/>
            </w:r>
            <w:proofErr w:type="gramEnd"/>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92B1B" w:rsidRPr="003714C3" w:rsidRDefault="00F92B1B" w:rsidP="002E1987">
            <w:pPr>
              <w:pBdr>
                <w:bottom w:val="single" w:sz="4" w:space="1" w:color="auto"/>
              </w:pBdr>
              <w:ind w:firstLine="440"/>
              <w:jc w:val="both"/>
              <w:rPr>
                <w:rFonts w:asciiTheme="majorHAnsi" w:hAnsiTheme="majorHAnsi"/>
                <w:sz w:val="22"/>
                <w:szCs w:val="22"/>
              </w:rPr>
            </w:pPr>
            <w:bookmarkStart w:id="7" w:name="_GoBack"/>
            <w:bookmarkEnd w:id="7"/>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873" w:rsidRDefault="00041873" w:rsidP="00922417">
      <w:r>
        <w:separator/>
      </w:r>
    </w:p>
  </w:endnote>
  <w:endnote w:type="continuationSeparator" w:id="0">
    <w:p w:rsidR="00041873" w:rsidRDefault="0004187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7F4" w:rsidRDefault="001F67F4">
    <w:pPr>
      <w:pStyle w:val="Porat"/>
      <w:jc w:val="right"/>
    </w:pPr>
  </w:p>
  <w:p w:rsidR="001F67F4" w:rsidRDefault="001F67F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7F4" w:rsidRDefault="001F67F4">
    <w:pPr>
      <w:pStyle w:val="Porat"/>
      <w:jc w:val="right"/>
    </w:pPr>
  </w:p>
  <w:p w:rsidR="001F67F4" w:rsidRDefault="001F67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873" w:rsidRDefault="00041873" w:rsidP="00922417">
      <w:r>
        <w:separator/>
      </w:r>
    </w:p>
  </w:footnote>
  <w:footnote w:type="continuationSeparator" w:id="0">
    <w:p w:rsidR="00041873" w:rsidRDefault="00041873" w:rsidP="00922417">
      <w:r>
        <w:continuationSeparator/>
      </w:r>
    </w:p>
  </w:footnote>
  <w:footnote w:id="1">
    <w:p w:rsidR="001F67F4" w:rsidRPr="00C54A7B" w:rsidRDefault="001F67F4"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F67F4" w:rsidRPr="00C54A7B" w:rsidRDefault="001F67F4" w:rsidP="00401D35">
      <w:pPr>
        <w:pStyle w:val="Puslapioinaostekstas"/>
        <w:numPr>
          <w:ilvl w:val="0"/>
          <w:numId w:val="6"/>
        </w:numPr>
        <w:rPr>
          <w:rFonts w:eastAsia="Yu Mincho"/>
          <w:i/>
          <w:iCs/>
        </w:rPr>
      </w:pPr>
      <w:r w:rsidRPr="00C54A7B">
        <w:rPr>
          <w:rFonts w:eastAsia="Yu Mincho"/>
          <w:i/>
          <w:iCs/>
        </w:rPr>
        <w:t xml:space="preserve">priesaikos deklaracija; </w:t>
      </w:r>
    </w:p>
    <w:p w:rsidR="001F67F4" w:rsidRDefault="001F67F4"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F67F4" w:rsidRPr="00551FCA" w:rsidRDefault="001F67F4"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8"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9" w15:restartNumberingAfterBreak="0">
    <w:nsid w:val="53D1439C"/>
    <w:multiLevelType w:val="hybridMultilevel"/>
    <w:tmpl w:val="D04EE87E"/>
    <w:lvl w:ilvl="0" w:tplc="E8B6237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4"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5"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6"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0"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13"/>
  </w:num>
  <w:num w:numId="5">
    <w:abstractNumId w:val="21"/>
  </w:num>
  <w:num w:numId="6">
    <w:abstractNumId w:val="22"/>
  </w:num>
  <w:num w:numId="7">
    <w:abstractNumId w:val="6"/>
  </w:num>
  <w:num w:numId="8">
    <w:abstractNumId w:val="23"/>
  </w:num>
  <w:num w:numId="9">
    <w:abstractNumId w:val="15"/>
  </w:num>
  <w:num w:numId="10">
    <w:abstractNumId w:val="24"/>
  </w:num>
  <w:num w:numId="11">
    <w:abstractNumId w:val="5"/>
  </w:num>
  <w:num w:numId="12">
    <w:abstractNumId w:val="14"/>
  </w:num>
  <w:num w:numId="13">
    <w:abstractNumId w:val="30"/>
  </w:num>
  <w:num w:numId="14">
    <w:abstractNumId w:val="2"/>
  </w:num>
  <w:num w:numId="15">
    <w:abstractNumId w:val="18"/>
  </w:num>
  <w:num w:numId="16">
    <w:abstractNumId w:val="3"/>
  </w:num>
  <w:num w:numId="17">
    <w:abstractNumId w:val="20"/>
  </w:num>
  <w:num w:numId="18">
    <w:abstractNumId w:val="28"/>
  </w:num>
  <w:num w:numId="19">
    <w:abstractNumId w:val="8"/>
  </w:num>
  <w:num w:numId="20">
    <w:abstractNumId w:val="7"/>
  </w:num>
  <w:num w:numId="21">
    <w:abstractNumId w:val="16"/>
  </w:num>
  <w:num w:numId="22">
    <w:abstractNumId w:val="25"/>
  </w:num>
  <w:num w:numId="23">
    <w:abstractNumId w:val="11"/>
  </w:num>
  <w:num w:numId="24">
    <w:abstractNumId w:val="4"/>
  </w:num>
  <w:num w:numId="25">
    <w:abstractNumId w:val="17"/>
  </w:num>
  <w:num w:numId="26">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num>
  <w:num w:numId="29">
    <w:abstractNumId w:val="1"/>
  </w:num>
  <w:num w:numId="30">
    <w:abstractNumId w:val="0"/>
  </w:num>
  <w:num w:numId="31">
    <w:abstractNumId w:val="19"/>
  </w:num>
  <w:num w:numId="3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3FF"/>
    <w:rsid w:val="00034C23"/>
    <w:rsid w:val="0004174F"/>
    <w:rsid w:val="00041873"/>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05B1"/>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7BD"/>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7F4"/>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0FC0"/>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5EF6"/>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1D88"/>
    <w:rsid w:val="003D22F8"/>
    <w:rsid w:val="003D3513"/>
    <w:rsid w:val="003D674B"/>
    <w:rsid w:val="003E113D"/>
    <w:rsid w:val="003E27D0"/>
    <w:rsid w:val="003E29F2"/>
    <w:rsid w:val="003E2DDC"/>
    <w:rsid w:val="003E4A30"/>
    <w:rsid w:val="003E4D05"/>
    <w:rsid w:val="003F0374"/>
    <w:rsid w:val="003F2B73"/>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E6C98"/>
    <w:rsid w:val="006F167E"/>
    <w:rsid w:val="006F17AA"/>
    <w:rsid w:val="007009BD"/>
    <w:rsid w:val="00701A83"/>
    <w:rsid w:val="00703195"/>
    <w:rsid w:val="00707B07"/>
    <w:rsid w:val="00710BA6"/>
    <w:rsid w:val="0071233C"/>
    <w:rsid w:val="007135C3"/>
    <w:rsid w:val="00713A67"/>
    <w:rsid w:val="00716026"/>
    <w:rsid w:val="00716866"/>
    <w:rsid w:val="00720377"/>
    <w:rsid w:val="0072393F"/>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5E22"/>
    <w:rsid w:val="00887ADA"/>
    <w:rsid w:val="00891014"/>
    <w:rsid w:val="00891659"/>
    <w:rsid w:val="00892316"/>
    <w:rsid w:val="00894823"/>
    <w:rsid w:val="008A115A"/>
    <w:rsid w:val="008A3026"/>
    <w:rsid w:val="008B08FC"/>
    <w:rsid w:val="008B19BF"/>
    <w:rsid w:val="008B3E8C"/>
    <w:rsid w:val="008B402E"/>
    <w:rsid w:val="008B62D0"/>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687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2A9B"/>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2BCB"/>
    <w:rsid w:val="00C938A5"/>
    <w:rsid w:val="00C94A57"/>
    <w:rsid w:val="00C953D0"/>
    <w:rsid w:val="00CA093D"/>
    <w:rsid w:val="00CA0954"/>
    <w:rsid w:val="00CA0A9B"/>
    <w:rsid w:val="00CA444C"/>
    <w:rsid w:val="00CA6B68"/>
    <w:rsid w:val="00CA6DE5"/>
    <w:rsid w:val="00CA7F82"/>
    <w:rsid w:val="00CB0BA7"/>
    <w:rsid w:val="00CB509A"/>
    <w:rsid w:val="00CB5C6F"/>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2B1B"/>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E24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BFBDA-481A-4658-BC63-65E0611F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25</Pages>
  <Words>47626</Words>
  <Characters>27147</Characters>
  <Application>Microsoft Office Word</Application>
  <DocSecurity>0</DocSecurity>
  <Lines>226</Lines>
  <Paragraphs>149</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229</cp:revision>
  <cp:lastPrinted>2024-03-22T12:28:00Z</cp:lastPrinted>
  <dcterms:created xsi:type="dcterms:W3CDTF">2023-11-14T08:29:00Z</dcterms:created>
  <dcterms:modified xsi:type="dcterms:W3CDTF">2026-01-09T13:13:00Z</dcterms:modified>
</cp:coreProperties>
</file>