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1675" w14:textId="2A97BF4E" w:rsidR="00151160" w:rsidRDefault="00151160" w:rsidP="00151160">
      <w:pPr>
        <w:spacing w:after="0"/>
        <w:jc w:val="right"/>
        <w:rPr>
          <w:rFonts w:ascii="Times New Roman" w:hAnsi="Times New Roman"/>
          <w:bCs/>
          <w:sz w:val="20"/>
          <w:szCs w:val="20"/>
        </w:rPr>
      </w:pPr>
      <w:r w:rsidRPr="00151160">
        <w:rPr>
          <w:rFonts w:ascii="Times New Roman" w:hAnsi="Times New Roman"/>
          <w:bCs/>
          <w:sz w:val="20"/>
          <w:szCs w:val="20"/>
        </w:rPr>
        <w:t>1 priedas Techninė specifikacija</w:t>
      </w:r>
    </w:p>
    <w:p w14:paraId="16C9E2B4" w14:textId="77777777" w:rsidR="00151160" w:rsidRPr="00151160" w:rsidRDefault="00151160" w:rsidP="00151160">
      <w:pPr>
        <w:spacing w:after="0"/>
        <w:jc w:val="right"/>
        <w:rPr>
          <w:rFonts w:ascii="Times New Roman" w:hAnsi="Times New Roman"/>
          <w:bCs/>
          <w:sz w:val="20"/>
          <w:szCs w:val="20"/>
        </w:rPr>
      </w:pPr>
    </w:p>
    <w:p w14:paraId="47101AF2" w14:textId="7EDE597D" w:rsidR="00151160" w:rsidRDefault="00151160" w:rsidP="00151160">
      <w:pPr>
        <w:spacing w:after="0"/>
        <w:jc w:val="center"/>
        <w:rPr>
          <w:rFonts w:ascii="Times New Roman" w:hAnsi="Times New Roman"/>
          <w:b/>
        </w:rPr>
      </w:pPr>
      <w:r w:rsidRPr="00ED317B">
        <w:rPr>
          <w:rFonts w:ascii="Times New Roman" w:hAnsi="Times New Roman"/>
          <w:b/>
        </w:rPr>
        <w:t>SAVITARNOS RŪBINĖS SISTEM</w:t>
      </w:r>
      <w:r>
        <w:rPr>
          <w:rFonts w:ascii="Times New Roman" w:hAnsi="Times New Roman"/>
          <w:b/>
        </w:rPr>
        <w:t>OS</w:t>
      </w:r>
      <w:r w:rsidRPr="00ED317B">
        <w:rPr>
          <w:rFonts w:ascii="Times New Roman" w:hAnsi="Times New Roman"/>
          <w:b/>
        </w:rPr>
        <w:t xml:space="preserve"> SU MONTAVIMU IR PRISTATYMU </w:t>
      </w:r>
    </w:p>
    <w:p w14:paraId="4FE69479" w14:textId="77777777" w:rsidR="00151160" w:rsidRDefault="00151160" w:rsidP="00151160">
      <w:pPr>
        <w:spacing w:after="0"/>
        <w:jc w:val="center"/>
        <w:rPr>
          <w:rStyle w:val="eop"/>
          <w:rFonts w:ascii="Times New Roman" w:hAnsi="Times New Roman"/>
          <w:b/>
        </w:rPr>
      </w:pPr>
      <w:r w:rsidRPr="00CC36CE">
        <w:rPr>
          <w:rStyle w:val="eop"/>
          <w:rFonts w:ascii="Times New Roman" w:hAnsi="Times New Roman"/>
          <w:b/>
        </w:rPr>
        <w:t>TECHNINĖ SPECIFIKACIJA</w:t>
      </w:r>
    </w:p>
    <w:p w14:paraId="319B5296" w14:textId="77777777" w:rsidR="00151160" w:rsidRPr="00CC36CE" w:rsidRDefault="00151160" w:rsidP="00151160">
      <w:pPr>
        <w:spacing w:after="0"/>
        <w:rPr>
          <w:rStyle w:val="eop"/>
          <w:rFonts w:ascii="Times New Roman" w:hAnsi="Times New Roman"/>
          <w:b/>
        </w:rPr>
      </w:pPr>
    </w:p>
    <w:p w14:paraId="2EBC1DA9" w14:textId="77777777" w:rsidR="00151160" w:rsidRPr="00F715CE" w:rsidRDefault="00151160" w:rsidP="00151160">
      <w:pPr>
        <w:pStyle w:val="ListParagraph"/>
        <w:numPr>
          <w:ilvl w:val="0"/>
          <w:numId w:val="6"/>
        </w:numPr>
        <w:spacing w:after="0" w:line="240" w:lineRule="auto"/>
        <w:jc w:val="center"/>
        <w:rPr>
          <w:rFonts w:ascii="Times New Roman" w:eastAsia="Times New Roman" w:hAnsi="Times New Roman"/>
          <w:b/>
        </w:rPr>
      </w:pPr>
      <w:r w:rsidRPr="00F715CE">
        <w:rPr>
          <w:rFonts w:ascii="Times New Roman" w:eastAsia="Times New Roman" w:hAnsi="Times New Roman"/>
          <w:b/>
        </w:rPr>
        <w:t>ĮVADINĖ INFORMACIJA</w:t>
      </w:r>
    </w:p>
    <w:p w14:paraId="01CA95B8" w14:textId="77777777" w:rsidR="00151160" w:rsidRPr="00F715CE" w:rsidRDefault="00151160" w:rsidP="00151160">
      <w:pPr>
        <w:spacing w:after="0"/>
        <w:jc w:val="both"/>
        <w:rPr>
          <w:rFonts w:ascii="Times New Roman" w:eastAsia="Times New Roman" w:hAnsi="Times New Roman"/>
        </w:rPr>
      </w:pPr>
      <w:r w:rsidRPr="00151160">
        <w:rPr>
          <w:rFonts w:ascii="Times New Roman" w:eastAsia="Times New Roman" w:hAnsi="Times New Roman"/>
          <w:b/>
          <w:bCs/>
        </w:rPr>
        <w:t>1.1.</w:t>
      </w:r>
      <w:r w:rsidRPr="00F715CE">
        <w:rPr>
          <w:rFonts w:ascii="Times New Roman" w:eastAsia="Times New Roman" w:hAnsi="Times New Roman"/>
        </w:rPr>
        <w:t xml:space="preserve"> </w:t>
      </w:r>
      <w:r w:rsidRPr="00F715CE">
        <w:rPr>
          <w:rFonts w:ascii="Times New Roman" w:eastAsia="Times New Roman" w:hAnsi="Times New Roman"/>
          <w:b/>
        </w:rPr>
        <w:t>Perkančioji organizacija:</w:t>
      </w:r>
    </w:p>
    <w:p w14:paraId="53DE6598"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 xml:space="preserve">Viešoji įstaiga Vilniaus universiteto ligoninės Santaros klinikos  </w:t>
      </w:r>
    </w:p>
    <w:p w14:paraId="15EC6971"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Santariškių g. 2, Vilnius</w:t>
      </w:r>
    </w:p>
    <w:p w14:paraId="2995C9C7"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Įmonės kodas:  124364561</w:t>
      </w:r>
    </w:p>
    <w:p w14:paraId="726A93D5"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PVM mokėtojo kodas: LT243645610</w:t>
      </w:r>
    </w:p>
    <w:p w14:paraId="7DB64996"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 xml:space="preserve">  </w:t>
      </w:r>
      <w:r w:rsidRPr="00151160">
        <w:rPr>
          <w:rFonts w:ascii="Times New Roman" w:eastAsia="Times New Roman" w:hAnsi="Times New Roman"/>
          <w:b/>
          <w:bCs/>
        </w:rPr>
        <w:t>1.2.</w:t>
      </w:r>
      <w:r w:rsidRPr="00F715CE">
        <w:rPr>
          <w:rFonts w:ascii="Times New Roman" w:eastAsia="Times New Roman" w:hAnsi="Times New Roman"/>
        </w:rPr>
        <w:t xml:space="preserve"> </w:t>
      </w:r>
      <w:r w:rsidRPr="00F715CE">
        <w:rPr>
          <w:rFonts w:ascii="Times New Roman" w:eastAsia="Times New Roman" w:hAnsi="Times New Roman"/>
          <w:b/>
          <w:bCs/>
        </w:rPr>
        <w:t>Gavėjas:</w:t>
      </w:r>
    </w:p>
    <w:p w14:paraId="5531FF65"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 xml:space="preserve">Viešosios įstaigos Vilnius universiteto ligoninės Santaros klinikų filialas </w:t>
      </w:r>
    </w:p>
    <w:p w14:paraId="7A1FA1ED"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Nacionalinis vėžio centras</w:t>
      </w:r>
    </w:p>
    <w:p w14:paraId="2A93F1F1" w14:textId="77777777" w:rsidR="00151160" w:rsidRPr="00F715CE" w:rsidRDefault="00151160" w:rsidP="00151160">
      <w:pPr>
        <w:spacing w:after="0"/>
        <w:ind w:left="142"/>
        <w:rPr>
          <w:rFonts w:ascii="Times New Roman" w:eastAsia="Times New Roman" w:hAnsi="Times New Roman"/>
        </w:rPr>
      </w:pPr>
      <w:r w:rsidRPr="00F715CE">
        <w:rPr>
          <w:rFonts w:ascii="Times New Roman" w:eastAsia="Times New Roman" w:hAnsi="Times New Roman"/>
        </w:rPr>
        <w:t>Santariškių g. 1, Vilnius</w:t>
      </w:r>
    </w:p>
    <w:p w14:paraId="08B5734F" w14:textId="3A6E5DA1" w:rsidR="00151160" w:rsidRPr="00F715CE" w:rsidRDefault="00151160" w:rsidP="00151160">
      <w:pPr>
        <w:ind w:left="142"/>
        <w:rPr>
          <w:rFonts w:ascii="Times New Roman" w:eastAsia="Times New Roman" w:hAnsi="Times New Roman"/>
        </w:rPr>
      </w:pPr>
      <w:r w:rsidRPr="00151160">
        <w:rPr>
          <w:rFonts w:ascii="Times New Roman" w:eastAsia="Times New Roman" w:hAnsi="Times New Roman"/>
        </w:rPr>
        <w:t>Filialo kodas Juridinių asmenų registre</w:t>
      </w:r>
      <w:r w:rsidRPr="00F715CE">
        <w:rPr>
          <w:rFonts w:ascii="Times New Roman" w:eastAsia="Times New Roman" w:hAnsi="Times New Roman"/>
        </w:rPr>
        <w:t>:  307053706</w:t>
      </w:r>
    </w:p>
    <w:p w14:paraId="34155F7D" w14:textId="77777777" w:rsidR="00151160" w:rsidRPr="00151160" w:rsidRDefault="00151160" w:rsidP="00151160">
      <w:pPr>
        <w:numPr>
          <w:ilvl w:val="0"/>
          <w:numId w:val="6"/>
        </w:numPr>
        <w:spacing w:after="0"/>
        <w:ind w:left="284" w:firstLine="76"/>
        <w:jc w:val="center"/>
        <w:rPr>
          <w:rStyle w:val="eop"/>
          <w:rFonts w:ascii="Times New Roman" w:hAnsi="Times New Roman"/>
          <w:b/>
        </w:rPr>
      </w:pPr>
      <w:r w:rsidRPr="00151160">
        <w:rPr>
          <w:rFonts w:ascii="Times New Roman" w:eastAsia="Times New Roman" w:hAnsi="Times New Roman"/>
          <w:b/>
          <w:bCs/>
        </w:rPr>
        <w:t>PAGRINDINIAI REIKALAVIMAI MEDŽIAGOMS, GAMINIAMS IR DARBAMS</w:t>
      </w:r>
    </w:p>
    <w:p w14:paraId="32FD0452" w14:textId="77777777" w:rsidR="00151160" w:rsidRPr="00EC02D1" w:rsidRDefault="00151160" w:rsidP="00151160">
      <w:pPr>
        <w:spacing w:after="0"/>
        <w:jc w:val="both"/>
        <w:rPr>
          <w:rStyle w:val="eop"/>
          <w:rFonts w:ascii="Times New Roman" w:hAnsi="Times New Roman"/>
          <w:b/>
        </w:rPr>
      </w:pPr>
      <w:r w:rsidRPr="00EC02D1">
        <w:rPr>
          <w:rStyle w:val="eop"/>
          <w:rFonts w:ascii="Times New Roman" w:hAnsi="Times New Roman"/>
          <w:b/>
        </w:rPr>
        <w:t>Savitarnos rūbinės vieta:</w:t>
      </w:r>
    </w:p>
    <w:p w14:paraId="2F9B8353" w14:textId="77777777" w:rsidR="00151160" w:rsidRDefault="00151160" w:rsidP="00151160">
      <w:pPr>
        <w:spacing w:after="0"/>
        <w:jc w:val="both"/>
        <w:rPr>
          <w:rStyle w:val="eop"/>
          <w:rFonts w:ascii="Times New Roman" w:hAnsi="Times New Roman"/>
          <w:bCs/>
        </w:rPr>
      </w:pPr>
      <w:r w:rsidRPr="00F715CE">
        <w:rPr>
          <w:rStyle w:val="eop"/>
          <w:rFonts w:ascii="Times New Roman" w:hAnsi="Times New Roman"/>
          <w:bCs/>
        </w:rPr>
        <w:t>Nacionalini</w:t>
      </w:r>
      <w:r>
        <w:rPr>
          <w:rStyle w:val="eop"/>
          <w:rFonts w:ascii="Times New Roman" w:hAnsi="Times New Roman"/>
          <w:bCs/>
        </w:rPr>
        <w:t>s</w:t>
      </w:r>
      <w:r w:rsidRPr="00F715CE">
        <w:rPr>
          <w:rStyle w:val="eop"/>
          <w:rFonts w:ascii="Times New Roman" w:hAnsi="Times New Roman"/>
          <w:bCs/>
        </w:rPr>
        <w:t xml:space="preserve"> vėžio centras, Santariškių g. 1 pagrindinis holas</w:t>
      </w:r>
    </w:p>
    <w:p w14:paraId="7C09D034" w14:textId="77777777" w:rsidR="00151160" w:rsidRPr="00672E2B" w:rsidRDefault="00151160" w:rsidP="00151160">
      <w:pPr>
        <w:spacing w:after="0"/>
        <w:jc w:val="both"/>
        <w:rPr>
          <w:rStyle w:val="eop"/>
          <w:rFonts w:ascii="Times New Roman" w:hAnsi="Times New Roman"/>
          <w:bCs/>
        </w:rPr>
      </w:pPr>
    </w:p>
    <w:p w14:paraId="1F855EEB" w14:textId="77777777" w:rsidR="00151160" w:rsidRDefault="00151160" w:rsidP="00151160">
      <w:pPr>
        <w:spacing w:after="0"/>
        <w:jc w:val="both"/>
        <w:rPr>
          <w:rStyle w:val="eop"/>
          <w:rFonts w:ascii="Times New Roman" w:hAnsi="Times New Roman"/>
          <w:b/>
        </w:rPr>
      </w:pPr>
      <w:r w:rsidRPr="00EC02D1">
        <w:rPr>
          <w:rStyle w:val="eop"/>
          <w:rFonts w:ascii="Times New Roman" w:hAnsi="Times New Roman"/>
          <w:b/>
        </w:rPr>
        <w:t>Savitarnos rūbinės veikimo principas: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1160" w:rsidRPr="0003604B" w14:paraId="70BEA2E1" w14:textId="77777777" w:rsidTr="00DB20B2">
        <w:tc>
          <w:tcPr>
            <w:tcW w:w="9747" w:type="dxa"/>
          </w:tcPr>
          <w:p w14:paraId="5A9712F2"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1189A52C" w14:textId="77777777" w:rsidTr="00DB20B2">
        <w:tc>
          <w:tcPr>
            <w:tcW w:w="9747" w:type="dxa"/>
          </w:tcPr>
          <w:p w14:paraId="5C7B9131" w14:textId="77777777" w:rsidR="00151160" w:rsidRPr="0003604B" w:rsidRDefault="00151160" w:rsidP="00DB20B2">
            <w:pPr>
              <w:numPr>
                <w:ilvl w:val="0"/>
                <w:numId w:val="1"/>
              </w:numPr>
              <w:tabs>
                <w:tab w:val="left" w:pos="312"/>
              </w:tabs>
              <w:spacing w:after="0" w:line="240" w:lineRule="auto"/>
              <w:ind w:left="28" w:firstLine="0"/>
              <w:jc w:val="both"/>
              <w:rPr>
                <w:rStyle w:val="eop"/>
                <w:rFonts w:ascii="Times New Roman" w:hAnsi="Times New Roman"/>
              </w:rPr>
            </w:pPr>
            <w:r w:rsidRPr="0003604B">
              <w:rPr>
                <w:rStyle w:val="eop"/>
                <w:rFonts w:ascii="Times New Roman" w:hAnsi="Times New Roman"/>
              </w:rPr>
              <w:t>Savitarnos rūbinė turi veikti šiuo principu - lankytojas kabina savo drabužį ant pakabos ir per rankovę prakiša lankstų strypą, kurio laisvą galą įstato į spyną.</w:t>
            </w:r>
          </w:p>
          <w:p w14:paraId="0B7DDD98" w14:textId="77777777" w:rsidR="00151160" w:rsidRPr="0003604B" w:rsidRDefault="00151160" w:rsidP="00DB20B2">
            <w:pPr>
              <w:numPr>
                <w:ilvl w:val="0"/>
                <w:numId w:val="1"/>
              </w:numPr>
              <w:tabs>
                <w:tab w:val="left" w:pos="312"/>
              </w:tabs>
              <w:spacing w:after="0" w:line="240" w:lineRule="auto"/>
              <w:ind w:left="28" w:firstLine="0"/>
              <w:jc w:val="both"/>
              <w:rPr>
                <w:rStyle w:val="eop"/>
                <w:rFonts w:ascii="Times New Roman" w:hAnsi="Times New Roman"/>
              </w:rPr>
            </w:pPr>
            <w:r w:rsidRPr="0003604B">
              <w:rPr>
                <w:rStyle w:val="eop"/>
                <w:rFonts w:ascii="Times New Roman" w:hAnsi="Times New Roman"/>
              </w:rPr>
              <w:t>Įmetus į spyną 1 arba 2 eurų monetą, spyna užrakinama ir raktas pasiimamas.</w:t>
            </w:r>
          </w:p>
          <w:p w14:paraId="76AACD0F" w14:textId="77777777" w:rsidR="00151160" w:rsidRPr="0003604B" w:rsidRDefault="00151160" w:rsidP="00DB20B2">
            <w:pPr>
              <w:numPr>
                <w:ilvl w:val="0"/>
                <w:numId w:val="1"/>
              </w:numPr>
              <w:tabs>
                <w:tab w:val="left" w:pos="312"/>
              </w:tabs>
              <w:spacing w:after="0" w:line="240" w:lineRule="auto"/>
              <w:ind w:left="28" w:firstLine="0"/>
              <w:jc w:val="both"/>
              <w:rPr>
                <w:rStyle w:val="eop"/>
                <w:rFonts w:ascii="Times New Roman" w:hAnsi="Times New Roman"/>
                <w:b/>
              </w:rPr>
            </w:pPr>
            <w:r w:rsidRPr="0003604B">
              <w:rPr>
                <w:rStyle w:val="eop"/>
                <w:rFonts w:ascii="Times New Roman" w:hAnsi="Times New Roman"/>
              </w:rPr>
              <w:t>Norint pasiimti drabužį – spyna atrakinama, moneta pasiimama. Raktą iš spynos ištraukti galima tik esant jai užrakintai.</w:t>
            </w:r>
          </w:p>
        </w:tc>
      </w:tr>
    </w:tbl>
    <w:p w14:paraId="6892520A" w14:textId="77777777" w:rsidR="00151160" w:rsidRPr="00EC02D1" w:rsidRDefault="00151160" w:rsidP="00151160">
      <w:pPr>
        <w:spacing w:after="0"/>
        <w:jc w:val="both"/>
        <w:rPr>
          <w:rStyle w:val="eop"/>
          <w:rFonts w:ascii="Times New Roman" w:hAnsi="Times New Roman"/>
          <w:b/>
        </w:rPr>
      </w:pPr>
    </w:p>
    <w:p w14:paraId="5062274B" w14:textId="77777777" w:rsidR="00151160" w:rsidRDefault="00151160" w:rsidP="00151160">
      <w:pPr>
        <w:spacing w:after="0"/>
        <w:jc w:val="both"/>
        <w:rPr>
          <w:rStyle w:val="eop"/>
          <w:rFonts w:ascii="Times New Roman" w:hAnsi="Times New Roman"/>
        </w:rPr>
      </w:pPr>
      <w:r w:rsidRPr="00EC02D1">
        <w:rPr>
          <w:rStyle w:val="eop"/>
          <w:rFonts w:ascii="Times New Roman" w:hAnsi="Times New Roman"/>
          <w:b/>
          <w:bCs/>
        </w:rPr>
        <w:t>Rūbinėje numatytas kiekis</w:t>
      </w:r>
      <w:r w:rsidRPr="00EC02D1">
        <w:rPr>
          <w:rStyle w:val="eop"/>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1160" w:rsidRPr="0003604B" w14:paraId="3360D44D" w14:textId="77777777" w:rsidTr="00DB20B2">
        <w:tc>
          <w:tcPr>
            <w:tcW w:w="9747" w:type="dxa"/>
          </w:tcPr>
          <w:p w14:paraId="608A4408"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1263DB4E" w14:textId="77777777" w:rsidTr="00DB20B2">
        <w:trPr>
          <w:trHeight w:val="610"/>
        </w:trPr>
        <w:tc>
          <w:tcPr>
            <w:tcW w:w="9747" w:type="dxa"/>
          </w:tcPr>
          <w:p w14:paraId="24BD6F4E" w14:textId="77777777" w:rsidR="00151160" w:rsidRPr="00550571" w:rsidRDefault="00151160" w:rsidP="00151160">
            <w:pPr>
              <w:numPr>
                <w:ilvl w:val="0"/>
                <w:numId w:val="7"/>
              </w:numPr>
              <w:spacing w:after="0"/>
              <w:ind w:left="284" w:hanging="284"/>
              <w:jc w:val="both"/>
              <w:rPr>
                <w:rStyle w:val="eop"/>
                <w:rFonts w:ascii="Times New Roman" w:hAnsi="Times New Roman"/>
              </w:rPr>
            </w:pPr>
            <w:r w:rsidRPr="0003604B">
              <w:rPr>
                <w:rStyle w:val="eop"/>
                <w:rFonts w:ascii="Times New Roman" w:hAnsi="Times New Roman"/>
              </w:rPr>
              <w:t xml:space="preserve">Drabužiams kabinti vietų skaičius, </w:t>
            </w:r>
            <w:r w:rsidRPr="0003604B">
              <w:rPr>
                <w:rStyle w:val="eop"/>
                <w:rFonts w:ascii="Times New Roman" w:hAnsi="Times New Roman"/>
                <w:bCs/>
              </w:rPr>
              <w:t xml:space="preserve">techninės specifikacijos </w:t>
            </w:r>
            <w:r w:rsidRPr="0003604B">
              <w:rPr>
                <w:rStyle w:val="eop"/>
                <w:rFonts w:ascii="Times New Roman" w:hAnsi="Times New Roman"/>
              </w:rPr>
              <w:t xml:space="preserve">priede Nr. </w:t>
            </w:r>
            <w:r>
              <w:rPr>
                <w:rStyle w:val="eop"/>
                <w:rFonts w:ascii="Times New Roman" w:hAnsi="Times New Roman"/>
              </w:rPr>
              <w:t>1</w:t>
            </w:r>
            <w:r w:rsidRPr="0003604B">
              <w:rPr>
                <w:rStyle w:val="eop"/>
                <w:rFonts w:ascii="Times New Roman" w:hAnsi="Times New Roman"/>
              </w:rPr>
              <w:t xml:space="preserve"> nurodytoje erdvėje, turi būti ne mažiau </w:t>
            </w:r>
            <w:r w:rsidRPr="00F715CE">
              <w:rPr>
                <w:rStyle w:val="eop"/>
                <w:rFonts w:ascii="Times New Roman" w:hAnsi="Times New Roman"/>
              </w:rPr>
              <w:t>110</w:t>
            </w:r>
            <w:r w:rsidRPr="0003604B">
              <w:rPr>
                <w:rStyle w:val="eop"/>
                <w:rFonts w:ascii="Times New Roman" w:hAnsi="Times New Roman"/>
              </w:rPr>
              <w:t xml:space="preserve"> vnt.</w:t>
            </w:r>
            <w:r>
              <w:rPr>
                <w:rStyle w:val="eop"/>
                <w:rFonts w:ascii="Times New Roman" w:hAnsi="Times New Roman"/>
              </w:rPr>
              <w:t xml:space="preserve"> </w:t>
            </w:r>
          </w:p>
        </w:tc>
      </w:tr>
    </w:tbl>
    <w:p w14:paraId="1BE0FC41" w14:textId="77777777" w:rsidR="00151160" w:rsidRDefault="00151160" w:rsidP="00151160">
      <w:pPr>
        <w:spacing w:after="0"/>
        <w:ind w:left="284"/>
        <w:jc w:val="both"/>
        <w:rPr>
          <w:rStyle w:val="eop"/>
          <w:rFonts w:ascii="Times New Roman" w:hAnsi="Times New Roman"/>
        </w:rPr>
      </w:pPr>
    </w:p>
    <w:p w14:paraId="213A16F1" w14:textId="77777777" w:rsidR="00151160" w:rsidRPr="00550571" w:rsidRDefault="00151160" w:rsidP="00151160">
      <w:pPr>
        <w:spacing w:after="0"/>
        <w:jc w:val="both"/>
        <w:rPr>
          <w:rFonts w:ascii="Times New Roman" w:hAnsi="Times New Roman"/>
        </w:rPr>
      </w:pPr>
      <w:r>
        <w:rPr>
          <w:rStyle w:val="eop"/>
          <w:rFonts w:ascii="Times New Roman" w:hAnsi="Times New Roman"/>
        </w:rPr>
        <w:t>Vizualizacija:</w:t>
      </w:r>
    </w:p>
    <w:p w14:paraId="4C8EE069" w14:textId="5B2DF5D4" w:rsidR="00151160" w:rsidRDefault="00151160" w:rsidP="00151160">
      <w:pPr>
        <w:spacing w:after="0"/>
        <w:jc w:val="both"/>
      </w:pPr>
      <w:r>
        <w:rPr>
          <w:noProof/>
        </w:rPr>
        <w:drawing>
          <wp:inline distT="0" distB="0" distL="0" distR="0" wp14:anchorId="72A2B173" wp14:editId="1F63546F">
            <wp:extent cx="3571875" cy="2657475"/>
            <wp:effectExtent l="0" t="0" r="9525" b="9525"/>
            <wp:docPr id="16105453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1875" cy="2657475"/>
                    </a:xfrm>
                    <a:prstGeom prst="rect">
                      <a:avLst/>
                    </a:prstGeom>
                    <a:noFill/>
                    <a:ln>
                      <a:noFill/>
                    </a:ln>
                  </pic:spPr>
                </pic:pic>
              </a:graphicData>
            </a:graphic>
          </wp:inline>
        </w:drawing>
      </w:r>
    </w:p>
    <w:p w14:paraId="2043F337" w14:textId="77777777" w:rsidR="00151160" w:rsidRPr="00EC02D1" w:rsidRDefault="00151160" w:rsidP="00151160">
      <w:pPr>
        <w:spacing w:after="0"/>
        <w:jc w:val="both"/>
        <w:rPr>
          <w:rStyle w:val="eop"/>
          <w:rFonts w:ascii="Times New Roman" w:hAnsi="Times New Roman"/>
        </w:rPr>
      </w:pPr>
    </w:p>
    <w:p w14:paraId="69D63B00" w14:textId="77777777" w:rsidR="00151160" w:rsidRDefault="00151160" w:rsidP="00151160">
      <w:pPr>
        <w:spacing w:after="0"/>
        <w:jc w:val="both"/>
        <w:rPr>
          <w:rStyle w:val="eop"/>
          <w:rFonts w:ascii="Times New Roman" w:hAnsi="Times New Roman"/>
          <w:b/>
        </w:rPr>
      </w:pPr>
      <w:r w:rsidRPr="00EC02D1">
        <w:rPr>
          <w:rStyle w:val="eop"/>
          <w:rFonts w:ascii="Times New Roman" w:hAnsi="Times New Roman"/>
          <w:b/>
        </w:rPr>
        <w:t>Konstrukcijos aprašymas: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51160" w:rsidRPr="0003604B" w14:paraId="245A5206" w14:textId="77777777" w:rsidTr="00DB20B2">
        <w:tc>
          <w:tcPr>
            <w:tcW w:w="9747" w:type="dxa"/>
          </w:tcPr>
          <w:p w14:paraId="5AA26DC7"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56EE27D0" w14:textId="77777777" w:rsidTr="00DB20B2">
        <w:tc>
          <w:tcPr>
            <w:tcW w:w="9747" w:type="dxa"/>
          </w:tcPr>
          <w:p w14:paraId="380964C8" w14:textId="77777777" w:rsidR="00151160" w:rsidRPr="0003604B" w:rsidRDefault="00151160" w:rsidP="00DB20B2">
            <w:pPr>
              <w:pStyle w:val="paragraph"/>
              <w:numPr>
                <w:ilvl w:val="0"/>
                <w:numId w:val="2"/>
              </w:numPr>
              <w:tabs>
                <w:tab w:val="left" w:pos="426"/>
              </w:tabs>
              <w:ind w:left="0" w:right="-1" w:firstLine="142"/>
              <w:jc w:val="both"/>
              <w:textAlignment w:val="baseline"/>
              <w:rPr>
                <w:rStyle w:val="eop"/>
                <w:rFonts w:eastAsiaTheme="majorEastAsia"/>
                <w:sz w:val="22"/>
                <w:szCs w:val="22"/>
                <w:lang w:val="lt-LT"/>
              </w:rPr>
            </w:pPr>
            <w:r w:rsidRPr="0003604B">
              <w:rPr>
                <w:rStyle w:val="eop"/>
                <w:rFonts w:eastAsiaTheme="majorEastAsia"/>
                <w:sz w:val="22"/>
                <w:szCs w:val="22"/>
                <w:lang w:val="lt-LT"/>
              </w:rPr>
              <w:t>Pastatomi, metaliniai rėmai, pagaminti iš metalinio vamzdžio, ne plonesnio nei 50x18 mm.</w:t>
            </w:r>
          </w:p>
          <w:p w14:paraId="5B6C13C3" w14:textId="77777777" w:rsidR="00151160" w:rsidRPr="0003604B" w:rsidRDefault="00151160" w:rsidP="00DB20B2">
            <w:pPr>
              <w:pStyle w:val="paragraph"/>
              <w:numPr>
                <w:ilvl w:val="0"/>
                <w:numId w:val="2"/>
              </w:numPr>
              <w:tabs>
                <w:tab w:val="left" w:pos="426"/>
              </w:tabs>
              <w:ind w:left="0" w:right="-1" w:firstLine="142"/>
              <w:jc w:val="both"/>
              <w:textAlignment w:val="baseline"/>
              <w:rPr>
                <w:rStyle w:val="eop"/>
                <w:rFonts w:eastAsiaTheme="majorEastAsia"/>
                <w:sz w:val="22"/>
                <w:szCs w:val="22"/>
                <w:lang w:val="lt-LT"/>
              </w:rPr>
            </w:pPr>
            <w:r w:rsidRPr="0003604B">
              <w:rPr>
                <w:rStyle w:val="eop"/>
                <w:rFonts w:eastAsiaTheme="majorEastAsia"/>
                <w:sz w:val="22"/>
                <w:szCs w:val="22"/>
                <w:lang w:val="lt-LT"/>
              </w:rPr>
              <w:t>Rėmuose tvirtinasi pakabos ir monetiniai užraktai.</w:t>
            </w:r>
          </w:p>
          <w:p w14:paraId="5C3F0823" w14:textId="77777777" w:rsidR="00151160" w:rsidRPr="0003604B" w:rsidRDefault="00151160" w:rsidP="00DB20B2">
            <w:pPr>
              <w:pStyle w:val="paragraph"/>
              <w:numPr>
                <w:ilvl w:val="0"/>
                <w:numId w:val="2"/>
              </w:numPr>
              <w:tabs>
                <w:tab w:val="left" w:pos="426"/>
              </w:tabs>
              <w:ind w:left="0" w:right="-1" w:firstLine="142"/>
              <w:jc w:val="both"/>
              <w:textAlignment w:val="baseline"/>
              <w:rPr>
                <w:rStyle w:val="eop"/>
                <w:rFonts w:eastAsiaTheme="majorEastAsia"/>
                <w:sz w:val="22"/>
                <w:szCs w:val="22"/>
                <w:lang w:val="lt-LT"/>
              </w:rPr>
            </w:pPr>
            <w:r w:rsidRPr="0003604B">
              <w:rPr>
                <w:rStyle w:val="eop"/>
                <w:rFonts w:eastAsiaTheme="majorEastAsia"/>
                <w:sz w:val="22"/>
                <w:szCs w:val="22"/>
                <w:lang w:val="lt-LT"/>
              </w:rPr>
              <w:t xml:space="preserve">Konstrukcijos apačioje formuojama lentyna, iš drėgmei atsparios plokštės, 30 ±5 cm nuo žemės. </w:t>
            </w:r>
          </w:p>
          <w:p w14:paraId="792820EB" w14:textId="77777777" w:rsidR="00151160" w:rsidRPr="0003604B" w:rsidRDefault="00151160" w:rsidP="00DB20B2">
            <w:pPr>
              <w:pStyle w:val="paragraph"/>
              <w:numPr>
                <w:ilvl w:val="0"/>
                <w:numId w:val="2"/>
              </w:numPr>
              <w:tabs>
                <w:tab w:val="left" w:pos="426"/>
              </w:tabs>
              <w:ind w:left="0" w:right="-1" w:firstLine="142"/>
              <w:jc w:val="both"/>
              <w:textAlignment w:val="baseline"/>
              <w:rPr>
                <w:rStyle w:val="eop"/>
                <w:rFonts w:eastAsiaTheme="majorEastAsia"/>
                <w:sz w:val="22"/>
                <w:szCs w:val="22"/>
                <w:lang w:val="lt-LT"/>
              </w:rPr>
            </w:pPr>
            <w:r w:rsidRPr="0003604B">
              <w:rPr>
                <w:rStyle w:val="eop"/>
                <w:rFonts w:eastAsiaTheme="majorEastAsia"/>
                <w:sz w:val="22"/>
                <w:szCs w:val="22"/>
                <w:lang w:val="lt-LT"/>
              </w:rPr>
              <w:t>Plokštės spalva derinama prieš užsakant gaminius.</w:t>
            </w:r>
          </w:p>
          <w:p w14:paraId="1383E164" w14:textId="77777777" w:rsidR="00151160" w:rsidRPr="0003604B" w:rsidRDefault="00151160" w:rsidP="00DB20B2">
            <w:pPr>
              <w:numPr>
                <w:ilvl w:val="0"/>
                <w:numId w:val="2"/>
              </w:numPr>
              <w:tabs>
                <w:tab w:val="left" w:pos="426"/>
              </w:tabs>
              <w:spacing w:after="0" w:line="240" w:lineRule="auto"/>
              <w:ind w:left="0" w:firstLine="142"/>
              <w:jc w:val="both"/>
              <w:rPr>
                <w:rStyle w:val="eop"/>
                <w:rFonts w:ascii="Times New Roman" w:hAnsi="Times New Roman"/>
              </w:rPr>
            </w:pPr>
            <w:r w:rsidRPr="0003604B">
              <w:rPr>
                <w:rStyle w:val="eop"/>
                <w:rFonts w:ascii="Times New Roman" w:hAnsi="Times New Roman"/>
              </w:rPr>
              <w:t xml:space="preserve">Rėmų galai turi būti apdirbti – neturi būti atvirų ertmių. </w:t>
            </w:r>
          </w:p>
          <w:p w14:paraId="456A8348" w14:textId="77777777" w:rsidR="00151160" w:rsidRPr="0003604B" w:rsidRDefault="00151160" w:rsidP="00DB20B2">
            <w:pPr>
              <w:numPr>
                <w:ilvl w:val="0"/>
                <w:numId w:val="2"/>
              </w:numPr>
              <w:tabs>
                <w:tab w:val="left" w:pos="426"/>
              </w:tabs>
              <w:spacing w:after="0" w:line="240" w:lineRule="auto"/>
              <w:ind w:left="0" w:firstLine="142"/>
              <w:jc w:val="both"/>
              <w:rPr>
                <w:rStyle w:val="eop"/>
                <w:rFonts w:ascii="Times New Roman" w:hAnsi="Times New Roman"/>
              </w:rPr>
            </w:pPr>
            <w:r w:rsidRPr="0003604B">
              <w:rPr>
                <w:rStyle w:val="eop"/>
                <w:rFonts w:ascii="Times New Roman" w:hAnsi="Times New Roman"/>
              </w:rPr>
              <w:t>Rėmai turi būti nudažyti milteliniu būdu. Spalva pasirenkama prieš užsakant gaminius.</w:t>
            </w:r>
          </w:p>
          <w:p w14:paraId="223B45B6" w14:textId="77777777" w:rsidR="00151160" w:rsidRPr="00CA1B59" w:rsidRDefault="00151160" w:rsidP="00DB20B2">
            <w:pPr>
              <w:numPr>
                <w:ilvl w:val="0"/>
                <w:numId w:val="2"/>
              </w:numPr>
              <w:tabs>
                <w:tab w:val="left" w:pos="426"/>
              </w:tabs>
              <w:spacing w:after="0" w:line="240" w:lineRule="auto"/>
              <w:ind w:left="0" w:firstLine="142"/>
              <w:jc w:val="both"/>
              <w:rPr>
                <w:rStyle w:val="eop"/>
                <w:rFonts w:ascii="Times New Roman" w:hAnsi="Times New Roman"/>
              </w:rPr>
            </w:pPr>
            <w:r w:rsidRPr="0003604B">
              <w:rPr>
                <w:rStyle w:val="eop"/>
                <w:rFonts w:ascii="Times New Roman" w:hAnsi="Times New Roman"/>
              </w:rPr>
              <w:t>Konstrukcija susideda iš pakaboms skirto karkaso, kurio aukštis  - 180±5 cm</w:t>
            </w:r>
          </w:p>
        </w:tc>
      </w:tr>
    </w:tbl>
    <w:p w14:paraId="097A4875" w14:textId="77777777" w:rsidR="00151160" w:rsidRDefault="00151160" w:rsidP="00151160">
      <w:pPr>
        <w:spacing w:after="0"/>
        <w:jc w:val="both"/>
        <w:rPr>
          <w:rStyle w:val="eop"/>
          <w:rFonts w:ascii="Times New Roman" w:hAnsi="Times New Roman"/>
        </w:rPr>
      </w:pPr>
    </w:p>
    <w:p w14:paraId="333A6794" w14:textId="77777777" w:rsidR="00151160" w:rsidRPr="00EC02D1" w:rsidRDefault="00151160" w:rsidP="00151160">
      <w:pPr>
        <w:spacing w:after="0"/>
        <w:jc w:val="both"/>
        <w:rPr>
          <w:rStyle w:val="eop"/>
          <w:rFonts w:ascii="Times New Roman" w:hAnsi="Times New Roman"/>
        </w:rPr>
      </w:pPr>
      <w:r w:rsidRPr="00EC02D1">
        <w:rPr>
          <w:rStyle w:val="eop"/>
          <w:rFonts w:ascii="Times New Roman" w:hAnsi="Times New Roman"/>
        </w:rPr>
        <w:t>Konstrukcijos pavyzdys (be norimo suformuoti viršutinio tūrio):</w:t>
      </w:r>
    </w:p>
    <w:p w14:paraId="62A45FA5" w14:textId="17C4500B" w:rsidR="00151160" w:rsidRDefault="00151160" w:rsidP="00151160">
      <w:pPr>
        <w:spacing w:after="0"/>
        <w:rPr>
          <w:rStyle w:val="eop"/>
          <w:rFonts w:ascii="Times New Roman" w:hAnsi="Times New Roman"/>
        </w:rPr>
      </w:pPr>
      <w:r>
        <w:rPr>
          <w:rStyle w:val="eop"/>
          <w:rFonts w:ascii="Times New Roman" w:hAnsi="Times New Roman"/>
          <w:noProof/>
        </w:rPr>
        <w:drawing>
          <wp:inline distT="0" distB="0" distL="0" distR="0" wp14:anchorId="667E7772" wp14:editId="45A2F601">
            <wp:extent cx="2428875" cy="3057525"/>
            <wp:effectExtent l="0" t="0" r="9525" b="9525"/>
            <wp:docPr id="539586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3057525"/>
                    </a:xfrm>
                    <a:prstGeom prst="rect">
                      <a:avLst/>
                    </a:prstGeom>
                    <a:noFill/>
                    <a:ln>
                      <a:noFill/>
                    </a:ln>
                  </pic:spPr>
                </pic:pic>
              </a:graphicData>
            </a:graphic>
          </wp:inline>
        </w:drawing>
      </w:r>
    </w:p>
    <w:p w14:paraId="56F636B3" w14:textId="77777777" w:rsidR="00151160" w:rsidRDefault="00151160" w:rsidP="00151160">
      <w:pPr>
        <w:spacing w:after="0"/>
        <w:rPr>
          <w:rStyle w:val="eop"/>
          <w:rFonts w:ascii="Times New Roman" w:hAnsi="Times New Roman"/>
        </w:rPr>
      </w:pPr>
    </w:p>
    <w:p w14:paraId="3E9D513C" w14:textId="77777777" w:rsidR="00151160" w:rsidRDefault="00151160" w:rsidP="00151160">
      <w:pPr>
        <w:spacing w:after="0"/>
        <w:rPr>
          <w:rFonts w:ascii="Times New Roman" w:hAnsi="Times New Roman"/>
          <w:b/>
        </w:rPr>
      </w:pPr>
      <w:r w:rsidRPr="003B214F">
        <w:rPr>
          <w:rFonts w:ascii="Times New Roman" w:hAnsi="Times New Roman"/>
          <w:b/>
        </w:rPr>
        <w:t>Pakabos: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1160" w:rsidRPr="0003604B" w14:paraId="6E9D63E2" w14:textId="77777777" w:rsidTr="00DB20B2">
        <w:tc>
          <w:tcPr>
            <w:tcW w:w="9747" w:type="dxa"/>
          </w:tcPr>
          <w:p w14:paraId="34424D54"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22D06373" w14:textId="77777777" w:rsidTr="00DB20B2">
        <w:tc>
          <w:tcPr>
            <w:tcW w:w="9747" w:type="dxa"/>
          </w:tcPr>
          <w:p w14:paraId="270DC32C" w14:textId="77777777" w:rsidR="00151160" w:rsidRPr="0003604B" w:rsidRDefault="00151160" w:rsidP="00DB20B2">
            <w:pPr>
              <w:numPr>
                <w:ilvl w:val="0"/>
                <w:numId w:val="3"/>
              </w:numPr>
              <w:tabs>
                <w:tab w:val="left" w:pos="426"/>
              </w:tabs>
              <w:autoSpaceDE w:val="0"/>
              <w:autoSpaceDN w:val="0"/>
              <w:adjustRightInd w:val="0"/>
              <w:spacing w:after="0" w:line="240" w:lineRule="auto"/>
              <w:ind w:left="142" w:firstLine="0"/>
              <w:jc w:val="both"/>
              <w:rPr>
                <w:rFonts w:ascii="Times New Roman" w:eastAsia="ArialMT" w:hAnsi="Times New Roman"/>
                <w:lang w:eastAsia="lt-LT"/>
              </w:rPr>
            </w:pPr>
            <w:r w:rsidRPr="0003604B">
              <w:rPr>
                <w:rFonts w:ascii="Times New Roman" w:eastAsia="ArialMT" w:hAnsi="Times New Roman"/>
                <w:lang w:eastAsia="lt-LT"/>
              </w:rPr>
              <w:t>Skersiniame vamzdyje tvirtinamos pakabos. Atstumas tarp pakabų centrų – ne mažiau nei 100 mm. Pakabos dažytos juoda spalva.</w:t>
            </w:r>
          </w:p>
          <w:p w14:paraId="56054261" w14:textId="77777777" w:rsidR="00151160" w:rsidRPr="0003604B" w:rsidRDefault="00151160" w:rsidP="00DB20B2">
            <w:pPr>
              <w:numPr>
                <w:ilvl w:val="0"/>
                <w:numId w:val="3"/>
              </w:numPr>
              <w:tabs>
                <w:tab w:val="left" w:pos="426"/>
              </w:tabs>
              <w:spacing w:after="0"/>
              <w:ind w:left="142" w:firstLine="0"/>
              <w:jc w:val="both"/>
              <w:rPr>
                <w:rStyle w:val="eop"/>
                <w:rFonts w:ascii="Times New Roman" w:hAnsi="Times New Roman"/>
              </w:rPr>
            </w:pPr>
            <w:r w:rsidRPr="0003604B">
              <w:rPr>
                <w:rStyle w:val="eop"/>
                <w:rFonts w:ascii="Times New Roman" w:hAnsi="Times New Roman"/>
              </w:rPr>
              <w:t>Pakaba turi turėti metalinį ne trumpesnį kaip 1,1 m ilgio lankstų strypą, dengtą plastiku, kurio vienas galas įtvirtintas į pakabą, kitame gale yra detalė, užrakinama spynoje.</w:t>
            </w:r>
          </w:p>
        </w:tc>
      </w:tr>
    </w:tbl>
    <w:p w14:paraId="2F83EEF2" w14:textId="77777777" w:rsidR="00151160" w:rsidRDefault="00151160" w:rsidP="00151160">
      <w:pPr>
        <w:spacing w:after="0"/>
        <w:rPr>
          <w:rFonts w:ascii="Times New Roman" w:hAnsi="Times New Roman"/>
          <w:b/>
        </w:rPr>
      </w:pPr>
    </w:p>
    <w:p w14:paraId="73728E48" w14:textId="77777777" w:rsidR="00151160" w:rsidRDefault="00151160" w:rsidP="00151160">
      <w:pPr>
        <w:spacing w:after="0"/>
        <w:rPr>
          <w:rStyle w:val="eop"/>
          <w:rFonts w:ascii="Times New Roman" w:hAnsi="Times New Roman"/>
          <w:b/>
        </w:rPr>
      </w:pPr>
      <w:r w:rsidRPr="003B214F">
        <w:rPr>
          <w:rStyle w:val="eop"/>
          <w:rFonts w:ascii="Times New Roman" w:hAnsi="Times New Roman"/>
          <w:b/>
        </w:rPr>
        <w:t>Spynos: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1160" w:rsidRPr="0003604B" w14:paraId="21CADA78" w14:textId="77777777" w:rsidTr="00DB20B2">
        <w:tc>
          <w:tcPr>
            <w:tcW w:w="9747" w:type="dxa"/>
          </w:tcPr>
          <w:p w14:paraId="0CC94E3B"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2F41B6CA" w14:textId="77777777" w:rsidTr="00DB20B2">
        <w:tc>
          <w:tcPr>
            <w:tcW w:w="9747" w:type="dxa"/>
          </w:tcPr>
          <w:p w14:paraId="7E2BE76F" w14:textId="77777777" w:rsidR="00151160" w:rsidRPr="0003604B" w:rsidRDefault="00151160" w:rsidP="00DB20B2">
            <w:pPr>
              <w:numPr>
                <w:ilvl w:val="0"/>
                <w:numId w:val="4"/>
              </w:numPr>
              <w:tabs>
                <w:tab w:val="left" w:pos="426"/>
              </w:tabs>
              <w:spacing w:after="0"/>
              <w:ind w:left="142" w:firstLine="0"/>
              <w:jc w:val="both"/>
              <w:rPr>
                <w:rStyle w:val="eop"/>
                <w:rFonts w:ascii="Times New Roman" w:hAnsi="Times New Roman"/>
              </w:rPr>
            </w:pPr>
            <w:r w:rsidRPr="0003604B">
              <w:rPr>
                <w:rStyle w:val="eop"/>
                <w:rFonts w:ascii="Times New Roman" w:hAnsi="Times New Roman"/>
              </w:rPr>
              <w:t>Kiekviena spyna turi turėti ne mažiau kaip 2 raktų komplekt</w:t>
            </w:r>
            <w:r>
              <w:rPr>
                <w:rStyle w:val="eop"/>
                <w:rFonts w:ascii="Times New Roman" w:hAnsi="Times New Roman"/>
              </w:rPr>
              <w:t>ą</w:t>
            </w:r>
            <w:r w:rsidRPr="0003604B">
              <w:rPr>
                <w:rStyle w:val="eop"/>
                <w:rFonts w:ascii="Times New Roman" w:hAnsi="Times New Roman"/>
              </w:rPr>
              <w:t>.</w:t>
            </w:r>
          </w:p>
          <w:p w14:paraId="755A9637" w14:textId="77777777" w:rsidR="00151160" w:rsidRPr="0003604B" w:rsidRDefault="00151160" w:rsidP="00DB20B2">
            <w:pPr>
              <w:numPr>
                <w:ilvl w:val="0"/>
                <w:numId w:val="4"/>
              </w:numPr>
              <w:tabs>
                <w:tab w:val="left" w:pos="426"/>
              </w:tabs>
              <w:spacing w:after="0"/>
              <w:ind w:left="142" w:firstLine="0"/>
              <w:jc w:val="both"/>
              <w:rPr>
                <w:rStyle w:val="eop"/>
                <w:rFonts w:ascii="Times New Roman" w:hAnsi="Times New Roman"/>
                <w:b/>
              </w:rPr>
            </w:pPr>
            <w:r w:rsidRPr="0003604B">
              <w:rPr>
                <w:rStyle w:val="eop"/>
                <w:rFonts w:ascii="Times New Roman" w:hAnsi="Times New Roman"/>
              </w:rPr>
              <w:t>Kiekvienai spynai reikalinga numeracija ant spynų bei pakabukas prie raktų.</w:t>
            </w:r>
          </w:p>
        </w:tc>
      </w:tr>
    </w:tbl>
    <w:p w14:paraId="070E3223" w14:textId="77777777" w:rsidR="00151160" w:rsidRDefault="00151160" w:rsidP="00151160">
      <w:pPr>
        <w:spacing w:after="0"/>
        <w:rPr>
          <w:rStyle w:val="eop"/>
          <w:rFonts w:ascii="Times New Roman" w:hAnsi="Times New Roman"/>
        </w:rPr>
      </w:pPr>
    </w:p>
    <w:p w14:paraId="46A61885" w14:textId="77777777" w:rsidR="00151160" w:rsidRDefault="00151160" w:rsidP="00151160">
      <w:pPr>
        <w:spacing w:after="0"/>
        <w:rPr>
          <w:rStyle w:val="eop"/>
          <w:rFonts w:ascii="Times New Roman" w:hAnsi="Times New Roman"/>
        </w:rPr>
      </w:pPr>
      <w:r>
        <w:rPr>
          <w:rStyle w:val="eop"/>
          <w:rFonts w:ascii="Times New Roman" w:hAnsi="Times New Roman"/>
        </w:rPr>
        <w:t>Pakabos ir spynos konstrukcijos pavyzdys:</w:t>
      </w:r>
    </w:p>
    <w:p w14:paraId="6D077BCF" w14:textId="79DF7A97" w:rsidR="00151160" w:rsidRDefault="00151160" w:rsidP="00151160">
      <w:pPr>
        <w:spacing w:after="0"/>
        <w:rPr>
          <w:rStyle w:val="eop"/>
          <w:rFonts w:ascii="Times New Roman" w:hAnsi="Times New Roman"/>
        </w:rPr>
      </w:pPr>
      <w:r>
        <w:rPr>
          <w:rStyle w:val="eop"/>
          <w:rFonts w:ascii="Times New Roman" w:hAnsi="Times New Roman"/>
          <w:noProof/>
        </w:rPr>
        <w:drawing>
          <wp:inline distT="0" distB="0" distL="0" distR="0" wp14:anchorId="1CB93532" wp14:editId="45C7DC83">
            <wp:extent cx="1781175" cy="1343025"/>
            <wp:effectExtent l="0" t="0" r="9525" b="9525"/>
            <wp:docPr id="1210588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343025"/>
                    </a:xfrm>
                    <a:prstGeom prst="rect">
                      <a:avLst/>
                    </a:prstGeom>
                    <a:noFill/>
                    <a:ln>
                      <a:noFill/>
                    </a:ln>
                  </pic:spPr>
                </pic:pic>
              </a:graphicData>
            </a:graphic>
          </wp:inline>
        </w:drawing>
      </w:r>
    </w:p>
    <w:p w14:paraId="532597B4" w14:textId="77777777" w:rsidR="00151160" w:rsidRPr="00774279" w:rsidRDefault="00151160" w:rsidP="00151160">
      <w:pPr>
        <w:spacing w:after="0"/>
        <w:rPr>
          <w:rStyle w:val="eop"/>
          <w:rFonts w:ascii="Times New Roman" w:hAnsi="Times New Roman"/>
        </w:rPr>
      </w:pPr>
    </w:p>
    <w:p w14:paraId="6439B69F" w14:textId="77777777" w:rsidR="00151160" w:rsidRDefault="00151160" w:rsidP="00151160">
      <w:pPr>
        <w:spacing w:after="0"/>
        <w:rPr>
          <w:rStyle w:val="eop"/>
          <w:rFonts w:ascii="Times New Roman" w:hAnsi="Times New Roman"/>
          <w:b/>
        </w:rPr>
      </w:pPr>
      <w:r w:rsidRPr="003B214F">
        <w:rPr>
          <w:rStyle w:val="eop"/>
          <w:rFonts w:ascii="Times New Roman" w:hAnsi="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1160" w:rsidRPr="0003604B" w14:paraId="00933BF5" w14:textId="77777777" w:rsidTr="00DB20B2">
        <w:tc>
          <w:tcPr>
            <w:tcW w:w="9747" w:type="dxa"/>
          </w:tcPr>
          <w:p w14:paraId="151FD0A0" w14:textId="77777777" w:rsidR="00151160" w:rsidRPr="0003604B" w:rsidRDefault="00151160" w:rsidP="00DB20B2">
            <w:pPr>
              <w:spacing w:after="0"/>
              <w:jc w:val="center"/>
              <w:rPr>
                <w:rStyle w:val="eop"/>
                <w:rFonts w:ascii="Times New Roman" w:hAnsi="Times New Roman"/>
                <w:b/>
              </w:rPr>
            </w:pPr>
            <w:r w:rsidRPr="0003604B">
              <w:rPr>
                <w:rFonts w:ascii="Times New Roman" w:hAnsi="Times New Roman"/>
                <w:b/>
                <w:bCs/>
              </w:rPr>
              <w:t>Techninis reikalavimas</w:t>
            </w:r>
          </w:p>
        </w:tc>
      </w:tr>
      <w:tr w:rsidR="00151160" w:rsidRPr="0003604B" w14:paraId="168CE6A7" w14:textId="77777777" w:rsidTr="00DB20B2">
        <w:tc>
          <w:tcPr>
            <w:tcW w:w="9747" w:type="dxa"/>
          </w:tcPr>
          <w:p w14:paraId="2B6FD177" w14:textId="77777777" w:rsidR="00151160" w:rsidRPr="0003604B" w:rsidRDefault="00151160" w:rsidP="00DB20B2">
            <w:pPr>
              <w:numPr>
                <w:ilvl w:val="0"/>
                <w:numId w:val="5"/>
              </w:numPr>
              <w:tabs>
                <w:tab w:val="left" w:pos="284"/>
              </w:tabs>
              <w:spacing w:after="0"/>
              <w:ind w:left="0" w:firstLine="0"/>
              <w:jc w:val="both"/>
              <w:rPr>
                <w:rStyle w:val="eop"/>
                <w:rFonts w:ascii="Times New Roman" w:hAnsi="Times New Roman"/>
              </w:rPr>
            </w:pPr>
            <w:r w:rsidRPr="0003604B">
              <w:rPr>
                <w:rStyle w:val="eop"/>
                <w:rFonts w:ascii="Times New Roman" w:hAnsi="Times New Roman"/>
              </w:rPr>
              <w:t>Ant konstrukcijos šoninių plokštumų turi būti pakabinta informacinė lentelė lietuvių ir anglų kalbomis su informacija apie tai kaip naudotis rūbinės sistema.</w:t>
            </w:r>
          </w:p>
          <w:p w14:paraId="7BC38331" w14:textId="77777777" w:rsidR="00151160" w:rsidRPr="0003604B" w:rsidRDefault="00151160" w:rsidP="00DB20B2">
            <w:pPr>
              <w:numPr>
                <w:ilvl w:val="0"/>
                <w:numId w:val="5"/>
              </w:numPr>
              <w:tabs>
                <w:tab w:val="left" w:pos="284"/>
              </w:tabs>
              <w:spacing w:after="0"/>
              <w:ind w:left="0" w:firstLine="0"/>
              <w:jc w:val="both"/>
              <w:rPr>
                <w:rStyle w:val="eop"/>
                <w:rFonts w:ascii="Times New Roman" w:hAnsi="Times New Roman"/>
                <w:b/>
              </w:rPr>
            </w:pPr>
            <w:r w:rsidRPr="0003604B">
              <w:rPr>
                <w:rStyle w:val="eop"/>
                <w:rFonts w:ascii="Times New Roman" w:hAnsi="Times New Roman"/>
              </w:rPr>
              <w:t>Taip pat ant kiekvienos konstrukcijos šono turi būti stendas su informaciniu ženklinimu, kad tai yra savitarnos rūbinės sistema, preliminarus lentelės pavyzdys pridedamas*</w:t>
            </w:r>
          </w:p>
        </w:tc>
      </w:tr>
    </w:tbl>
    <w:p w14:paraId="3679497E" w14:textId="77777777" w:rsidR="00151160" w:rsidRDefault="00151160" w:rsidP="00151160">
      <w:pPr>
        <w:spacing w:after="0"/>
        <w:rPr>
          <w:rStyle w:val="eop"/>
          <w:rFonts w:ascii="Times New Roman" w:hAnsi="Times New Roman"/>
          <w:b/>
        </w:rPr>
      </w:pPr>
    </w:p>
    <w:p w14:paraId="660542C9" w14:textId="77777777" w:rsidR="00151160" w:rsidRDefault="00151160" w:rsidP="00151160">
      <w:pPr>
        <w:spacing w:after="0"/>
        <w:rPr>
          <w:rStyle w:val="eop"/>
          <w:rFonts w:ascii="Times New Roman" w:hAnsi="Times New Roman"/>
        </w:rPr>
      </w:pPr>
      <w:r>
        <w:rPr>
          <w:rStyle w:val="eop"/>
          <w:rFonts w:ascii="Times New Roman" w:hAnsi="Times New Roman"/>
        </w:rPr>
        <w:t>Preliminarus lentelės pavyzdys (konkretus dizainas derinamas užsakymo metu):</w:t>
      </w:r>
    </w:p>
    <w:p w14:paraId="72DFF4F4" w14:textId="3E6E0493" w:rsidR="00151160" w:rsidRDefault="00151160" w:rsidP="00151160">
      <w:pPr>
        <w:spacing w:after="0"/>
        <w:rPr>
          <w:rStyle w:val="eop"/>
          <w:rFonts w:ascii="Times New Roman" w:hAnsi="Times New Roman"/>
        </w:rPr>
      </w:pPr>
      <w:r>
        <w:rPr>
          <w:rStyle w:val="eop"/>
          <w:rFonts w:ascii="Times New Roman" w:hAnsi="Times New Roman"/>
          <w:noProof/>
        </w:rPr>
        <w:drawing>
          <wp:inline distT="0" distB="0" distL="0" distR="0" wp14:anchorId="083A7E68" wp14:editId="04A1946D">
            <wp:extent cx="1666875" cy="1666875"/>
            <wp:effectExtent l="0" t="0" r="9525" b="9525"/>
            <wp:docPr id="1061050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14C52FFA" w14:textId="77777777" w:rsidR="00151160" w:rsidRDefault="00151160" w:rsidP="00151160">
      <w:pPr>
        <w:spacing w:after="0"/>
        <w:rPr>
          <w:rStyle w:val="eop"/>
          <w:rFonts w:ascii="Times New Roman" w:hAnsi="Times New Roman"/>
        </w:rPr>
      </w:pPr>
    </w:p>
    <w:p w14:paraId="6BCE3CB2" w14:textId="48C46850" w:rsidR="00151160" w:rsidRPr="00151160" w:rsidRDefault="00151160" w:rsidP="00151160">
      <w:pPr>
        <w:pStyle w:val="ListParagraph"/>
        <w:numPr>
          <w:ilvl w:val="0"/>
          <w:numId w:val="6"/>
        </w:numPr>
        <w:jc w:val="center"/>
        <w:rPr>
          <w:rStyle w:val="eop"/>
          <w:rFonts w:ascii="Times New Roman" w:hAnsi="Times New Roman"/>
          <w:b/>
          <w:szCs w:val="20"/>
        </w:rPr>
      </w:pPr>
      <w:r w:rsidRPr="00151160">
        <w:rPr>
          <w:rFonts w:ascii="Times New Roman" w:hAnsi="Times New Roman"/>
          <w:b/>
          <w:szCs w:val="20"/>
        </w:rPr>
        <w:t>BENDRIEJI REIKALAVIMAI</w:t>
      </w:r>
    </w:p>
    <w:p w14:paraId="61FB5F50" w14:textId="77777777" w:rsidR="00151160" w:rsidRDefault="00151160" w:rsidP="00151160">
      <w:pPr>
        <w:spacing w:after="0"/>
        <w:rPr>
          <w:rStyle w:val="eop"/>
          <w:rFonts w:ascii="Times New Roman" w:hAnsi="Times New Roman"/>
          <w:b/>
          <w:bCs/>
        </w:rPr>
      </w:pPr>
      <w:r w:rsidRPr="003A0F26">
        <w:rPr>
          <w:rStyle w:val="eop"/>
          <w:rFonts w:ascii="Times New Roman" w:hAnsi="Times New Roman"/>
          <w:b/>
          <w:bCs/>
        </w:rPr>
        <w:t>Atlikimo terminas</w:t>
      </w:r>
      <w:r>
        <w:rPr>
          <w:rStyle w:val="eop"/>
          <w:rFonts w:ascii="Times New Roman" w:hAnsi="Times New Roman"/>
          <w:b/>
          <w:bCs/>
        </w:rPr>
        <w:t>:</w:t>
      </w:r>
    </w:p>
    <w:p w14:paraId="03847A93" w14:textId="77777777" w:rsidR="00151160" w:rsidRDefault="00151160" w:rsidP="00151160">
      <w:pPr>
        <w:spacing w:after="0"/>
        <w:rPr>
          <w:rStyle w:val="eop"/>
          <w:rFonts w:ascii="Times New Roman" w:hAnsi="Times New Roman"/>
        </w:rPr>
      </w:pPr>
      <w:r>
        <w:rPr>
          <w:rStyle w:val="eop"/>
          <w:rFonts w:ascii="Times New Roman" w:hAnsi="Times New Roman"/>
        </w:rPr>
        <w:t>Užsakymas turi būti atliekamas ir sumontuojamas ne ilgiau kaip per 60 dienų.</w:t>
      </w:r>
    </w:p>
    <w:p w14:paraId="0C5F0C35" w14:textId="77777777" w:rsidR="00151160" w:rsidRDefault="00151160" w:rsidP="00151160">
      <w:pPr>
        <w:spacing w:after="0"/>
        <w:rPr>
          <w:rStyle w:val="eop"/>
          <w:rFonts w:ascii="Times New Roman" w:hAnsi="Times New Roman"/>
          <w:b/>
        </w:rPr>
      </w:pPr>
    </w:p>
    <w:p w14:paraId="35640693" w14:textId="77777777" w:rsidR="00151160" w:rsidRDefault="00151160" w:rsidP="00151160">
      <w:pPr>
        <w:pStyle w:val="ListParagraph"/>
        <w:ind w:left="0"/>
        <w:jc w:val="both"/>
        <w:rPr>
          <w:rStyle w:val="eop"/>
          <w:rFonts w:ascii="Times New Roman" w:hAnsi="Times New Roman"/>
          <w:b/>
        </w:rPr>
      </w:pPr>
      <w:r w:rsidRPr="00856AF9">
        <w:rPr>
          <w:rStyle w:val="eop"/>
          <w:rFonts w:ascii="Times New Roman" w:hAnsi="Times New Roman"/>
          <w:b/>
        </w:rPr>
        <w:t xml:space="preserve">Garantija: </w:t>
      </w:r>
    </w:p>
    <w:p w14:paraId="61DC722B" w14:textId="2E9FF4D9" w:rsidR="00151160" w:rsidRPr="00151160" w:rsidRDefault="00151160" w:rsidP="00151160">
      <w:pPr>
        <w:pStyle w:val="ListParagraph"/>
        <w:ind w:left="0"/>
        <w:jc w:val="both"/>
        <w:rPr>
          <w:rStyle w:val="eop"/>
          <w:rFonts w:ascii="Times New Roman" w:eastAsia="Times New Roman" w:hAnsi="Times New Roman"/>
        </w:rPr>
      </w:pPr>
      <w:r w:rsidRPr="00856AF9">
        <w:rPr>
          <w:rFonts w:ascii="Times New Roman" w:eastAsia="Times New Roman" w:hAnsi="Times New Roman"/>
        </w:rPr>
        <w:t>Tiekėjas įsipareigoja Prekėms suteikti įstatymo numatytą garantiją – ne mažesnę nei 24 mėn. Garantija turi galioti visoms prekės (-</w:t>
      </w:r>
      <w:proofErr w:type="spellStart"/>
      <w:r w:rsidRPr="00856AF9">
        <w:rPr>
          <w:rFonts w:ascii="Times New Roman" w:eastAsia="Times New Roman" w:hAnsi="Times New Roman"/>
        </w:rPr>
        <w:t>ių</w:t>
      </w:r>
      <w:proofErr w:type="spellEnd"/>
      <w:r w:rsidRPr="00856AF9">
        <w:rPr>
          <w:rFonts w:ascii="Times New Roman" w:eastAsia="Times New Roman" w:hAnsi="Times New Roman"/>
        </w:rPr>
        <w:t>) sudėtinėms dalims. Garantiniu laikotarpiu, atsiradus neatitikimams dėl gamyklinio broko, Tiekėjas įsipareigoja gaminį suremontuoti arba pakeisti nauju savo lėšomis.</w:t>
      </w:r>
    </w:p>
    <w:p w14:paraId="6114C711" w14:textId="77777777" w:rsidR="00151160" w:rsidRPr="00CC36CE" w:rsidRDefault="00151160" w:rsidP="00151160">
      <w:pPr>
        <w:spacing w:after="0"/>
        <w:rPr>
          <w:rStyle w:val="eop"/>
          <w:rFonts w:ascii="Times New Roman" w:hAnsi="Times New Roman"/>
          <w:b/>
          <w:bCs/>
        </w:rPr>
      </w:pPr>
      <w:r w:rsidRPr="00CC36CE">
        <w:rPr>
          <w:rStyle w:val="eop"/>
          <w:rFonts w:ascii="Times New Roman" w:hAnsi="Times New Roman"/>
          <w:b/>
          <w:bCs/>
        </w:rPr>
        <w:t>Sąlygos Tiekėjui:</w:t>
      </w:r>
    </w:p>
    <w:p w14:paraId="7525C325" w14:textId="77777777" w:rsidR="00151160" w:rsidRDefault="00151160" w:rsidP="00151160">
      <w:pPr>
        <w:pStyle w:val="NoSpacing"/>
        <w:jc w:val="both"/>
        <w:rPr>
          <w:rFonts w:ascii="Times New Roman" w:hAnsi="Times New Roman"/>
          <w:lang w:eastAsia="lt-LT"/>
        </w:rPr>
      </w:pPr>
      <w:r>
        <w:rPr>
          <w:rFonts w:ascii="Times New Roman" w:hAnsi="Times New Roman"/>
          <w:lang w:eastAsia="lt-LT"/>
        </w:rPr>
        <w:t>Tiekėjas atlieka tikslius esamos situacijos apmatavimus vietoje, pagal juos pateikia gaminių išdėstymo schemas, suderina gaminių spalvinius sprendinius su užsakovu. Rūbinės karkasų pozicionavimas holo erdvėje gali būti koreguojamas, jeigu tiekėjas pasiūlo optimalesnį variantą. Rūbinės gaminių karkasų plotis parenkamas pagal realią situaciją, gaminių ilgiai gali būti koreguojami. Tačiau bendras pakabų (drabužiams skirtų vietų) skaičius negali būti mažesnis nei 110 vnt.</w:t>
      </w:r>
    </w:p>
    <w:p w14:paraId="44BC58D4" w14:textId="77777777" w:rsidR="00151160" w:rsidRDefault="00151160" w:rsidP="00151160">
      <w:pPr>
        <w:pStyle w:val="NoSpacing"/>
        <w:rPr>
          <w:rFonts w:ascii="Times New Roman" w:hAnsi="Times New Roman"/>
          <w:lang w:eastAsia="lt-LT"/>
        </w:rPr>
      </w:pPr>
      <w:r>
        <w:rPr>
          <w:rFonts w:ascii="Times New Roman" w:hAnsi="Times New Roman"/>
          <w:lang w:eastAsia="lt-LT"/>
        </w:rPr>
        <w:t>Tiekėjas</w:t>
      </w:r>
      <w:r w:rsidRPr="00CC36CE">
        <w:rPr>
          <w:rFonts w:ascii="Times New Roman" w:hAnsi="Times New Roman"/>
          <w:lang w:eastAsia="lt-LT"/>
        </w:rPr>
        <w:t xml:space="preserve"> paruošia savitarnos drabužinės</w:t>
      </w:r>
      <w:r>
        <w:rPr>
          <w:rFonts w:ascii="Times New Roman" w:hAnsi="Times New Roman"/>
          <w:lang w:eastAsia="lt-LT"/>
        </w:rPr>
        <w:t xml:space="preserve"> galutinį</w:t>
      </w:r>
      <w:r w:rsidRPr="00CC36CE">
        <w:rPr>
          <w:rFonts w:ascii="Times New Roman" w:hAnsi="Times New Roman"/>
          <w:lang w:eastAsia="lt-LT"/>
        </w:rPr>
        <w:t xml:space="preserve"> darbo brėžinį, kuris prieš gamybą derinamas su užsakovu</w:t>
      </w:r>
      <w:r>
        <w:rPr>
          <w:rFonts w:ascii="Times New Roman" w:hAnsi="Times New Roman"/>
          <w:lang w:eastAsia="lt-LT"/>
        </w:rPr>
        <w:t>.</w:t>
      </w:r>
    </w:p>
    <w:p w14:paraId="08A8968F" w14:textId="77777777" w:rsidR="00151160" w:rsidRDefault="00151160" w:rsidP="00151160">
      <w:pPr>
        <w:pStyle w:val="NoSpacing"/>
        <w:rPr>
          <w:rFonts w:ascii="Times New Roman" w:eastAsia="Times New Roman" w:hAnsi="Times New Roman"/>
        </w:rPr>
      </w:pPr>
      <w:r>
        <w:rPr>
          <w:rFonts w:ascii="Times New Roman" w:eastAsia="Times New Roman" w:hAnsi="Times New Roman"/>
        </w:rPr>
        <w:t xml:space="preserve">Gaminiai </w:t>
      </w:r>
      <w:r w:rsidRPr="00856AF9">
        <w:rPr>
          <w:rFonts w:ascii="Times New Roman" w:eastAsia="Times New Roman" w:hAnsi="Times New Roman"/>
        </w:rPr>
        <w:t xml:space="preserve"> turi būti neekspoziciniai</w:t>
      </w:r>
      <w:r>
        <w:rPr>
          <w:rFonts w:ascii="Times New Roman" w:eastAsia="Times New Roman" w:hAnsi="Times New Roman"/>
        </w:rPr>
        <w:t>.</w:t>
      </w:r>
    </w:p>
    <w:p w14:paraId="46A4A1BF" w14:textId="77777777" w:rsidR="00151160" w:rsidRDefault="00151160" w:rsidP="00151160">
      <w:pPr>
        <w:pStyle w:val="NoSpacing"/>
        <w:rPr>
          <w:rFonts w:ascii="Times New Roman" w:eastAsia="Times New Roman" w:hAnsi="Times New Roman"/>
        </w:rPr>
      </w:pPr>
    </w:p>
    <w:p w14:paraId="34DE0643" w14:textId="77777777" w:rsidR="00151160" w:rsidRDefault="00151160" w:rsidP="00151160">
      <w:pPr>
        <w:pStyle w:val="NoSpacing"/>
        <w:rPr>
          <w:rFonts w:ascii="Times New Roman" w:eastAsia="Times New Roman" w:hAnsi="Times New Roman"/>
        </w:rPr>
      </w:pPr>
    </w:p>
    <w:p w14:paraId="44A30511" w14:textId="6A262CE2" w:rsidR="00151160" w:rsidRDefault="00151160" w:rsidP="00151160">
      <w:pPr>
        <w:pStyle w:val="NoSpacing"/>
        <w:jc w:val="center"/>
        <w:rPr>
          <w:rFonts w:ascii="Times New Roman" w:eastAsia="Times New Roman" w:hAnsi="Times New Roman"/>
        </w:rPr>
      </w:pPr>
      <w:r>
        <w:rPr>
          <w:rFonts w:ascii="Times New Roman" w:eastAsia="Times New Roman" w:hAnsi="Times New Roman"/>
        </w:rPr>
        <w:t>__________________________________</w:t>
      </w:r>
    </w:p>
    <w:p w14:paraId="1820A22B" w14:textId="77777777" w:rsidR="003333A7" w:rsidRDefault="003333A7"/>
    <w:sectPr w:rsidR="003333A7" w:rsidSect="00151160">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81"/>
    <w:multiLevelType w:val="hybridMultilevel"/>
    <w:tmpl w:val="D856F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E2009D"/>
    <w:multiLevelType w:val="hybridMultilevel"/>
    <w:tmpl w:val="5772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3E70F3"/>
    <w:multiLevelType w:val="hybridMultilevel"/>
    <w:tmpl w:val="D00E6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34D93"/>
    <w:multiLevelType w:val="multilevel"/>
    <w:tmpl w:val="4192ED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B91083"/>
    <w:multiLevelType w:val="hybridMultilevel"/>
    <w:tmpl w:val="FABA5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750218"/>
    <w:multiLevelType w:val="hybridMultilevel"/>
    <w:tmpl w:val="27ECEC8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5D6D720F"/>
    <w:multiLevelType w:val="hybridMultilevel"/>
    <w:tmpl w:val="0D06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3260873">
    <w:abstractNumId w:val="2"/>
  </w:num>
  <w:num w:numId="2" w16cid:durableId="1430466151">
    <w:abstractNumId w:val="4"/>
  </w:num>
  <w:num w:numId="3" w16cid:durableId="1561018865">
    <w:abstractNumId w:val="6"/>
  </w:num>
  <w:num w:numId="4" w16cid:durableId="1801191806">
    <w:abstractNumId w:val="0"/>
  </w:num>
  <w:num w:numId="5" w16cid:durableId="2088455281">
    <w:abstractNumId w:val="5"/>
  </w:num>
  <w:num w:numId="6" w16cid:durableId="1066411701">
    <w:abstractNumId w:val="3"/>
  </w:num>
  <w:num w:numId="7" w16cid:durableId="179255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68"/>
    <w:rsid w:val="00151160"/>
    <w:rsid w:val="003333A7"/>
    <w:rsid w:val="003D3B18"/>
    <w:rsid w:val="00890EA1"/>
    <w:rsid w:val="00E14008"/>
    <w:rsid w:val="00F93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5463"/>
  <w15:chartTrackingRefBased/>
  <w15:docId w15:val="{C079227D-9FB5-4363-A8E8-01DEB37E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6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93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168"/>
    <w:rPr>
      <w:rFonts w:eastAsiaTheme="majorEastAsia" w:cstheme="majorBidi"/>
      <w:color w:val="272727" w:themeColor="text1" w:themeTint="D8"/>
    </w:rPr>
  </w:style>
  <w:style w:type="paragraph" w:styleId="Title">
    <w:name w:val="Title"/>
    <w:basedOn w:val="Normal"/>
    <w:next w:val="Normal"/>
    <w:link w:val="TitleChar"/>
    <w:uiPriority w:val="10"/>
    <w:qFormat/>
    <w:rsid w:val="00F93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168"/>
    <w:pPr>
      <w:spacing w:before="160"/>
      <w:jc w:val="center"/>
    </w:pPr>
    <w:rPr>
      <w:i/>
      <w:iCs/>
      <w:color w:val="404040" w:themeColor="text1" w:themeTint="BF"/>
    </w:rPr>
  </w:style>
  <w:style w:type="character" w:customStyle="1" w:styleId="QuoteChar">
    <w:name w:val="Quote Char"/>
    <w:basedOn w:val="DefaultParagraphFont"/>
    <w:link w:val="Quote"/>
    <w:uiPriority w:val="29"/>
    <w:rsid w:val="00F93168"/>
    <w:rPr>
      <w:i/>
      <w:iCs/>
      <w:color w:val="404040" w:themeColor="text1" w:themeTint="BF"/>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F93168"/>
    <w:pPr>
      <w:ind w:left="720"/>
      <w:contextualSpacing/>
    </w:pPr>
  </w:style>
  <w:style w:type="character" w:styleId="IntenseEmphasis">
    <w:name w:val="Intense Emphasis"/>
    <w:basedOn w:val="DefaultParagraphFont"/>
    <w:uiPriority w:val="21"/>
    <w:qFormat/>
    <w:rsid w:val="00F93168"/>
    <w:rPr>
      <w:i/>
      <w:iCs/>
      <w:color w:val="0F4761" w:themeColor="accent1" w:themeShade="BF"/>
    </w:rPr>
  </w:style>
  <w:style w:type="paragraph" w:styleId="IntenseQuote">
    <w:name w:val="Intense Quote"/>
    <w:basedOn w:val="Normal"/>
    <w:next w:val="Normal"/>
    <w:link w:val="IntenseQuoteChar"/>
    <w:uiPriority w:val="30"/>
    <w:qFormat/>
    <w:rsid w:val="00F93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168"/>
    <w:rPr>
      <w:i/>
      <w:iCs/>
      <w:color w:val="0F4761" w:themeColor="accent1" w:themeShade="BF"/>
    </w:rPr>
  </w:style>
  <w:style w:type="character" w:styleId="IntenseReference">
    <w:name w:val="Intense Reference"/>
    <w:basedOn w:val="DefaultParagraphFont"/>
    <w:uiPriority w:val="32"/>
    <w:qFormat/>
    <w:rsid w:val="00F93168"/>
    <w:rPr>
      <w:b/>
      <w:bCs/>
      <w:smallCaps/>
      <w:color w:val="0F4761" w:themeColor="accent1" w:themeShade="BF"/>
      <w:spacing w:val="5"/>
    </w:rPr>
  </w:style>
  <w:style w:type="character" w:customStyle="1" w:styleId="eop">
    <w:name w:val="eop"/>
    <w:basedOn w:val="DefaultParagraphFont"/>
    <w:rsid w:val="00151160"/>
  </w:style>
  <w:style w:type="paragraph" w:customStyle="1" w:styleId="paragraph">
    <w:name w:val="paragraph"/>
    <w:basedOn w:val="Normal"/>
    <w:rsid w:val="00151160"/>
    <w:pPr>
      <w:spacing w:after="0" w:line="240" w:lineRule="auto"/>
    </w:pPr>
    <w:rPr>
      <w:rFonts w:ascii="Times New Roman" w:eastAsia="Times New Roman" w:hAnsi="Times New Roman"/>
      <w:sz w:val="24"/>
      <w:szCs w:val="24"/>
      <w:lang w:val="en-GB" w:eastAsia="en-GB"/>
    </w:rPr>
  </w:style>
  <w:style w:type="paragraph" w:styleId="NoSpacing">
    <w:name w:val="No Spacing"/>
    <w:uiPriority w:val="1"/>
    <w:qFormat/>
    <w:rsid w:val="00151160"/>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locked/>
    <w:rsid w:val="0015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2550</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2026-01-09T12:01:00Z</dcterms:created>
  <dcterms:modified xsi:type="dcterms:W3CDTF">2026-01-09T12:16:00Z</dcterms:modified>
</cp:coreProperties>
</file>