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25AC" w14:textId="77777777" w:rsidR="000472FB" w:rsidRDefault="000472FB" w:rsidP="00623C6B">
      <w:pPr>
        <w:rPr>
          <w:rFonts w:ascii="Times New Roman" w:hAnsi="Times New Roman"/>
          <w:bCs/>
          <w:sz w:val="24"/>
          <w:szCs w:val="24"/>
          <w:lang w:val="lt-LT"/>
        </w:rPr>
      </w:pPr>
    </w:p>
    <w:p w14:paraId="566941E3" w14:textId="77777777" w:rsidR="00951955" w:rsidRDefault="00951955" w:rsidP="00623C6B">
      <w:pPr>
        <w:rPr>
          <w:rFonts w:ascii="Times New Roman" w:hAnsi="Times New Roman"/>
          <w:bCs/>
          <w:sz w:val="24"/>
          <w:szCs w:val="24"/>
          <w:lang w:val="lt-LT"/>
        </w:rPr>
      </w:pPr>
    </w:p>
    <w:p w14:paraId="7952D8DB" w14:textId="6F323228" w:rsidR="00287CD2" w:rsidRPr="00287CD2" w:rsidRDefault="00623C6B" w:rsidP="00623C6B">
      <w:pPr>
        <w:rPr>
          <w:rFonts w:ascii="Times New Roman" w:hAnsi="Times New Roman"/>
          <w:bCs/>
          <w:sz w:val="24"/>
          <w:szCs w:val="24"/>
          <w:lang w:val="lt-LT"/>
        </w:rPr>
      </w:pPr>
      <w:r>
        <w:rPr>
          <w:rFonts w:ascii="Times New Roman" w:hAnsi="Times New Roman"/>
          <w:bCs/>
          <w:sz w:val="24"/>
          <w:szCs w:val="24"/>
          <w:lang w:val="lt-LT"/>
        </w:rPr>
        <w:t xml:space="preserve">          </w:t>
      </w:r>
      <w:r w:rsidR="00951955">
        <w:rPr>
          <w:rFonts w:ascii="Times New Roman" w:hAnsi="Times New Roman"/>
          <w:bCs/>
          <w:sz w:val="24"/>
          <w:szCs w:val="24"/>
          <w:lang w:val="lt-LT"/>
        </w:rPr>
        <w:t xml:space="preserve">                                                                                                         </w:t>
      </w:r>
      <w:r>
        <w:rPr>
          <w:rFonts w:ascii="Times New Roman" w:hAnsi="Times New Roman"/>
          <w:bCs/>
          <w:sz w:val="24"/>
          <w:szCs w:val="24"/>
          <w:lang w:val="lt-LT"/>
        </w:rPr>
        <w:t xml:space="preserve">Rinkos konsultacijos </w:t>
      </w:r>
    </w:p>
    <w:p w14:paraId="70D551B6" w14:textId="1FA18162" w:rsidR="00EF1362" w:rsidRPr="00990C18" w:rsidRDefault="00864EDD" w:rsidP="00990C18">
      <w:pPr>
        <w:jc w:val="center"/>
        <w:rPr>
          <w:rFonts w:ascii="Times New Roman" w:hAnsi="Times New Roman"/>
          <w:bCs/>
          <w:sz w:val="24"/>
          <w:szCs w:val="24"/>
          <w:lang w:val="lt-LT"/>
        </w:rPr>
      </w:pPr>
      <w:r>
        <w:rPr>
          <w:rFonts w:ascii="Times New Roman" w:hAnsi="Times New Roman"/>
          <w:bCs/>
          <w:sz w:val="24"/>
          <w:szCs w:val="24"/>
          <w:lang w:val="lt-LT"/>
        </w:rPr>
        <w:t xml:space="preserve">                                                      </w:t>
      </w:r>
      <w:r w:rsidR="00951955">
        <w:rPr>
          <w:rFonts w:ascii="Times New Roman" w:hAnsi="Times New Roman"/>
          <w:bCs/>
          <w:sz w:val="24"/>
          <w:szCs w:val="24"/>
          <w:lang w:val="lt-LT"/>
        </w:rPr>
        <w:t xml:space="preserve">                            </w:t>
      </w:r>
      <w:r>
        <w:rPr>
          <w:rFonts w:ascii="Times New Roman" w:hAnsi="Times New Roman"/>
          <w:bCs/>
          <w:sz w:val="24"/>
          <w:szCs w:val="24"/>
          <w:lang w:val="lt-LT"/>
        </w:rPr>
        <w:t xml:space="preserve"> 1</w:t>
      </w:r>
      <w:r w:rsidR="00076CFE">
        <w:rPr>
          <w:rFonts w:ascii="Times New Roman" w:hAnsi="Times New Roman"/>
          <w:bCs/>
          <w:sz w:val="24"/>
          <w:szCs w:val="24"/>
          <w:lang w:val="lt-LT"/>
        </w:rPr>
        <w:t xml:space="preserve"> </w:t>
      </w:r>
      <w:r w:rsidR="00287CD2" w:rsidRPr="00287CD2">
        <w:rPr>
          <w:rFonts w:ascii="Times New Roman" w:hAnsi="Times New Roman"/>
          <w:bCs/>
          <w:sz w:val="24"/>
          <w:szCs w:val="24"/>
          <w:lang w:val="lt-LT"/>
        </w:rPr>
        <w:t>priedas</w:t>
      </w:r>
    </w:p>
    <w:p w14:paraId="0224639B" w14:textId="77777777" w:rsidR="00304885" w:rsidRPr="00812E0B" w:rsidRDefault="00304885" w:rsidP="00304885">
      <w:pPr>
        <w:spacing w:line="276" w:lineRule="auto"/>
        <w:jc w:val="both"/>
        <w:rPr>
          <w:rFonts w:ascii="Times New Roman" w:hAnsi="Times New Roman"/>
          <w:b/>
          <w:bCs/>
          <w:lang w:val="lt-LT"/>
        </w:rPr>
      </w:pPr>
    </w:p>
    <w:p w14:paraId="490DD174" w14:textId="77777777" w:rsidR="00304885" w:rsidRPr="00E11198" w:rsidRDefault="00304885" w:rsidP="00304885">
      <w:pPr>
        <w:spacing w:line="276" w:lineRule="auto"/>
        <w:jc w:val="center"/>
        <w:rPr>
          <w:rFonts w:ascii="Times New Roman" w:hAnsi="Times New Roman"/>
          <w:b/>
          <w:bCs/>
          <w:sz w:val="24"/>
          <w:szCs w:val="24"/>
          <w:lang w:val="lt-LT"/>
        </w:rPr>
      </w:pPr>
      <w:r w:rsidRPr="00E11198">
        <w:rPr>
          <w:rFonts w:ascii="Times New Roman" w:hAnsi="Times New Roman"/>
          <w:b/>
          <w:bCs/>
          <w:sz w:val="24"/>
          <w:szCs w:val="24"/>
          <w:lang w:val="lt-LT"/>
        </w:rPr>
        <w:t>TECHNINĖ SPECIFIKACIJA</w:t>
      </w:r>
    </w:p>
    <w:p w14:paraId="1BD1544E" w14:textId="77777777" w:rsidR="00304885" w:rsidRPr="00E11198" w:rsidRDefault="00304885" w:rsidP="00304885">
      <w:pPr>
        <w:spacing w:line="276" w:lineRule="auto"/>
        <w:jc w:val="center"/>
        <w:rPr>
          <w:rFonts w:ascii="Times New Roman" w:hAnsi="Times New Roman"/>
          <w:b/>
          <w:bCs/>
          <w:sz w:val="24"/>
          <w:szCs w:val="24"/>
          <w:lang w:val="lt-LT"/>
        </w:rPr>
      </w:pPr>
    </w:p>
    <w:p w14:paraId="32292610"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 BENDRA INFORMACIJA</w:t>
      </w:r>
    </w:p>
    <w:p w14:paraId="6FA5F2E6"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1.1. Pirkimo objektas – biudžetinė įstaiga „Lietuvos mokslo taryba“ (toliau – LMT) ketina įsigyti kibernetinio saugumo vadovo paslaugas (toliau – Paslaugos). </w:t>
      </w:r>
    </w:p>
    <w:p w14:paraId="4C645F82"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1.2. Perkamų Paslaugų tikslas – perkamos paslaugos įgyvendinti visapusiškas informacijos ir kibernetinės saugos valdymo paslaugas, vadovaujantis LR teisės aktuose nustatytomis nuostatomis, taip pat padėti užtikrinti aukštą IS saugos lygį LMT. </w:t>
      </w:r>
    </w:p>
    <w:p w14:paraId="41B0E51A"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 PERKAMŲ KIBERNETINIO SAUGUMO VADOVO PASLAUGŲ APRAŠYMAS </w:t>
      </w:r>
    </w:p>
    <w:p w14:paraId="3A51FF58"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 Kibernetinio saugumo vadovas turi konsultuoti LMT (toliau - Perkančioji organizacija) šiose srityse: </w:t>
      </w:r>
    </w:p>
    <w:p w14:paraId="76BDB832"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2.1.1. Informacijos saugos ir kibernetinio saugumo politikos gerinimas; </w:t>
      </w:r>
    </w:p>
    <w:p w14:paraId="67503F36"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2.1.2. IT turto vertinimas (saugumo ir suderinamumo su kita valdoma įranga); </w:t>
      </w:r>
    </w:p>
    <w:p w14:paraId="0C95EDC9"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2.1.3. Žmogiškųjų išteklių saugumas; </w:t>
      </w:r>
    </w:p>
    <w:p w14:paraId="6ECFF276"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2.1.4. Informacijos saugumo incidentų valdymas; </w:t>
      </w:r>
    </w:p>
    <w:p w14:paraId="3A958CC8"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2.1.5. Atsparumo kibernetiniams ir informacijos saugos incidentams didinimas;</w:t>
      </w:r>
    </w:p>
    <w:p w14:paraId="1646AE80"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2.1.6. Informacinių sistemų, jose tvarkomos elektroninės informacijos, informacinių išteklių svarbos vertinimas; </w:t>
      </w:r>
    </w:p>
    <w:p w14:paraId="30A10FCF"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2.1.7. Informacijos saugos ir kibernetinio saugumo rizikos vertinimas; </w:t>
      </w:r>
    </w:p>
    <w:p w14:paraId="2DE85197"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2.1.8. Informacijos saugumo incidentų valdymas; </w:t>
      </w:r>
    </w:p>
    <w:p w14:paraId="448EDC15"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2.1.9. Techninės ir programinės įrangos gamintojų ir tiekėjų atitikties vertinimas; </w:t>
      </w:r>
    </w:p>
    <w:p w14:paraId="379DDD62"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2.1.10. Veiklos tęstinumo valdymas informacijos saugumo aspektu; </w:t>
      </w:r>
    </w:p>
    <w:p w14:paraId="3E42C494"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2.1.11. Atitikties įstatymams ir kitiems teisės aktams užtikrinimas; </w:t>
      </w:r>
    </w:p>
    <w:p w14:paraId="227C42A6"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2.1.12. Perkančiosios organizacijos darbuotojų mokymų poreikio, turinio ir efektyvumo gerinimas; </w:t>
      </w:r>
    </w:p>
    <w:p w14:paraId="1415AED4"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2.1.13. Konsultavimas įsigyjant, kuriant, prižiūrint informacinių technologijų (toliau – IT) informacines sistemas, IT technines ir programines priemones, ryšius, duomenų centro ar kitas IT paslaugas, vertinant naujausias technologijas, tiekimo grandinės saugumą ir kitais su informacijos saugumu susijusiais klausimais. </w:t>
      </w:r>
    </w:p>
    <w:p w14:paraId="1EE0AA4C"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2.2. Kibernetinio saugumo vadovas turi konsultuoti LMT informacinių sistemų saugos įgaliotinius. </w:t>
      </w:r>
    </w:p>
    <w:p w14:paraId="2BF1F0B0"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3. Kibernetinio saugumo vadovas Perkančiosios organizacijos atsparumo kibernetiniams ir informacijos saugos incidentams didinimo srityje privalo: </w:t>
      </w:r>
    </w:p>
    <w:p w14:paraId="7BAB69EC"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3.1. Organizuoti informacinių sistemų kibernetinio saugumo būklės auditą pagal TS2 reikalavimus, kurio metu būtų parengta audito ataskaita - įvertintas tinklų ir informacinių sistemų saugumas, identifikuoti trūkumai ir pateiktos rekomendacijos pagal Nacionalinio kibernetinės saugos centro (NKSC) metodiką.</w:t>
      </w:r>
    </w:p>
    <w:p w14:paraId="7A0B88B4"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3.2. Vadovaujantis Valstybės informacinių išteklių svarbos vertinimo metodika, patvirtinta Lietuvos Respublikos ekonomikos ir inovacijų ministro 2023 m. liepos 19 d. įsakymu Nr. 4-418, įvertinti LMT informacinių sistemų (Toliau – IS) svarbą. Pagal galiojančią tvarką, šio vertinimo rezultatai privalo būti suderinti ir patvirtinti Valstybės skaitmeninių sprendimų agentūros.</w:t>
      </w:r>
    </w:p>
    <w:p w14:paraId="278858E7"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lastRenderedPageBreak/>
        <w:t xml:space="preserve">3.3. Įvertinti ar naudojamos apsaugos priemonės yra pakankamos ir tinkamos elektroninės informacijos apsaugai. Turi būti parengta šio vertinimo ataskaita ir konkrečios rekomendacijos aptiktiems trūkumams pašalinti; </w:t>
      </w:r>
    </w:p>
    <w:p w14:paraId="34C764F8"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3.4. Įvertinti ar eksploatuojamos techninės analizės priemonės leis nedelsiant ir tinkamai reaguoti į incidentus. Turi būti parengta šio vertinimo ataskaita ir konkrečios rekomendacijos aptiktiems trūkumams pašalinti; </w:t>
      </w:r>
    </w:p>
    <w:p w14:paraId="607949C5"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3.5. Įvertinti pasirengimą IS veiklos tęstinumui užtikrinti įvykus elektroninės informacijos saugos ar kibernetinio saugumo incidentui. Turi būti parengta šio vertinimo ataskaita ir konkrečios rekomendacijos aptiktiems trūkumams pašalinti.</w:t>
      </w:r>
    </w:p>
    <w:p w14:paraId="280FF5F1"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4. Organizuoti kibernetinio saugumo rizikos vertinimą pagal TIS 2 reikalavimus, prižiūrėti ir tobulinti rizikos vertinimo procesą. Sudaryti rizikos mažinimo priemonių planą ir pateikti jį Perkančiosios organizacijos vadovybei tvirtinimui. Užtikrinti, kad rizikos vertinimas būtų atliekamas ne rečiau kaip kartą per metus, įvykus esminiams organizaciniams ar kitiems reikšmingiems pokyčiams, taip pat įvykus kritiniam kibernetiniam incidentui. Turi būti parengta šio rizikos vertinimo ataskaita ir rizikos valdymo planas, apimantis grėsmių analizę, spragų vertinimą, rizikos lygio nustatymą ir valdymo priemones. Pagal įgaliojimą teikti šios rizikų vertinimo ataskaitos suvestinius duomenis į KSIS (Nacionalinio kibernetinio saugumo centro platforma). </w:t>
      </w:r>
    </w:p>
    <w:p w14:paraId="075ADD32"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5. Organizuoti LMT darbuotojų supažindinimą su saugos politikos įgyvendinimo dokumentais ir paskiausiais teisės aktais. </w:t>
      </w:r>
    </w:p>
    <w:p w14:paraId="43E474F2"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6. Organizuoti vidinį komunikacinį kanalą informacijos saugos ir kibernetinio saugumo aktualijoms bei ne rečiau nei kartą per mėn. talpinti jame informacines žinutes apie naujausias kibernetinės saugos grėsmes, tendencijas, numatomus informacijos saugumo procesų pokyčius, tvaraus kibernetinio saugumo principus. </w:t>
      </w:r>
    </w:p>
    <w:p w14:paraId="2E674115"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7. Dalyvauti kibernetinių incidentų tyrimų, vertinimo ir analizės procesuose. Inicijuoti ataskaitų apie kibernetinį incidentą užpildymą ir incidento registravimą KSIS (pagal įgaliojimus). Incidento metu tiesiogiai koordinuoti situacijos valdymą, konsultuoti atsakingus asmenis.</w:t>
      </w:r>
    </w:p>
    <w:p w14:paraId="4A387BF3"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8. Komunikuoti su Nacionaliniu kibernetinio saugumo centru prie Krašto apsaugos ministerijos (pagal įgaliojimus ir poreikį). </w:t>
      </w:r>
    </w:p>
    <w:p w14:paraId="73F7F164"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9. Kartą per metus organizuoti kibernetinio saugumo reikalavimų veiksmingumo vertinimą pagal Kibernetinio saugumo įstatymo reikalavimų aprašo 8 skirsnį. </w:t>
      </w:r>
    </w:p>
    <w:p w14:paraId="09F47A8C"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10. Du kartus per metus organizuoti spragų ir pažeidžiamumų patikrinimą institucijos vidiniame tinkle ir Lietuvos mokslo tarybos projektų administravimo informacinėje sistemoje (LMTPAIS). Atsižvelgiant į „</w:t>
      </w:r>
      <w:proofErr w:type="spellStart"/>
      <w:r w:rsidRPr="00E11198">
        <w:rPr>
          <w:rFonts w:ascii="Times New Roman" w:hAnsi="Times New Roman"/>
          <w:sz w:val="24"/>
          <w:szCs w:val="24"/>
          <w:lang w:val="lt-LT"/>
        </w:rPr>
        <w:t>Open</w:t>
      </w:r>
      <w:proofErr w:type="spellEnd"/>
      <w:r w:rsidRPr="00E11198">
        <w:rPr>
          <w:rFonts w:ascii="Times New Roman" w:hAnsi="Times New Roman"/>
          <w:sz w:val="24"/>
          <w:szCs w:val="24"/>
          <w:lang w:val="lt-LT"/>
        </w:rPr>
        <w:t xml:space="preserve"> </w:t>
      </w:r>
      <w:proofErr w:type="spellStart"/>
      <w:r w:rsidRPr="00E11198">
        <w:rPr>
          <w:rFonts w:ascii="Times New Roman" w:hAnsi="Times New Roman"/>
          <w:sz w:val="24"/>
          <w:szCs w:val="24"/>
          <w:lang w:val="lt-LT"/>
        </w:rPr>
        <w:t>Web</w:t>
      </w:r>
      <w:proofErr w:type="spellEnd"/>
      <w:r w:rsidRPr="00E11198">
        <w:rPr>
          <w:rFonts w:ascii="Times New Roman" w:hAnsi="Times New Roman"/>
          <w:sz w:val="24"/>
          <w:szCs w:val="24"/>
          <w:lang w:val="lt-LT"/>
        </w:rPr>
        <w:t xml:space="preserve"> </w:t>
      </w:r>
      <w:proofErr w:type="spellStart"/>
      <w:r w:rsidRPr="00E11198">
        <w:rPr>
          <w:rFonts w:ascii="Times New Roman" w:hAnsi="Times New Roman"/>
          <w:sz w:val="24"/>
          <w:szCs w:val="24"/>
          <w:lang w:val="lt-LT"/>
        </w:rPr>
        <w:t>Application</w:t>
      </w:r>
      <w:proofErr w:type="spellEnd"/>
      <w:r w:rsidRPr="00E11198">
        <w:rPr>
          <w:rFonts w:ascii="Times New Roman" w:hAnsi="Times New Roman"/>
          <w:sz w:val="24"/>
          <w:szCs w:val="24"/>
          <w:lang w:val="lt-LT"/>
        </w:rPr>
        <w:t xml:space="preserve"> </w:t>
      </w:r>
      <w:proofErr w:type="spellStart"/>
      <w:r w:rsidRPr="00E11198">
        <w:rPr>
          <w:rFonts w:ascii="Times New Roman" w:hAnsi="Times New Roman"/>
          <w:sz w:val="24"/>
          <w:szCs w:val="24"/>
          <w:lang w:val="lt-LT"/>
        </w:rPr>
        <w:t>Security</w:t>
      </w:r>
      <w:proofErr w:type="spellEnd"/>
      <w:r w:rsidRPr="00E11198">
        <w:rPr>
          <w:rFonts w:ascii="Times New Roman" w:hAnsi="Times New Roman"/>
          <w:sz w:val="24"/>
          <w:szCs w:val="24"/>
          <w:lang w:val="lt-LT"/>
        </w:rPr>
        <w:t xml:space="preserve"> Project </w:t>
      </w:r>
      <w:proofErr w:type="spellStart"/>
      <w:r w:rsidRPr="00E11198">
        <w:rPr>
          <w:rFonts w:ascii="Times New Roman" w:hAnsi="Times New Roman"/>
          <w:sz w:val="24"/>
          <w:szCs w:val="24"/>
          <w:lang w:val="lt-LT"/>
        </w:rPr>
        <w:t>Top</w:t>
      </w:r>
      <w:proofErr w:type="spellEnd"/>
      <w:r w:rsidRPr="00E11198">
        <w:rPr>
          <w:rFonts w:ascii="Times New Roman" w:hAnsi="Times New Roman"/>
          <w:sz w:val="24"/>
          <w:szCs w:val="24"/>
          <w:lang w:val="lt-LT"/>
        </w:rPr>
        <w:t xml:space="preserve"> 10“ ir (arba) „CWE/SANS </w:t>
      </w:r>
      <w:proofErr w:type="spellStart"/>
      <w:r w:rsidRPr="00E11198">
        <w:rPr>
          <w:rFonts w:ascii="Times New Roman" w:hAnsi="Times New Roman"/>
          <w:sz w:val="24"/>
          <w:szCs w:val="24"/>
          <w:lang w:val="lt-LT"/>
        </w:rPr>
        <w:t>Top</w:t>
      </w:r>
      <w:proofErr w:type="spellEnd"/>
      <w:r w:rsidRPr="00E11198">
        <w:rPr>
          <w:rFonts w:ascii="Times New Roman" w:hAnsi="Times New Roman"/>
          <w:sz w:val="24"/>
          <w:szCs w:val="24"/>
          <w:lang w:val="lt-LT"/>
        </w:rPr>
        <w:t xml:space="preserve"> 25 </w:t>
      </w:r>
      <w:proofErr w:type="spellStart"/>
      <w:r w:rsidRPr="00E11198">
        <w:rPr>
          <w:rFonts w:ascii="Times New Roman" w:hAnsi="Times New Roman"/>
          <w:sz w:val="24"/>
          <w:szCs w:val="24"/>
          <w:lang w:val="lt-LT"/>
        </w:rPr>
        <w:t>Software</w:t>
      </w:r>
      <w:proofErr w:type="spellEnd"/>
      <w:r w:rsidRPr="00E11198">
        <w:rPr>
          <w:rFonts w:ascii="Times New Roman" w:hAnsi="Times New Roman"/>
          <w:sz w:val="24"/>
          <w:szCs w:val="24"/>
          <w:lang w:val="lt-LT"/>
        </w:rPr>
        <w:t xml:space="preserve"> </w:t>
      </w:r>
      <w:proofErr w:type="spellStart"/>
      <w:r w:rsidRPr="00E11198">
        <w:rPr>
          <w:rFonts w:ascii="Times New Roman" w:hAnsi="Times New Roman"/>
          <w:sz w:val="24"/>
          <w:szCs w:val="24"/>
          <w:lang w:val="lt-LT"/>
        </w:rPr>
        <w:t>Errors</w:t>
      </w:r>
      <w:proofErr w:type="spellEnd"/>
      <w:r w:rsidRPr="00E11198">
        <w:rPr>
          <w:rFonts w:ascii="Times New Roman" w:hAnsi="Times New Roman"/>
          <w:sz w:val="24"/>
          <w:szCs w:val="24"/>
          <w:lang w:val="lt-LT"/>
        </w:rPr>
        <w:t>“ reikalavimus (arba ekvivalentą), taip pat atsižvelgiant į šių išteklių priežiūros Nacionalinio kibernetinio saugumo centro rekomendacijas, skelbiamas https://www.nksc.lt/. Taip pat nedelsiant organizuoti ir užtikrinti šios patikros metu nustatytų pažeidžiamumų pašalinimą.</w:t>
      </w:r>
    </w:p>
    <w:p w14:paraId="030E1206"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11. Kibernetinio saugumo vadovas turi bent kartą per metus peržiūrėti ir pateikti gerinimo pasiūlymus tokioms temoms: </w:t>
      </w:r>
    </w:p>
    <w:p w14:paraId="4DD61665"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11.1. Informacinių sistemų, duomenų bazių kopijų valdymą: atsarginių kopijų kūrimo politikos peržiūra, keitimas, tvarkos gerinimo rekomendacijų teikimas Perkančiajai organizacijai (ne rečiau kaip kartą per metus arba pagal poreikį), organizavimas ir dalyvavimas informacijos atkūrimo iš atsarginių kopijų procese (ne rečiau kaip kartą per metus arba pagal poreikį);</w:t>
      </w:r>
    </w:p>
    <w:p w14:paraId="2925EC99"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11.2. Techninės ir programinės įrangos eksploatavimo ciklo valdymą: IS funkcionalumo, programinės ir techninės įrangos keitimo, atnaujinimo, naikinimo procesų tvarkos peržiūra, koregavimas, tvarkos gerinimo rekomendacijų teikimas Perkančiajai organizacijai (ne rečiau kaip </w:t>
      </w:r>
      <w:r w:rsidRPr="00E11198">
        <w:rPr>
          <w:rFonts w:ascii="Times New Roman" w:hAnsi="Times New Roman"/>
          <w:sz w:val="24"/>
          <w:szCs w:val="24"/>
          <w:lang w:val="lt-LT"/>
        </w:rPr>
        <w:lastRenderedPageBreak/>
        <w:t>kartą per metus arba pagal poreikį), leidžiamos naudoti programinės įrangos sąrašo atnaujinimas (ne rečiau kaip kartą per metus arba pagal poreikį);</w:t>
      </w:r>
    </w:p>
    <w:p w14:paraId="2EF27423"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11.3. Mobiliųjų įrenginių valdymą: mobiliųjų įrenginių techninės ir programinės įrangos naudojimo politikos peržiūra, nustatymas, koregavimas ir įgyvendinimo koordinavimas, tvarkos kūrimas, jos gerinimo ir prevencinių priemonių rekomendacijų teikimas Perkančiajai organizacijai ne rečiau kaip kartą per metus arba pagal poreikį; </w:t>
      </w:r>
    </w:p>
    <w:p w14:paraId="265E324A"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11.4. Jautrių duomenų valdymą: jautrių duomenų valdymo politikos peržiūra, koregavimas, tvarkos gerinimo ir prevencinių priemonių rekomendacijų teikimas Perkančiajai organizacijai ne rečiau kaip kartą per metus arba pagal poreikį, politikos įgyvendinimo koordinavimas, kuris apima, bet neapsiriboja, informacijos įkėlimu iš išorės, informacijos siuntimu Perkančiosios organizacijos viduje ir į išorę, informacijos persiuntimu ne į ES ir NATO valstybes; </w:t>
      </w:r>
    </w:p>
    <w:p w14:paraId="06BC16FB"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11.5. Duomenų laikmenų valdymą: duomenų laikmenų politikos nustatymas, gerinimas ir įgyvendinimo koordinavimas, duomenų laikmenų naudojimo rizikos vertinimas (ne rečiau kaip kartą per metus arba pagal poreikį), prevencinių priemonių rekomendacijų teikimas (pagal poreikį).</w:t>
      </w:r>
    </w:p>
    <w:p w14:paraId="78CA4358"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12. Kibernetinio saugumo vadovas turi paruošti kibernetinio saugumo politikos dokumentų rinkinį, kurį turi sudaryti įskaitant bet neapsiribojant, šie dokumentai: </w:t>
      </w:r>
    </w:p>
    <w:p w14:paraId="02866E99"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12.1. Tinklų ir informacinių sistemų saugumo politika. Ją turi sudaryti: </w:t>
      </w:r>
    </w:p>
    <w:p w14:paraId="7A4D9F26"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tinklų ir informacinių sistemų rizikos vertinimo ir valdymo tvarka; </w:t>
      </w:r>
    </w:p>
    <w:p w14:paraId="0EDF5E29"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tiekimo grandinės saugumo valdymo tvarka; </w:t>
      </w:r>
    </w:p>
    <w:p w14:paraId="2A2BFDC6"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sistemų įsigijimo, plėtojimo ir priežiūros saugumo užtikrinimo tvarka; </w:t>
      </w:r>
    </w:p>
    <w:p w14:paraId="74B35537"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tinklų ir informacinių sistemų pokyčių valdymo tvarka; </w:t>
      </w:r>
    </w:p>
    <w:p w14:paraId="1ED91957"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pataisų valdymo tvarka; </w:t>
      </w:r>
    </w:p>
    <w:p w14:paraId="09ADE9E9"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spragų valdymo ir atskleidimo nuostatos; </w:t>
      </w:r>
    </w:p>
    <w:p w14:paraId="6FF3582C"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reikalavimų veiksmingumo vertinimo tvarka;</w:t>
      </w:r>
    </w:p>
    <w:p w14:paraId="658A8997"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mokymų organizavimo ir vykdymo tvarka; </w:t>
      </w:r>
    </w:p>
    <w:p w14:paraId="0ECD5E91"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kriptografijos ir šifravimo naudojimo tvarka; </w:t>
      </w:r>
    </w:p>
    <w:p w14:paraId="77B1AC0D"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turto valdymo tvarka; </w:t>
      </w:r>
    </w:p>
    <w:p w14:paraId="76226495"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tapatumo nustatymo nuostatos. </w:t>
      </w:r>
    </w:p>
    <w:p w14:paraId="20799DB2"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12.2. Kibernetinių incidentų valdymo planas. Jame turi būti nurodyta:</w:t>
      </w:r>
    </w:p>
    <w:p w14:paraId="74A368FD"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kibernetinių incidentų nustatymo būdai;</w:t>
      </w:r>
    </w:p>
    <w:p w14:paraId="3BFF9C02"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kibernetinių incidentų vertinimas; </w:t>
      </w:r>
    </w:p>
    <w:p w14:paraId="5810DA5B"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kibernetinių incidentų valdymo organizavimas; </w:t>
      </w:r>
    </w:p>
    <w:p w14:paraId="1995C8E7"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kibernetinių incidentų komunikavimo su suinteresuotomis šalimis nuostatos; </w:t>
      </w:r>
    </w:p>
    <w:p w14:paraId="2248F25A"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darbuotojų, kurie yra atsakingi už kibernetinių incidentų valdymą, atsakomybė; </w:t>
      </w:r>
    </w:p>
    <w:p w14:paraId="63863585"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kibernetinių incidentų įrodymų nustatymo, rinkimo, gavimo, pranešimo ir išsaugojimo nuostatos, t. y. nustatyti žurnalinių įrašų administravimo ir saugojimo, įsibrovimų aptikimo ir prevencijos reikalavimus; </w:t>
      </w:r>
    </w:p>
    <w:p w14:paraId="2EC00C74"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įgytos kibernetinių incidentų valdymo patirties vertinimas; </w:t>
      </w:r>
    </w:p>
    <w:p w14:paraId="18AA8F84"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kibernetinių incidentų valdymo plano veiksmingumo išbandymo ir išbandymo rezultatų ataskaitų rengimo nuostatos. </w:t>
      </w:r>
    </w:p>
    <w:p w14:paraId="62507878"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12.3. Tinklų ir informacinių sistemų veiklos tęstinumo valdymo planas. Jis turi apimti:</w:t>
      </w:r>
    </w:p>
    <w:p w14:paraId="442A724E"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sąlygas, kada pradedamas taikyti tinklų ir informacinių sistemų veiklos tęstinumo planas; - tinklų ir informacinių sistemų veiklos kriterijai, pagal kuriuos galima nustatyti, ar tinklų ir informacinės sistemos veikla atkurta; </w:t>
      </w:r>
    </w:p>
    <w:p w14:paraId="2B6FE497"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lastRenderedPageBreak/>
        <w:t xml:space="preserve">- asmenys, atsakingi už tinklų ir informacinių sistemų veiklos tęstinumo plano vykdymą, jų pareigos ir funkcijos; </w:t>
      </w:r>
    </w:p>
    <w:p w14:paraId="7EA14EEA"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nuostatos, kuriose turi būti nurodyti tinklų ir informacinių sistemų veiklos tęstinumo valdymo grupės sudėties ir jos funkcijų reikalavimai, įtraukiant reikalavimą, kad veiklos tęstinumo valdymo grupės sudėtyje būtų kibernetinio saugumo vadovas ir (ar) saugos įgaliotinis; </w:t>
      </w:r>
    </w:p>
    <w:p w14:paraId="0D5D73F4"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nuostatos, kuriose turi būti nurodyti tinklų ir informacinių sistemų veiklos atkūrimo grupės sudėties ir jos funkcijų reikalavimai; </w:t>
      </w:r>
    </w:p>
    <w:p w14:paraId="5535FE61"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detalus tinklų ir informacinių sistemų veiklos atkūrimo planas; </w:t>
      </w:r>
    </w:p>
    <w:p w14:paraId="136CA58F"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tinklų ir informacinių sistemų veiklos tęstinumo valdymo plano veiksmingumo išbandymo reikalavimai; </w:t>
      </w:r>
    </w:p>
    <w:p w14:paraId="4A181C04"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tinklų ir informacinių sistemų veiklos tęstinumo valdymo plano veiksmingumo išbandymo rezultatų ataskaitų rengimo reikalavimai; </w:t>
      </w:r>
    </w:p>
    <w:p w14:paraId="19F7A0B8"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atsarginių duomenų kopijų atkūrimo parametrai pagal kibernetinio saugumo subjekto nustatytą tinklų ir informacinių sistemų ar jų dalies atkūrimo laikotarpį (angl. </w:t>
      </w:r>
      <w:proofErr w:type="spellStart"/>
      <w:r w:rsidRPr="00E11198">
        <w:rPr>
          <w:rFonts w:ascii="Times New Roman" w:hAnsi="Times New Roman"/>
          <w:sz w:val="24"/>
          <w:szCs w:val="24"/>
          <w:lang w:val="lt-LT"/>
        </w:rPr>
        <w:t>Recovery</w:t>
      </w:r>
      <w:proofErr w:type="spellEnd"/>
      <w:r w:rsidRPr="00E11198">
        <w:rPr>
          <w:rFonts w:ascii="Times New Roman" w:hAnsi="Times New Roman"/>
          <w:sz w:val="24"/>
          <w:szCs w:val="24"/>
          <w:lang w:val="lt-LT"/>
        </w:rPr>
        <w:t xml:space="preserve"> </w:t>
      </w:r>
      <w:proofErr w:type="spellStart"/>
      <w:r w:rsidRPr="00E11198">
        <w:rPr>
          <w:rFonts w:ascii="Times New Roman" w:hAnsi="Times New Roman"/>
          <w:sz w:val="24"/>
          <w:szCs w:val="24"/>
          <w:lang w:val="lt-LT"/>
        </w:rPr>
        <w:t>time</w:t>
      </w:r>
      <w:proofErr w:type="spellEnd"/>
      <w:r w:rsidRPr="00E11198">
        <w:rPr>
          <w:rFonts w:ascii="Times New Roman" w:hAnsi="Times New Roman"/>
          <w:sz w:val="24"/>
          <w:szCs w:val="24"/>
          <w:lang w:val="lt-LT"/>
        </w:rPr>
        <w:t xml:space="preserve"> </w:t>
      </w:r>
      <w:proofErr w:type="spellStart"/>
      <w:r w:rsidRPr="00E11198">
        <w:rPr>
          <w:rFonts w:ascii="Times New Roman" w:hAnsi="Times New Roman"/>
          <w:sz w:val="24"/>
          <w:szCs w:val="24"/>
          <w:lang w:val="lt-LT"/>
        </w:rPr>
        <w:t>objective</w:t>
      </w:r>
      <w:proofErr w:type="spellEnd"/>
      <w:r w:rsidRPr="00E11198">
        <w:rPr>
          <w:rFonts w:ascii="Times New Roman" w:hAnsi="Times New Roman"/>
          <w:sz w:val="24"/>
          <w:szCs w:val="24"/>
          <w:lang w:val="lt-LT"/>
        </w:rPr>
        <w:t xml:space="preserve">, RTO) ir šių parametrų išbandymo reikalavimai; </w:t>
      </w:r>
    </w:p>
    <w:p w14:paraId="4BDD6F76"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 tinklų ir informacinių sistemų ar jų dalies duomenų praradimo laikas (angl. </w:t>
      </w:r>
      <w:proofErr w:type="spellStart"/>
      <w:r w:rsidRPr="00E11198">
        <w:rPr>
          <w:rFonts w:ascii="Times New Roman" w:hAnsi="Times New Roman"/>
          <w:sz w:val="24"/>
          <w:szCs w:val="24"/>
          <w:lang w:val="lt-LT"/>
        </w:rPr>
        <w:t>Recovery</w:t>
      </w:r>
      <w:proofErr w:type="spellEnd"/>
      <w:r w:rsidRPr="00E11198">
        <w:rPr>
          <w:rFonts w:ascii="Times New Roman" w:hAnsi="Times New Roman"/>
          <w:sz w:val="24"/>
          <w:szCs w:val="24"/>
          <w:lang w:val="lt-LT"/>
        </w:rPr>
        <w:t xml:space="preserve"> </w:t>
      </w:r>
      <w:proofErr w:type="spellStart"/>
      <w:r w:rsidRPr="00E11198">
        <w:rPr>
          <w:rFonts w:ascii="Times New Roman" w:hAnsi="Times New Roman"/>
          <w:sz w:val="24"/>
          <w:szCs w:val="24"/>
          <w:lang w:val="lt-LT"/>
        </w:rPr>
        <w:t>point</w:t>
      </w:r>
      <w:proofErr w:type="spellEnd"/>
      <w:r w:rsidRPr="00E11198">
        <w:rPr>
          <w:rFonts w:ascii="Times New Roman" w:hAnsi="Times New Roman"/>
          <w:sz w:val="24"/>
          <w:szCs w:val="24"/>
          <w:lang w:val="lt-LT"/>
        </w:rPr>
        <w:t xml:space="preserve"> </w:t>
      </w:r>
      <w:proofErr w:type="spellStart"/>
      <w:r w:rsidRPr="00E11198">
        <w:rPr>
          <w:rFonts w:ascii="Times New Roman" w:hAnsi="Times New Roman"/>
          <w:sz w:val="24"/>
          <w:szCs w:val="24"/>
          <w:lang w:val="lt-LT"/>
        </w:rPr>
        <w:t>objective</w:t>
      </w:r>
      <w:proofErr w:type="spellEnd"/>
      <w:r w:rsidRPr="00E11198">
        <w:rPr>
          <w:rFonts w:ascii="Times New Roman" w:hAnsi="Times New Roman"/>
          <w:sz w:val="24"/>
          <w:szCs w:val="24"/>
          <w:lang w:val="lt-LT"/>
        </w:rPr>
        <w:t xml:space="preserve">, RPO) ir jo išbandymo reikalavimai. </w:t>
      </w:r>
    </w:p>
    <w:p w14:paraId="0909D9B0"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12.4. Peržiūrėti ir atnaujinti LMT projektų valdymo informacinės sistemos (LMTPAIS) nuostatus. Šie nuostatai turi būti parengti vadovaujantis Informacinių sistemų steigimo, kūrimo, atnaujinimo, pertvarkymo ir likvidavimo tvarkos aprašu, patvirtintu Vyriausybės 2024 m. gegužės 15 d. nutarimu Nr.349 „Dėl Lietuvos Respublikos valstybės informacinių išteklių valdymo įstatymo įgyvendinimo“. </w:t>
      </w:r>
    </w:p>
    <w:p w14:paraId="59F0E3EB"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13. Kibernetinio saugumo vadovas turi teikti pasiūlymus bei rekomendacijas dėl: </w:t>
      </w:r>
    </w:p>
    <w:p w14:paraId="096483F1"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13.1. Kibernetinio saugumo politikos ir ją įgyvendinančių dokumentų priėmimo, keitimo ar panaikinimo;</w:t>
      </w:r>
    </w:p>
    <w:p w14:paraId="702678A8"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13.2. organizacinių ir techninių priemonių, skirtų Perkančiosios organizacijos kibernetinio saugumo užtikrinimui ir kontrolei, diegimo. </w:t>
      </w:r>
    </w:p>
    <w:p w14:paraId="0EEFC982"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14. Vertinant informacijos saugos ir kibernetinio saugumo riziką privalo: </w:t>
      </w:r>
    </w:p>
    <w:p w14:paraId="20123919"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14.1. Parengti informacinių išteklių sąrašą ir ne rečiau nei kartą per metus peržiūrėti ir, esant poreikiui, atnaujinti informacinių išteklių sąrašą. </w:t>
      </w:r>
    </w:p>
    <w:p w14:paraId="762548BF"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14.2. Ne rečiau nei kartą per metus atlikti kibernetinio saugumo rizikos valdymo priemonių veiksmingumo vertinimą ir pateikti Perkančiajai organizacijai ataskaitą.</w:t>
      </w:r>
    </w:p>
    <w:p w14:paraId="0F64D155"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14.3. Ne rečiau nei kartą per metus arba po aktualių pokyčių atlikti informacijos nutekėjimo rizikos vertinimą, ataskaitą ir gerinimo rekomendacijas pateikti Perkančiajai organizacijai. </w:t>
      </w:r>
    </w:p>
    <w:p w14:paraId="29BF6CCB"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14.4. Atlikti naujos techninės ir programinės įrangos gamintojų ir tiekėjų rizikos vertinimą pagal poreikį. </w:t>
      </w:r>
    </w:p>
    <w:p w14:paraId="2FBD6317"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14.5. Techninės ir programinės įrangos gamintojų ir tiekėjų rizikos vertinimas pagal poreikį. </w:t>
      </w:r>
    </w:p>
    <w:p w14:paraId="0F8F3DCE"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15. Kibernetinio saugumo vadovo paslaugas teikiantys atsakingi asmenys turi: </w:t>
      </w:r>
    </w:p>
    <w:p w14:paraId="0542B027"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15.1. atitikti Lietuvos Respublikos valstybės tarnybos įstatyme nustatytus nepriekaištingos reputacijos kriterijus;</w:t>
      </w:r>
    </w:p>
    <w:p w14:paraId="6A6C7100"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 xml:space="preserve">15.2. negali turėti paskirtos administracinės nuobaudos už teisės aktų pažeidimus tinklų ir informacinių sistemų ir asmens duomenų tvarkymo ir privatumo apsaugos srityse, jeigu nuo nuobaudos paskyrimo yra praėję mažiau kaip vieni metai; </w:t>
      </w:r>
    </w:p>
    <w:p w14:paraId="5D380CFA"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15.3. turėti ne mažesnę kaip 2 metų patirtį informacinių technologijų, kibernetinio saugumo ar tinklų ir informacinių sistemų srityje ir turėti žinias šiose srityse patvirtinantį aukštojo mokslo diplomą, tarptautiniu lygmeniu pripažįstamą kvalifikacijos sertifikatą (-</w:t>
      </w:r>
      <w:proofErr w:type="spellStart"/>
      <w:r w:rsidRPr="00E11198">
        <w:rPr>
          <w:rFonts w:ascii="Times New Roman" w:hAnsi="Times New Roman"/>
          <w:sz w:val="24"/>
          <w:szCs w:val="24"/>
          <w:lang w:val="lt-LT"/>
        </w:rPr>
        <w:t>us</w:t>
      </w:r>
      <w:proofErr w:type="spellEnd"/>
      <w:r w:rsidRPr="00E11198">
        <w:rPr>
          <w:rFonts w:ascii="Times New Roman" w:hAnsi="Times New Roman"/>
          <w:sz w:val="24"/>
          <w:szCs w:val="24"/>
          <w:lang w:val="lt-LT"/>
        </w:rPr>
        <w:t xml:space="preserve">) CCISO arba lygiavertį ar CISSP </w:t>
      </w:r>
      <w:r w:rsidRPr="00E11198">
        <w:rPr>
          <w:rFonts w:ascii="Times New Roman" w:hAnsi="Times New Roman"/>
          <w:sz w:val="24"/>
          <w:szCs w:val="24"/>
          <w:lang w:val="lt-LT"/>
        </w:rPr>
        <w:lastRenderedPageBreak/>
        <w:t>arba lygiavertį, arba Nacionalinio kibernetinio saugumo centro vadovo nustatyta tvarka yra išklausę mokymus ir išlaikę kibernetinio saugumo vadovo egzaminą.</w:t>
      </w:r>
    </w:p>
    <w:p w14:paraId="4A56B5F3"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16. Kibernetinio saugumo vadovo paslaugos apimtyje turi būti įtrauktas visų dokumentų šablonų reikalingų TIS2 direktyvos reikalavimų atitikimo užtikrinimui pateikimas Perkančiajai organizacijai bei konsultacijos jų parengimo (užpildymo reikalinga Perkančiajai organizacijai taikytina informacija) ir patvirtinimo klausimais.</w:t>
      </w:r>
    </w:p>
    <w:p w14:paraId="7B8F1107"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17. Per 1 mėn. nuo sutarties sudarymo Tiekėjas turi parengti ir su Perkančiąja organizacija suderinti atitikimo TIS2 direktyvos organizaciniams reikalavimams planą.</w:t>
      </w:r>
    </w:p>
    <w:p w14:paraId="3A8D2D02" w14:textId="77777777" w:rsidR="00304885" w:rsidRPr="00E11198" w:rsidRDefault="00304885" w:rsidP="00304885">
      <w:pPr>
        <w:spacing w:line="276" w:lineRule="auto"/>
        <w:jc w:val="both"/>
        <w:rPr>
          <w:rFonts w:ascii="Times New Roman" w:hAnsi="Times New Roman"/>
          <w:sz w:val="24"/>
          <w:szCs w:val="24"/>
          <w:lang w:val="lt-LT"/>
        </w:rPr>
      </w:pPr>
      <w:r w:rsidRPr="00E11198">
        <w:rPr>
          <w:rFonts w:ascii="Times New Roman" w:hAnsi="Times New Roman"/>
          <w:sz w:val="24"/>
          <w:szCs w:val="24"/>
          <w:lang w:val="lt-LT"/>
        </w:rPr>
        <w:t>18. Per 3 mėn. nuo sutarties sudarymo Tiekėjas turi parengti ir su Perkančiąja organizacija suderinti atitikimo TIS2 direktyvos techniniams reikalavimams planą.</w:t>
      </w:r>
    </w:p>
    <w:p w14:paraId="3ABA2997"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600310E9"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29C5F3D4"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578755C8"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64750E71"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222771E0"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1AE8824C"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4D6F02E7"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48D3CD32"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76DDDCC1"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76A0310F"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27653237"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047E73E6"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2935406D"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33AD10C7"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172DB1A1"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6E5FDF28" w14:textId="77777777" w:rsidR="00196FD1" w:rsidRPr="00E11198" w:rsidRDefault="00196FD1" w:rsidP="000409F9">
      <w:pPr>
        <w:tabs>
          <w:tab w:val="center" w:pos="4153"/>
          <w:tab w:val="right" w:pos="8306"/>
        </w:tabs>
        <w:jc w:val="right"/>
        <w:rPr>
          <w:rFonts w:ascii="Times New Roman" w:hAnsi="Times New Roman"/>
          <w:bCs/>
          <w:sz w:val="24"/>
          <w:szCs w:val="24"/>
          <w:lang w:val="lt-LT"/>
        </w:rPr>
      </w:pPr>
    </w:p>
    <w:p w14:paraId="11DDBB61" w14:textId="77777777" w:rsidR="00196FD1" w:rsidRDefault="00196FD1" w:rsidP="000409F9">
      <w:pPr>
        <w:tabs>
          <w:tab w:val="center" w:pos="4153"/>
          <w:tab w:val="right" w:pos="8306"/>
        </w:tabs>
        <w:jc w:val="right"/>
        <w:rPr>
          <w:rFonts w:ascii="Times New Roman" w:hAnsi="Times New Roman"/>
          <w:bCs/>
          <w:sz w:val="24"/>
          <w:szCs w:val="24"/>
          <w:lang w:val="lt-LT"/>
        </w:rPr>
      </w:pPr>
    </w:p>
    <w:p w14:paraId="3E441B58" w14:textId="77777777" w:rsidR="00196FD1" w:rsidRDefault="00196FD1" w:rsidP="000409F9">
      <w:pPr>
        <w:tabs>
          <w:tab w:val="center" w:pos="4153"/>
          <w:tab w:val="right" w:pos="8306"/>
        </w:tabs>
        <w:jc w:val="right"/>
        <w:rPr>
          <w:rFonts w:ascii="Times New Roman" w:hAnsi="Times New Roman"/>
          <w:bCs/>
          <w:sz w:val="24"/>
          <w:szCs w:val="24"/>
          <w:lang w:val="lt-LT"/>
        </w:rPr>
      </w:pPr>
    </w:p>
    <w:p w14:paraId="1E688805" w14:textId="77777777" w:rsidR="00196FD1" w:rsidRDefault="00196FD1" w:rsidP="000409F9">
      <w:pPr>
        <w:tabs>
          <w:tab w:val="center" w:pos="4153"/>
          <w:tab w:val="right" w:pos="8306"/>
        </w:tabs>
        <w:jc w:val="right"/>
        <w:rPr>
          <w:rFonts w:ascii="Times New Roman" w:hAnsi="Times New Roman"/>
          <w:bCs/>
          <w:sz w:val="24"/>
          <w:szCs w:val="24"/>
          <w:lang w:val="lt-LT"/>
        </w:rPr>
      </w:pPr>
    </w:p>
    <w:p w14:paraId="732B768B" w14:textId="77777777" w:rsidR="00196FD1" w:rsidRDefault="00196FD1" w:rsidP="000409F9">
      <w:pPr>
        <w:tabs>
          <w:tab w:val="center" w:pos="4153"/>
          <w:tab w:val="right" w:pos="8306"/>
        </w:tabs>
        <w:jc w:val="right"/>
        <w:rPr>
          <w:rFonts w:ascii="Times New Roman" w:hAnsi="Times New Roman"/>
          <w:bCs/>
          <w:sz w:val="24"/>
          <w:szCs w:val="24"/>
          <w:lang w:val="lt-LT"/>
        </w:rPr>
      </w:pPr>
    </w:p>
    <w:p w14:paraId="0860F7A0" w14:textId="77777777" w:rsidR="00196FD1" w:rsidRDefault="00196FD1" w:rsidP="000409F9">
      <w:pPr>
        <w:tabs>
          <w:tab w:val="center" w:pos="4153"/>
          <w:tab w:val="right" w:pos="8306"/>
        </w:tabs>
        <w:jc w:val="right"/>
        <w:rPr>
          <w:rFonts w:ascii="Times New Roman" w:hAnsi="Times New Roman"/>
          <w:bCs/>
          <w:sz w:val="24"/>
          <w:szCs w:val="24"/>
          <w:lang w:val="lt-LT"/>
        </w:rPr>
      </w:pPr>
    </w:p>
    <w:p w14:paraId="5EEEF31B" w14:textId="77777777" w:rsidR="00196FD1" w:rsidRDefault="00196FD1" w:rsidP="000409F9">
      <w:pPr>
        <w:tabs>
          <w:tab w:val="center" w:pos="4153"/>
          <w:tab w:val="right" w:pos="8306"/>
        </w:tabs>
        <w:jc w:val="right"/>
        <w:rPr>
          <w:rFonts w:ascii="Times New Roman" w:hAnsi="Times New Roman"/>
          <w:bCs/>
          <w:sz w:val="24"/>
          <w:szCs w:val="24"/>
          <w:lang w:val="lt-LT"/>
        </w:rPr>
      </w:pPr>
    </w:p>
    <w:p w14:paraId="3219D02D" w14:textId="77777777" w:rsidR="00196FD1" w:rsidRDefault="00196FD1" w:rsidP="000409F9">
      <w:pPr>
        <w:tabs>
          <w:tab w:val="center" w:pos="4153"/>
          <w:tab w:val="right" w:pos="8306"/>
        </w:tabs>
        <w:jc w:val="right"/>
        <w:rPr>
          <w:rFonts w:ascii="Times New Roman" w:hAnsi="Times New Roman"/>
          <w:bCs/>
          <w:sz w:val="24"/>
          <w:szCs w:val="24"/>
          <w:lang w:val="lt-LT"/>
        </w:rPr>
      </w:pPr>
    </w:p>
    <w:p w14:paraId="6D857765" w14:textId="77777777" w:rsidR="00196FD1" w:rsidRDefault="00196FD1" w:rsidP="000409F9">
      <w:pPr>
        <w:tabs>
          <w:tab w:val="center" w:pos="4153"/>
          <w:tab w:val="right" w:pos="8306"/>
        </w:tabs>
        <w:jc w:val="right"/>
        <w:rPr>
          <w:rFonts w:ascii="Times New Roman" w:hAnsi="Times New Roman"/>
          <w:bCs/>
          <w:sz w:val="24"/>
          <w:szCs w:val="24"/>
          <w:lang w:val="lt-LT"/>
        </w:rPr>
      </w:pPr>
    </w:p>
    <w:p w14:paraId="6C75C146" w14:textId="77777777" w:rsidR="00196FD1" w:rsidRDefault="00196FD1" w:rsidP="000409F9">
      <w:pPr>
        <w:tabs>
          <w:tab w:val="center" w:pos="4153"/>
          <w:tab w:val="right" w:pos="8306"/>
        </w:tabs>
        <w:jc w:val="right"/>
        <w:rPr>
          <w:rFonts w:ascii="Times New Roman" w:hAnsi="Times New Roman"/>
          <w:bCs/>
          <w:sz w:val="24"/>
          <w:szCs w:val="24"/>
          <w:lang w:val="lt-LT"/>
        </w:rPr>
      </w:pPr>
    </w:p>
    <w:p w14:paraId="02759556" w14:textId="77777777" w:rsidR="00196FD1" w:rsidRDefault="00196FD1" w:rsidP="000409F9">
      <w:pPr>
        <w:tabs>
          <w:tab w:val="center" w:pos="4153"/>
          <w:tab w:val="right" w:pos="8306"/>
        </w:tabs>
        <w:jc w:val="right"/>
        <w:rPr>
          <w:rFonts w:ascii="Times New Roman" w:hAnsi="Times New Roman"/>
          <w:bCs/>
          <w:sz w:val="24"/>
          <w:szCs w:val="24"/>
          <w:lang w:val="lt-LT"/>
        </w:rPr>
      </w:pPr>
    </w:p>
    <w:p w14:paraId="256FFD86" w14:textId="77777777" w:rsidR="00196FD1" w:rsidRDefault="00196FD1" w:rsidP="000409F9">
      <w:pPr>
        <w:tabs>
          <w:tab w:val="center" w:pos="4153"/>
          <w:tab w:val="right" w:pos="8306"/>
        </w:tabs>
        <w:jc w:val="right"/>
        <w:rPr>
          <w:rFonts w:ascii="Times New Roman" w:hAnsi="Times New Roman"/>
          <w:bCs/>
          <w:sz w:val="24"/>
          <w:szCs w:val="24"/>
          <w:lang w:val="lt-LT"/>
        </w:rPr>
      </w:pPr>
    </w:p>
    <w:p w14:paraId="2C4D7B94" w14:textId="77777777" w:rsidR="00196FD1" w:rsidRDefault="00196FD1" w:rsidP="000409F9">
      <w:pPr>
        <w:tabs>
          <w:tab w:val="center" w:pos="4153"/>
          <w:tab w:val="right" w:pos="8306"/>
        </w:tabs>
        <w:jc w:val="right"/>
        <w:rPr>
          <w:rFonts w:ascii="Times New Roman" w:hAnsi="Times New Roman"/>
          <w:bCs/>
          <w:sz w:val="24"/>
          <w:szCs w:val="24"/>
          <w:lang w:val="lt-LT"/>
        </w:rPr>
      </w:pPr>
    </w:p>
    <w:p w14:paraId="6BE26619" w14:textId="77777777" w:rsidR="00196FD1" w:rsidRDefault="00196FD1" w:rsidP="000409F9">
      <w:pPr>
        <w:tabs>
          <w:tab w:val="center" w:pos="4153"/>
          <w:tab w:val="right" w:pos="8306"/>
        </w:tabs>
        <w:jc w:val="right"/>
        <w:rPr>
          <w:rFonts w:ascii="Times New Roman" w:hAnsi="Times New Roman"/>
          <w:bCs/>
          <w:sz w:val="24"/>
          <w:szCs w:val="24"/>
          <w:lang w:val="lt-LT"/>
        </w:rPr>
      </w:pPr>
    </w:p>
    <w:p w14:paraId="5F3E4AC9" w14:textId="77777777" w:rsidR="00196FD1" w:rsidRDefault="00196FD1" w:rsidP="000409F9">
      <w:pPr>
        <w:tabs>
          <w:tab w:val="center" w:pos="4153"/>
          <w:tab w:val="right" w:pos="8306"/>
        </w:tabs>
        <w:jc w:val="right"/>
        <w:rPr>
          <w:rFonts w:ascii="Times New Roman" w:hAnsi="Times New Roman"/>
          <w:bCs/>
          <w:sz w:val="24"/>
          <w:szCs w:val="24"/>
          <w:lang w:val="lt-LT"/>
        </w:rPr>
      </w:pPr>
    </w:p>
    <w:p w14:paraId="0A9BED52" w14:textId="77777777" w:rsidR="00196FD1" w:rsidRDefault="00196FD1" w:rsidP="000409F9">
      <w:pPr>
        <w:tabs>
          <w:tab w:val="center" w:pos="4153"/>
          <w:tab w:val="right" w:pos="8306"/>
        </w:tabs>
        <w:jc w:val="right"/>
        <w:rPr>
          <w:rFonts w:ascii="Times New Roman" w:hAnsi="Times New Roman"/>
          <w:bCs/>
          <w:sz w:val="24"/>
          <w:szCs w:val="24"/>
          <w:lang w:val="lt-LT"/>
        </w:rPr>
      </w:pPr>
    </w:p>
    <w:p w14:paraId="6DF10271" w14:textId="77777777" w:rsidR="00196FD1" w:rsidRDefault="00196FD1" w:rsidP="000409F9">
      <w:pPr>
        <w:tabs>
          <w:tab w:val="center" w:pos="4153"/>
          <w:tab w:val="right" w:pos="8306"/>
        </w:tabs>
        <w:jc w:val="right"/>
        <w:rPr>
          <w:rFonts w:ascii="Times New Roman" w:hAnsi="Times New Roman"/>
          <w:bCs/>
          <w:sz w:val="24"/>
          <w:szCs w:val="24"/>
          <w:lang w:val="lt-LT"/>
        </w:rPr>
      </w:pPr>
    </w:p>
    <w:p w14:paraId="6C868F2B" w14:textId="77777777" w:rsidR="00E11198" w:rsidRDefault="00E11198" w:rsidP="000409F9">
      <w:pPr>
        <w:tabs>
          <w:tab w:val="center" w:pos="4153"/>
          <w:tab w:val="right" w:pos="8306"/>
        </w:tabs>
        <w:jc w:val="right"/>
        <w:rPr>
          <w:rFonts w:ascii="Times New Roman" w:hAnsi="Times New Roman"/>
          <w:bCs/>
          <w:sz w:val="24"/>
          <w:szCs w:val="24"/>
          <w:lang w:val="lt-LT"/>
        </w:rPr>
      </w:pPr>
    </w:p>
    <w:p w14:paraId="0EF46A2A" w14:textId="77777777" w:rsidR="00E11198" w:rsidRDefault="00E11198" w:rsidP="000409F9">
      <w:pPr>
        <w:tabs>
          <w:tab w:val="center" w:pos="4153"/>
          <w:tab w:val="right" w:pos="8306"/>
        </w:tabs>
        <w:jc w:val="right"/>
        <w:rPr>
          <w:rFonts w:ascii="Times New Roman" w:hAnsi="Times New Roman"/>
          <w:bCs/>
          <w:sz w:val="24"/>
          <w:szCs w:val="24"/>
          <w:lang w:val="lt-LT"/>
        </w:rPr>
      </w:pPr>
    </w:p>
    <w:p w14:paraId="0C0305E9" w14:textId="77777777" w:rsidR="00E11198" w:rsidRDefault="00E11198" w:rsidP="000409F9">
      <w:pPr>
        <w:tabs>
          <w:tab w:val="center" w:pos="4153"/>
          <w:tab w:val="right" w:pos="8306"/>
        </w:tabs>
        <w:jc w:val="right"/>
        <w:rPr>
          <w:rFonts w:ascii="Times New Roman" w:hAnsi="Times New Roman"/>
          <w:bCs/>
          <w:sz w:val="24"/>
          <w:szCs w:val="24"/>
          <w:lang w:val="lt-LT"/>
        </w:rPr>
      </w:pPr>
    </w:p>
    <w:p w14:paraId="6FE7B52F" w14:textId="77777777" w:rsidR="00E11198" w:rsidRDefault="00E11198" w:rsidP="000409F9">
      <w:pPr>
        <w:tabs>
          <w:tab w:val="center" w:pos="4153"/>
          <w:tab w:val="right" w:pos="8306"/>
        </w:tabs>
        <w:jc w:val="right"/>
        <w:rPr>
          <w:rFonts w:ascii="Times New Roman" w:hAnsi="Times New Roman"/>
          <w:bCs/>
          <w:sz w:val="24"/>
          <w:szCs w:val="24"/>
          <w:lang w:val="lt-LT"/>
        </w:rPr>
      </w:pPr>
    </w:p>
    <w:p w14:paraId="5FBE3D82" w14:textId="77777777" w:rsidR="00E11198" w:rsidRDefault="00E11198" w:rsidP="000409F9">
      <w:pPr>
        <w:tabs>
          <w:tab w:val="center" w:pos="4153"/>
          <w:tab w:val="right" w:pos="8306"/>
        </w:tabs>
        <w:jc w:val="right"/>
        <w:rPr>
          <w:rFonts w:ascii="Times New Roman" w:hAnsi="Times New Roman"/>
          <w:bCs/>
          <w:sz w:val="24"/>
          <w:szCs w:val="24"/>
          <w:lang w:val="lt-LT"/>
        </w:rPr>
      </w:pPr>
    </w:p>
    <w:p w14:paraId="68CF95EF" w14:textId="77777777" w:rsidR="00E11198" w:rsidRDefault="00E11198" w:rsidP="000409F9">
      <w:pPr>
        <w:tabs>
          <w:tab w:val="center" w:pos="4153"/>
          <w:tab w:val="right" w:pos="8306"/>
        </w:tabs>
        <w:jc w:val="right"/>
        <w:rPr>
          <w:rFonts w:ascii="Times New Roman" w:hAnsi="Times New Roman"/>
          <w:bCs/>
          <w:sz w:val="24"/>
          <w:szCs w:val="24"/>
          <w:lang w:val="lt-LT"/>
        </w:rPr>
      </w:pPr>
    </w:p>
    <w:p w14:paraId="2375C7C3" w14:textId="77777777" w:rsidR="00196FD1" w:rsidRPr="00D27000" w:rsidRDefault="00196FD1" w:rsidP="000409F9">
      <w:pPr>
        <w:tabs>
          <w:tab w:val="center" w:pos="4153"/>
          <w:tab w:val="right" w:pos="8306"/>
        </w:tabs>
        <w:jc w:val="right"/>
        <w:rPr>
          <w:rFonts w:ascii="Times New Roman" w:hAnsi="Times New Roman"/>
          <w:bCs/>
          <w:sz w:val="24"/>
          <w:szCs w:val="24"/>
        </w:rPr>
      </w:pPr>
    </w:p>
    <w:sectPr w:rsidR="00196FD1" w:rsidRPr="00D27000" w:rsidSect="007879AA">
      <w:footerReference w:type="default" r:id="rId11"/>
      <w:type w:val="continuous"/>
      <w:pgSz w:w="11906" w:h="16838" w:code="9"/>
      <w:pgMar w:top="850" w:right="850" w:bottom="850" w:left="141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A340" w14:textId="77777777" w:rsidR="006E006B" w:rsidRDefault="006E006B" w:rsidP="00287CD2">
      <w:r>
        <w:separator/>
      </w:r>
    </w:p>
  </w:endnote>
  <w:endnote w:type="continuationSeparator" w:id="0">
    <w:p w14:paraId="7C2A323C" w14:textId="77777777" w:rsidR="006E006B" w:rsidRDefault="006E006B" w:rsidP="0028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LT">
    <w:altName w:val="Times New Roman"/>
    <w:panose1 w:val="020B0604020202020204"/>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74BE" w14:textId="3D51E9D3" w:rsidR="00287CD2" w:rsidRDefault="00287CD2">
    <w:pPr>
      <w:pStyle w:val="Footer"/>
      <w:rPr>
        <w:noProof/>
        <w:lang w:val="lt-LT"/>
      </w:rPr>
    </w:pPr>
  </w:p>
  <w:p w14:paraId="0AC52CEE" w14:textId="440D5EE0" w:rsidR="00C17CD9" w:rsidRPr="00C17CD9" w:rsidRDefault="009A24DA">
    <w:pPr>
      <w:pStyle w:val="Footer"/>
      <w:rPr>
        <w:lang w:val="lt-LT"/>
      </w:rPr>
    </w:pPr>
    <w:r>
      <w:rPr>
        <w:noProof/>
      </w:rPr>
      <w:drawing>
        <wp:inline distT="0" distB="0" distL="0" distR="0" wp14:anchorId="4FFD976F" wp14:editId="7A372BB3">
          <wp:extent cx="793945" cy="360045"/>
          <wp:effectExtent l="0" t="0" r="6350" b="0"/>
          <wp:docPr id="2067960448" name="Picture 206796044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448" name="Picture 2067960448"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394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CBB6" w14:textId="77777777" w:rsidR="006E006B" w:rsidRDefault="006E006B" w:rsidP="00287CD2">
      <w:r>
        <w:separator/>
      </w:r>
    </w:p>
  </w:footnote>
  <w:footnote w:type="continuationSeparator" w:id="0">
    <w:p w14:paraId="23AB3E56" w14:textId="77777777" w:rsidR="006E006B" w:rsidRDefault="006E006B" w:rsidP="00287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A6095C4"/>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0000001"/>
    <w:multiLevelType w:val="multilevel"/>
    <w:tmpl w:val="00000001"/>
    <w:name w:val="Outline"/>
    <w:lvl w:ilvl="0">
      <w:start w:val="1"/>
      <w:numFmt w:val="decimal"/>
      <w:pStyle w:val="Heading1"/>
      <w:lvlText w:val="%1."/>
      <w:lvlJc w:val="left"/>
      <w:pPr>
        <w:tabs>
          <w:tab w:val="num" w:pos="4820"/>
        </w:tabs>
        <w:ind w:left="4820" w:firstLine="0"/>
      </w:pPr>
    </w:lvl>
    <w:lvl w:ilvl="1">
      <w:start w:val="1"/>
      <w:numFmt w:val="decimal"/>
      <w:pStyle w:val="Heading2"/>
      <w:lvlText w:val="%1.%2."/>
      <w:lvlJc w:val="left"/>
      <w:pPr>
        <w:tabs>
          <w:tab w:val="num" w:pos="0"/>
        </w:tabs>
        <w:ind w:left="0" w:firstLine="0"/>
      </w:pPr>
      <w:rPr>
        <w:i w:val="0"/>
      </w:r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2" w15:restartNumberingAfterBreak="0">
    <w:nsid w:val="08C22C20"/>
    <w:multiLevelType w:val="multilevel"/>
    <w:tmpl w:val="9594D9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EF2F80"/>
    <w:multiLevelType w:val="multilevel"/>
    <w:tmpl w:val="08B4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97237"/>
    <w:multiLevelType w:val="hybridMultilevel"/>
    <w:tmpl w:val="E0C0A922"/>
    <w:lvl w:ilvl="0" w:tplc="F98C1908">
      <w:numFmt w:val="decimal"/>
      <w:lvlText w:val="4.1%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8F29BA"/>
    <w:multiLevelType w:val="multilevel"/>
    <w:tmpl w:val="21F0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874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D6799C"/>
    <w:multiLevelType w:val="multilevel"/>
    <w:tmpl w:val="200A924E"/>
    <w:lvl w:ilvl="0">
      <w:start w:val="1"/>
      <w:numFmt w:val="decimal"/>
      <w:pStyle w:val="Style1"/>
      <w:lvlText w:val="%1."/>
      <w:lvlJc w:val="left"/>
      <w:pPr>
        <w:ind w:left="360" w:hanging="360"/>
      </w:pPr>
      <w:rPr>
        <w:i w:val="0"/>
        <w:color w:val="auto"/>
        <w:sz w:val="24"/>
        <w:szCs w:val="22"/>
      </w:r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rPr>
        <w:sz w:val="24"/>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750F75"/>
    <w:multiLevelType w:val="multilevel"/>
    <w:tmpl w:val="4C48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61E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C448CA"/>
    <w:multiLevelType w:val="multilevel"/>
    <w:tmpl w:val="170C9290"/>
    <w:lvl w:ilvl="0">
      <w:start w:val="7"/>
      <w:numFmt w:val="decimal"/>
      <w:lvlText w:val="%1."/>
      <w:lvlJc w:val="left"/>
      <w:pPr>
        <w:ind w:left="928" w:hanging="360"/>
      </w:pPr>
      <w:rPr>
        <w:rFonts w:hint="default"/>
        <w:b/>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314D24F8"/>
    <w:multiLevelType w:val="multilevel"/>
    <w:tmpl w:val="02A8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11A5A"/>
    <w:multiLevelType w:val="hybridMultilevel"/>
    <w:tmpl w:val="56D23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9544EE"/>
    <w:multiLevelType w:val="hybridMultilevel"/>
    <w:tmpl w:val="5FDE634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4" w15:restartNumberingAfterBreak="0">
    <w:nsid w:val="42FE5355"/>
    <w:multiLevelType w:val="multilevel"/>
    <w:tmpl w:val="430A3F46"/>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267329"/>
    <w:multiLevelType w:val="multilevel"/>
    <w:tmpl w:val="02001A16"/>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3F57EA"/>
    <w:multiLevelType w:val="multilevel"/>
    <w:tmpl w:val="79B8024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9C2E05"/>
    <w:multiLevelType w:val="hybridMultilevel"/>
    <w:tmpl w:val="6A40B154"/>
    <w:lvl w:ilvl="0" w:tplc="6DA48A38">
      <w:numFmt w:val="bullet"/>
      <w:lvlText w:val=""/>
      <w:lvlJc w:val="left"/>
      <w:pPr>
        <w:ind w:left="1378" w:hanging="360"/>
      </w:pPr>
      <w:rPr>
        <w:rFonts w:ascii="Symbol" w:eastAsia="Symbol" w:hAnsi="Symbol" w:cs="Symbol" w:hint="default"/>
        <w:w w:val="100"/>
        <w:sz w:val="24"/>
        <w:szCs w:val="24"/>
        <w:lang w:val="lt-LT" w:eastAsia="en-US" w:bidi="ar-SA"/>
      </w:rPr>
    </w:lvl>
    <w:lvl w:ilvl="1" w:tplc="F76A3558">
      <w:numFmt w:val="bullet"/>
      <w:lvlText w:val="•"/>
      <w:lvlJc w:val="left"/>
      <w:pPr>
        <w:ind w:left="2226" w:hanging="360"/>
      </w:pPr>
      <w:rPr>
        <w:rFonts w:hint="default"/>
        <w:lang w:val="lt-LT" w:eastAsia="en-US" w:bidi="ar-SA"/>
      </w:rPr>
    </w:lvl>
    <w:lvl w:ilvl="2" w:tplc="CBA06928">
      <w:numFmt w:val="bullet"/>
      <w:lvlText w:val="•"/>
      <w:lvlJc w:val="left"/>
      <w:pPr>
        <w:ind w:left="3073" w:hanging="360"/>
      </w:pPr>
      <w:rPr>
        <w:rFonts w:hint="default"/>
        <w:lang w:val="lt-LT" w:eastAsia="en-US" w:bidi="ar-SA"/>
      </w:rPr>
    </w:lvl>
    <w:lvl w:ilvl="3" w:tplc="7B38B2CC">
      <w:numFmt w:val="bullet"/>
      <w:lvlText w:val="•"/>
      <w:lvlJc w:val="left"/>
      <w:pPr>
        <w:ind w:left="3919" w:hanging="360"/>
      </w:pPr>
      <w:rPr>
        <w:rFonts w:hint="default"/>
        <w:lang w:val="lt-LT" w:eastAsia="en-US" w:bidi="ar-SA"/>
      </w:rPr>
    </w:lvl>
    <w:lvl w:ilvl="4" w:tplc="E09AF382">
      <w:numFmt w:val="bullet"/>
      <w:lvlText w:val="•"/>
      <w:lvlJc w:val="left"/>
      <w:pPr>
        <w:ind w:left="4766" w:hanging="360"/>
      </w:pPr>
      <w:rPr>
        <w:rFonts w:hint="default"/>
        <w:lang w:val="lt-LT" w:eastAsia="en-US" w:bidi="ar-SA"/>
      </w:rPr>
    </w:lvl>
    <w:lvl w:ilvl="5" w:tplc="76A29D2A">
      <w:numFmt w:val="bullet"/>
      <w:lvlText w:val="•"/>
      <w:lvlJc w:val="left"/>
      <w:pPr>
        <w:ind w:left="5613" w:hanging="360"/>
      </w:pPr>
      <w:rPr>
        <w:rFonts w:hint="default"/>
        <w:lang w:val="lt-LT" w:eastAsia="en-US" w:bidi="ar-SA"/>
      </w:rPr>
    </w:lvl>
    <w:lvl w:ilvl="6" w:tplc="FA286968">
      <w:numFmt w:val="bullet"/>
      <w:lvlText w:val="•"/>
      <w:lvlJc w:val="left"/>
      <w:pPr>
        <w:ind w:left="6459" w:hanging="360"/>
      </w:pPr>
      <w:rPr>
        <w:rFonts w:hint="default"/>
        <w:lang w:val="lt-LT" w:eastAsia="en-US" w:bidi="ar-SA"/>
      </w:rPr>
    </w:lvl>
    <w:lvl w:ilvl="7" w:tplc="3F5AD62A">
      <w:numFmt w:val="bullet"/>
      <w:lvlText w:val="•"/>
      <w:lvlJc w:val="left"/>
      <w:pPr>
        <w:ind w:left="7306" w:hanging="360"/>
      </w:pPr>
      <w:rPr>
        <w:rFonts w:hint="default"/>
        <w:lang w:val="lt-LT" w:eastAsia="en-US" w:bidi="ar-SA"/>
      </w:rPr>
    </w:lvl>
    <w:lvl w:ilvl="8" w:tplc="B3CC3A14">
      <w:numFmt w:val="bullet"/>
      <w:lvlText w:val="•"/>
      <w:lvlJc w:val="left"/>
      <w:pPr>
        <w:ind w:left="8153" w:hanging="360"/>
      </w:pPr>
      <w:rPr>
        <w:rFonts w:hint="default"/>
        <w:lang w:val="lt-LT" w:eastAsia="en-US" w:bidi="ar-SA"/>
      </w:rPr>
    </w:lvl>
  </w:abstractNum>
  <w:abstractNum w:abstractNumId="18" w15:restartNumberingAfterBreak="0">
    <w:nsid w:val="4A9E661F"/>
    <w:multiLevelType w:val="hybridMultilevel"/>
    <w:tmpl w:val="02D64F40"/>
    <w:lvl w:ilvl="0" w:tplc="E410B96A">
      <w:numFmt w:val="bullet"/>
      <w:lvlText w:val="-"/>
      <w:lvlJc w:val="left"/>
      <w:pPr>
        <w:ind w:left="1313" w:hanging="360"/>
      </w:pPr>
      <w:rPr>
        <w:rFonts w:ascii="Times New Roman" w:eastAsia="Times New Roman" w:hAnsi="Times New Roman" w:cs="Times New Roman" w:hint="default"/>
        <w:w w:val="99"/>
        <w:sz w:val="24"/>
        <w:szCs w:val="24"/>
        <w:lang w:val="lt-LT" w:eastAsia="en-US" w:bidi="ar-SA"/>
      </w:rPr>
    </w:lvl>
    <w:lvl w:ilvl="1" w:tplc="C0C288CE">
      <w:numFmt w:val="bullet"/>
      <w:lvlText w:val="•"/>
      <w:lvlJc w:val="left"/>
      <w:pPr>
        <w:ind w:left="2172" w:hanging="360"/>
      </w:pPr>
      <w:rPr>
        <w:rFonts w:hint="default"/>
        <w:lang w:val="lt-LT" w:eastAsia="en-US" w:bidi="ar-SA"/>
      </w:rPr>
    </w:lvl>
    <w:lvl w:ilvl="2" w:tplc="B906CDF0">
      <w:numFmt w:val="bullet"/>
      <w:lvlText w:val="•"/>
      <w:lvlJc w:val="left"/>
      <w:pPr>
        <w:ind w:left="3025" w:hanging="360"/>
      </w:pPr>
      <w:rPr>
        <w:rFonts w:hint="default"/>
        <w:lang w:val="lt-LT" w:eastAsia="en-US" w:bidi="ar-SA"/>
      </w:rPr>
    </w:lvl>
    <w:lvl w:ilvl="3" w:tplc="13E24B14">
      <w:numFmt w:val="bullet"/>
      <w:lvlText w:val="•"/>
      <w:lvlJc w:val="left"/>
      <w:pPr>
        <w:ind w:left="3877" w:hanging="360"/>
      </w:pPr>
      <w:rPr>
        <w:rFonts w:hint="default"/>
        <w:lang w:val="lt-LT" w:eastAsia="en-US" w:bidi="ar-SA"/>
      </w:rPr>
    </w:lvl>
    <w:lvl w:ilvl="4" w:tplc="9ED830BE">
      <w:numFmt w:val="bullet"/>
      <w:lvlText w:val="•"/>
      <w:lvlJc w:val="left"/>
      <w:pPr>
        <w:ind w:left="4730" w:hanging="360"/>
      </w:pPr>
      <w:rPr>
        <w:rFonts w:hint="default"/>
        <w:lang w:val="lt-LT" w:eastAsia="en-US" w:bidi="ar-SA"/>
      </w:rPr>
    </w:lvl>
    <w:lvl w:ilvl="5" w:tplc="64C0B8F2">
      <w:numFmt w:val="bullet"/>
      <w:lvlText w:val="•"/>
      <w:lvlJc w:val="left"/>
      <w:pPr>
        <w:ind w:left="5583" w:hanging="360"/>
      </w:pPr>
      <w:rPr>
        <w:rFonts w:hint="default"/>
        <w:lang w:val="lt-LT" w:eastAsia="en-US" w:bidi="ar-SA"/>
      </w:rPr>
    </w:lvl>
    <w:lvl w:ilvl="6" w:tplc="D2C465C0">
      <w:numFmt w:val="bullet"/>
      <w:lvlText w:val="•"/>
      <w:lvlJc w:val="left"/>
      <w:pPr>
        <w:ind w:left="6435" w:hanging="360"/>
      </w:pPr>
      <w:rPr>
        <w:rFonts w:hint="default"/>
        <w:lang w:val="lt-LT" w:eastAsia="en-US" w:bidi="ar-SA"/>
      </w:rPr>
    </w:lvl>
    <w:lvl w:ilvl="7" w:tplc="CE448FDE">
      <w:numFmt w:val="bullet"/>
      <w:lvlText w:val="•"/>
      <w:lvlJc w:val="left"/>
      <w:pPr>
        <w:ind w:left="7288" w:hanging="360"/>
      </w:pPr>
      <w:rPr>
        <w:rFonts w:hint="default"/>
        <w:lang w:val="lt-LT" w:eastAsia="en-US" w:bidi="ar-SA"/>
      </w:rPr>
    </w:lvl>
    <w:lvl w:ilvl="8" w:tplc="A08E0264">
      <w:numFmt w:val="bullet"/>
      <w:lvlText w:val="•"/>
      <w:lvlJc w:val="left"/>
      <w:pPr>
        <w:ind w:left="8141" w:hanging="360"/>
      </w:pPr>
      <w:rPr>
        <w:rFonts w:hint="default"/>
        <w:lang w:val="lt-LT" w:eastAsia="en-US" w:bidi="ar-SA"/>
      </w:rPr>
    </w:lvl>
  </w:abstractNum>
  <w:abstractNum w:abstractNumId="19" w15:restartNumberingAfterBreak="0">
    <w:nsid w:val="4B1810FB"/>
    <w:multiLevelType w:val="multilevel"/>
    <w:tmpl w:val="27CA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D51CC6"/>
    <w:multiLevelType w:val="multilevel"/>
    <w:tmpl w:val="D1AE7810"/>
    <w:lvl w:ilvl="0">
      <w:start w:val="4"/>
      <w:numFmt w:val="decimal"/>
      <w:lvlText w:val="%1."/>
      <w:lvlJc w:val="left"/>
      <w:pPr>
        <w:ind w:left="540" w:hanging="540"/>
      </w:pPr>
      <w:rPr>
        <w:rFonts w:hint="default"/>
      </w:rPr>
    </w:lvl>
    <w:lvl w:ilvl="1">
      <w:start w:val="2"/>
      <w:numFmt w:val="decimal"/>
      <w:lvlText w:val="%1.%2."/>
      <w:lvlJc w:val="left"/>
      <w:pPr>
        <w:ind w:left="1675" w:hanging="540"/>
      </w:pPr>
      <w:rPr>
        <w:rFonts w:hint="default"/>
        <w:b w:val="0"/>
        <w:bCs w:val="0"/>
      </w:rPr>
    </w:lvl>
    <w:lvl w:ilvl="2">
      <w:start w:val="1"/>
      <w:numFmt w:val="decimal"/>
      <w:lvlText w:val="%1.%2.%3."/>
      <w:lvlJc w:val="left"/>
      <w:pPr>
        <w:ind w:left="1713"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542A73"/>
    <w:multiLevelType w:val="multilevel"/>
    <w:tmpl w:val="4B82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C2B90"/>
    <w:multiLevelType w:val="hybridMultilevel"/>
    <w:tmpl w:val="2424D9DA"/>
    <w:lvl w:ilvl="0" w:tplc="2588533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5339D0"/>
    <w:multiLevelType w:val="multilevel"/>
    <w:tmpl w:val="83363DF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69309FE"/>
    <w:multiLevelType w:val="multilevel"/>
    <w:tmpl w:val="1302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B92889"/>
    <w:multiLevelType w:val="multilevel"/>
    <w:tmpl w:val="A1E4347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FC0331"/>
    <w:multiLevelType w:val="multilevel"/>
    <w:tmpl w:val="AC0A92E6"/>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F74A13"/>
    <w:multiLevelType w:val="multilevel"/>
    <w:tmpl w:val="21DC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207840"/>
    <w:multiLevelType w:val="multilevel"/>
    <w:tmpl w:val="EBBE997E"/>
    <w:lvl w:ilvl="0">
      <w:start w:val="4"/>
      <w:numFmt w:val="decimal"/>
      <w:lvlText w:val="%1."/>
      <w:lvlJc w:val="left"/>
      <w:pPr>
        <w:ind w:left="720" w:hanging="720"/>
      </w:pPr>
      <w:rPr>
        <w:rFonts w:hint="default"/>
        <w:u w:val="single"/>
      </w:rPr>
    </w:lvl>
    <w:lvl w:ilvl="1">
      <w:start w:val="4"/>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4"/>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0"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1" w15:restartNumberingAfterBreak="0">
    <w:nsid w:val="6EEC1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C9103F"/>
    <w:multiLevelType w:val="multilevel"/>
    <w:tmpl w:val="B8562B6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7C812C1F"/>
    <w:multiLevelType w:val="multilevel"/>
    <w:tmpl w:val="73FAD212"/>
    <w:lvl w:ilvl="0">
      <w:start w:val="4"/>
      <w:numFmt w:val="decimal"/>
      <w:lvlText w:val="%1."/>
      <w:lvlJc w:val="left"/>
      <w:pPr>
        <w:ind w:left="540" w:hanging="540"/>
      </w:pPr>
      <w:rPr>
        <w:rFonts w:hint="default"/>
      </w:rPr>
    </w:lvl>
    <w:lvl w:ilvl="1">
      <w:start w:val="1"/>
      <w:numFmt w:val="decimal"/>
      <w:lvlText w:val="%1.%2."/>
      <w:lvlJc w:val="left"/>
      <w:pPr>
        <w:ind w:left="1533" w:hanging="540"/>
      </w:pPr>
      <w:rPr>
        <w:rFonts w:hint="default"/>
        <w:color w:val="auto"/>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24674904">
    <w:abstractNumId w:val="32"/>
  </w:num>
  <w:num w:numId="2" w16cid:durableId="527721739">
    <w:abstractNumId w:val="18"/>
  </w:num>
  <w:num w:numId="3" w16cid:durableId="707220443">
    <w:abstractNumId w:val="17"/>
  </w:num>
  <w:num w:numId="4" w16cid:durableId="1061755729">
    <w:abstractNumId w:val="13"/>
  </w:num>
  <w:num w:numId="5" w16cid:durableId="464858649">
    <w:abstractNumId w:val="10"/>
  </w:num>
  <w:num w:numId="6" w16cid:durableId="35280234">
    <w:abstractNumId w:val="16"/>
  </w:num>
  <w:num w:numId="7" w16cid:durableId="1614743761">
    <w:abstractNumId w:val="34"/>
  </w:num>
  <w:num w:numId="8" w16cid:durableId="1995183567">
    <w:abstractNumId w:val="2"/>
  </w:num>
  <w:num w:numId="9" w16cid:durableId="1916357046">
    <w:abstractNumId w:val="7"/>
  </w:num>
  <w:num w:numId="10" w16cid:durableId="1024743722">
    <w:abstractNumId w:val="6"/>
  </w:num>
  <w:num w:numId="11" w16cid:durableId="1079715167">
    <w:abstractNumId w:val="4"/>
  </w:num>
  <w:num w:numId="12" w16cid:durableId="1985356536">
    <w:abstractNumId w:val="31"/>
  </w:num>
  <w:num w:numId="13" w16cid:durableId="1522164381">
    <w:abstractNumId w:val="1"/>
  </w:num>
  <w:num w:numId="14" w16cid:durableId="1540892296">
    <w:abstractNumId w:val="20"/>
  </w:num>
  <w:num w:numId="15" w16cid:durableId="1725790899">
    <w:abstractNumId w:val="30"/>
  </w:num>
  <w:num w:numId="16" w16cid:durableId="677736577">
    <w:abstractNumId w:val="35"/>
  </w:num>
  <w:num w:numId="17" w16cid:durableId="1848863784">
    <w:abstractNumId w:val="36"/>
  </w:num>
  <w:num w:numId="18" w16cid:durableId="1148278319">
    <w:abstractNumId w:val="21"/>
  </w:num>
  <w:num w:numId="19" w16cid:durableId="1683042770">
    <w:abstractNumId w:val="14"/>
  </w:num>
  <w:num w:numId="20" w16cid:durableId="1327053573">
    <w:abstractNumId w:val="33"/>
  </w:num>
  <w:num w:numId="21" w16cid:durableId="1291785969">
    <w:abstractNumId w:val="26"/>
  </w:num>
  <w:num w:numId="22" w16cid:durableId="2033991935">
    <w:abstractNumId w:val="0"/>
  </w:num>
  <w:num w:numId="23" w16cid:durableId="1927112803">
    <w:abstractNumId w:val="23"/>
  </w:num>
  <w:num w:numId="24" w16cid:durableId="1547906430">
    <w:abstractNumId w:val="28"/>
  </w:num>
  <w:num w:numId="25" w16cid:durableId="351029900">
    <w:abstractNumId w:val="5"/>
  </w:num>
  <w:num w:numId="26" w16cid:durableId="954403001">
    <w:abstractNumId w:val="19"/>
  </w:num>
  <w:num w:numId="27" w16cid:durableId="558395659">
    <w:abstractNumId w:val="3"/>
  </w:num>
  <w:num w:numId="28" w16cid:durableId="927738026">
    <w:abstractNumId w:val="12"/>
  </w:num>
  <w:num w:numId="29" w16cid:durableId="1396706422">
    <w:abstractNumId w:val="22"/>
  </w:num>
  <w:num w:numId="30" w16cid:durableId="1264456195">
    <w:abstractNumId w:val="8"/>
  </w:num>
  <w:num w:numId="31" w16cid:durableId="2138644308">
    <w:abstractNumId w:val="11"/>
  </w:num>
  <w:num w:numId="32" w16cid:durableId="2086099909">
    <w:abstractNumId w:val="25"/>
  </w:num>
  <w:num w:numId="33" w16cid:durableId="1665890599">
    <w:abstractNumId w:val="29"/>
  </w:num>
  <w:num w:numId="34" w16cid:durableId="437989810">
    <w:abstractNumId w:val="15"/>
  </w:num>
  <w:num w:numId="35" w16cid:durableId="1562710869">
    <w:abstractNumId w:val="27"/>
  </w:num>
  <w:num w:numId="36" w16cid:durableId="2112817157">
    <w:abstractNumId w:val="9"/>
  </w:num>
  <w:num w:numId="37" w16cid:durableId="21291546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016C3"/>
    <w:rsid w:val="00007F84"/>
    <w:rsid w:val="0003192A"/>
    <w:rsid w:val="00037D43"/>
    <w:rsid w:val="000409F9"/>
    <w:rsid w:val="000419FA"/>
    <w:rsid w:val="000472FB"/>
    <w:rsid w:val="00060558"/>
    <w:rsid w:val="00063CB7"/>
    <w:rsid w:val="00066379"/>
    <w:rsid w:val="00076CFE"/>
    <w:rsid w:val="00082104"/>
    <w:rsid w:val="0008632B"/>
    <w:rsid w:val="000C2FE3"/>
    <w:rsid w:val="000D1CB4"/>
    <w:rsid w:val="000D23BD"/>
    <w:rsid w:val="000E467E"/>
    <w:rsid w:val="000E6E2A"/>
    <w:rsid w:val="000F642D"/>
    <w:rsid w:val="00145452"/>
    <w:rsid w:val="00151765"/>
    <w:rsid w:val="00196FD1"/>
    <w:rsid w:val="001B1DAC"/>
    <w:rsid w:val="001C37C4"/>
    <w:rsid w:val="001E3EE2"/>
    <w:rsid w:val="001E48B8"/>
    <w:rsid w:val="00277B59"/>
    <w:rsid w:val="0028104F"/>
    <w:rsid w:val="0028252A"/>
    <w:rsid w:val="00287CD2"/>
    <w:rsid w:val="00304885"/>
    <w:rsid w:val="003165C7"/>
    <w:rsid w:val="003203AD"/>
    <w:rsid w:val="00331946"/>
    <w:rsid w:val="003348BD"/>
    <w:rsid w:val="003669DE"/>
    <w:rsid w:val="0037539F"/>
    <w:rsid w:val="00387122"/>
    <w:rsid w:val="003872A7"/>
    <w:rsid w:val="00390259"/>
    <w:rsid w:val="003952BA"/>
    <w:rsid w:val="003A64C8"/>
    <w:rsid w:val="003F3FB8"/>
    <w:rsid w:val="00410AF4"/>
    <w:rsid w:val="00423236"/>
    <w:rsid w:val="00461E9A"/>
    <w:rsid w:val="00487AD4"/>
    <w:rsid w:val="004A438C"/>
    <w:rsid w:val="004C0D21"/>
    <w:rsid w:val="004C443D"/>
    <w:rsid w:val="004C485A"/>
    <w:rsid w:val="004C57D2"/>
    <w:rsid w:val="004D0E1E"/>
    <w:rsid w:val="004E5C90"/>
    <w:rsid w:val="004F0885"/>
    <w:rsid w:val="00544DDE"/>
    <w:rsid w:val="00553BD7"/>
    <w:rsid w:val="00557FDF"/>
    <w:rsid w:val="00560A39"/>
    <w:rsid w:val="00583894"/>
    <w:rsid w:val="00595E7B"/>
    <w:rsid w:val="005A42D5"/>
    <w:rsid w:val="005C5851"/>
    <w:rsid w:val="005E0930"/>
    <w:rsid w:val="00610D1B"/>
    <w:rsid w:val="00623C6B"/>
    <w:rsid w:val="00677682"/>
    <w:rsid w:val="006876F7"/>
    <w:rsid w:val="00693B07"/>
    <w:rsid w:val="006D5001"/>
    <w:rsid w:val="006D58DE"/>
    <w:rsid w:val="006E006B"/>
    <w:rsid w:val="006E1881"/>
    <w:rsid w:val="006F5125"/>
    <w:rsid w:val="00710146"/>
    <w:rsid w:val="00752C2A"/>
    <w:rsid w:val="007879AA"/>
    <w:rsid w:val="0079194E"/>
    <w:rsid w:val="00794117"/>
    <w:rsid w:val="00794EC2"/>
    <w:rsid w:val="007A6381"/>
    <w:rsid w:val="007B4658"/>
    <w:rsid w:val="007D1134"/>
    <w:rsid w:val="007D259A"/>
    <w:rsid w:val="007D706A"/>
    <w:rsid w:val="007F1482"/>
    <w:rsid w:val="007F1F5A"/>
    <w:rsid w:val="007F2718"/>
    <w:rsid w:val="00813529"/>
    <w:rsid w:val="0082186D"/>
    <w:rsid w:val="008424E9"/>
    <w:rsid w:val="0084796A"/>
    <w:rsid w:val="00864EDD"/>
    <w:rsid w:val="008D0156"/>
    <w:rsid w:val="008F6B2C"/>
    <w:rsid w:val="008F790B"/>
    <w:rsid w:val="00914EF7"/>
    <w:rsid w:val="00917F95"/>
    <w:rsid w:val="00922036"/>
    <w:rsid w:val="0092480E"/>
    <w:rsid w:val="00925D3A"/>
    <w:rsid w:val="00951955"/>
    <w:rsid w:val="0095567C"/>
    <w:rsid w:val="009629C2"/>
    <w:rsid w:val="009641FD"/>
    <w:rsid w:val="0096586E"/>
    <w:rsid w:val="00967B29"/>
    <w:rsid w:val="009721BA"/>
    <w:rsid w:val="00990C18"/>
    <w:rsid w:val="00997841"/>
    <w:rsid w:val="009A24DA"/>
    <w:rsid w:val="009B43E1"/>
    <w:rsid w:val="009D4036"/>
    <w:rsid w:val="009F0503"/>
    <w:rsid w:val="009F4381"/>
    <w:rsid w:val="00A02956"/>
    <w:rsid w:val="00A14A1F"/>
    <w:rsid w:val="00A2127C"/>
    <w:rsid w:val="00A5144C"/>
    <w:rsid w:val="00A93D3F"/>
    <w:rsid w:val="00AA4962"/>
    <w:rsid w:val="00AB2AC1"/>
    <w:rsid w:val="00AE2139"/>
    <w:rsid w:val="00AE5C98"/>
    <w:rsid w:val="00B52259"/>
    <w:rsid w:val="00B53389"/>
    <w:rsid w:val="00B61E43"/>
    <w:rsid w:val="00B73488"/>
    <w:rsid w:val="00BD7E62"/>
    <w:rsid w:val="00C028B1"/>
    <w:rsid w:val="00C03236"/>
    <w:rsid w:val="00C05D50"/>
    <w:rsid w:val="00C160C7"/>
    <w:rsid w:val="00C17CD9"/>
    <w:rsid w:val="00C2051C"/>
    <w:rsid w:val="00C22C2B"/>
    <w:rsid w:val="00C524F3"/>
    <w:rsid w:val="00C55E8D"/>
    <w:rsid w:val="00C61B60"/>
    <w:rsid w:val="00C74386"/>
    <w:rsid w:val="00CA5083"/>
    <w:rsid w:val="00CC1EED"/>
    <w:rsid w:val="00CD3121"/>
    <w:rsid w:val="00CF20CD"/>
    <w:rsid w:val="00CF24B5"/>
    <w:rsid w:val="00D27000"/>
    <w:rsid w:val="00D37B39"/>
    <w:rsid w:val="00D447B5"/>
    <w:rsid w:val="00D44F69"/>
    <w:rsid w:val="00D67E58"/>
    <w:rsid w:val="00D907F9"/>
    <w:rsid w:val="00DA1C37"/>
    <w:rsid w:val="00DB2CDE"/>
    <w:rsid w:val="00DC09D2"/>
    <w:rsid w:val="00DD65B4"/>
    <w:rsid w:val="00DE62D6"/>
    <w:rsid w:val="00E03AAB"/>
    <w:rsid w:val="00E11198"/>
    <w:rsid w:val="00E177A1"/>
    <w:rsid w:val="00E2077B"/>
    <w:rsid w:val="00E3514A"/>
    <w:rsid w:val="00E5282A"/>
    <w:rsid w:val="00E73788"/>
    <w:rsid w:val="00E85949"/>
    <w:rsid w:val="00EC58FB"/>
    <w:rsid w:val="00EF1362"/>
    <w:rsid w:val="00F20B33"/>
    <w:rsid w:val="00F30BC6"/>
    <w:rsid w:val="00F40A86"/>
    <w:rsid w:val="00F7197A"/>
    <w:rsid w:val="00F81232"/>
    <w:rsid w:val="00F93F3A"/>
    <w:rsid w:val="00F965F0"/>
    <w:rsid w:val="00FE1C07"/>
    <w:rsid w:val="00FE3F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paragraph" w:styleId="Heading1">
    <w:name w:val="heading 1"/>
    <w:basedOn w:val="Normal"/>
    <w:next w:val="Normal"/>
    <w:link w:val="Heading1Char"/>
    <w:qFormat/>
    <w:rsid w:val="00C028B1"/>
    <w:pPr>
      <w:keepNext/>
      <w:numPr>
        <w:numId w:val="13"/>
      </w:numPr>
      <w:tabs>
        <w:tab w:val="clear" w:pos="4820"/>
      </w:tabs>
      <w:suppressAutoHyphens/>
      <w:spacing w:before="360" w:after="360"/>
      <w:ind w:left="0"/>
      <w:jc w:val="center"/>
      <w:outlineLvl w:val="0"/>
    </w:pPr>
    <w:rPr>
      <w:rFonts w:ascii="Times New Roman" w:hAnsi="Times New Roman"/>
      <w:lang w:val="lt-LT" w:eastAsia="ar-SA"/>
    </w:rPr>
  </w:style>
  <w:style w:type="paragraph" w:styleId="Heading2">
    <w:name w:val="heading 2"/>
    <w:basedOn w:val="Normal"/>
    <w:next w:val="Normal"/>
    <w:link w:val="Heading2Char"/>
    <w:qFormat/>
    <w:rsid w:val="00C028B1"/>
    <w:pPr>
      <w:numPr>
        <w:ilvl w:val="1"/>
        <w:numId w:val="13"/>
      </w:numPr>
      <w:tabs>
        <w:tab w:val="clear" w:pos="0"/>
      </w:tabs>
      <w:suppressAutoHyphens/>
      <w:jc w:val="both"/>
      <w:outlineLvl w:val="1"/>
    </w:pPr>
    <w:rPr>
      <w:rFonts w:ascii="Times New Roman" w:hAnsi="Times New Roman"/>
      <w:sz w:val="24"/>
      <w:lang w:val="lt-LT" w:eastAsia="ar-SA"/>
    </w:rPr>
  </w:style>
  <w:style w:type="paragraph" w:styleId="Heading3">
    <w:name w:val="heading 3"/>
    <w:basedOn w:val="Normal"/>
    <w:next w:val="Normal"/>
    <w:link w:val="Heading3Char"/>
    <w:qFormat/>
    <w:rsid w:val="00C028B1"/>
    <w:pPr>
      <w:keepNext/>
      <w:numPr>
        <w:ilvl w:val="2"/>
        <w:numId w:val="13"/>
      </w:numPr>
      <w:tabs>
        <w:tab w:val="clear" w:pos="0"/>
      </w:tabs>
      <w:suppressAutoHyphens/>
      <w:jc w:val="both"/>
      <w:outlineLvl w:val="2"/>
    </w:pPr>
    <w:rPr>
      <w:rFonts w:ascii="Times New Roman" w:hAnsi="Times New Roman"/>
      <w:sz w:val="24"/>
      <w:lang w:val="lt-LT" w:eastAsia="ar-SA"/>
    </w:rPr>
  </w:style>
  <w:style w:type="paragraph" w:styleId="Heading4">
    <w:name w:val="heading 4"/>
    <w:basedOn w:val="Normal"/>
    <w:next w:val="Normal"/>
    <w:link w:val="Heading4Char"/>
    <w:qFormat/>
    <w:rsid w:val="00C028B1"/>
    <w:pPr>
      <w:keepNext/>
      <w:numPr>
        <w:ilvl w:val="3"/>
        <w:numId w:val="13"/>
      </w:numPr>
      <w:tabs>
        <w:tab w:val="clear" w:pos="0"/>
      </w:tabs>
      <w:suppressAutoHyphens/>
      <w:outlineLvl w:val="3"/>
    </w:pPr>
    <w:rPr>
      <w:rFonts w:ascii="Times New Roman" w:hAnsi="Times New Roman"/>
      <w:b/>
      <w:sz w:val="44"/>
      <w:lang w:val="lt-LT" w:eastAsia="ar-SA"/>
    </w:rPr>
  </w:style>
  <w:style w:type="paragraph" w:styleId="Heading5">
    <w:name w:val="heading 5"/>
    <w:basedOn w:val="Normal"/>
    <w:next w:val="Normal"/>
    <w:link w:val="Heading5Char"/>
    <w:qFormat/>
    <w:rsid w:val="00C028B1"/>
    <w:pPr>
      <w:keepNext/>
      <w:numPr>
        <w:ilvl w:val="4"/>
        <w:numId w:val="13"/>
      </w:numPr>
      <w:tabs>
        <w:tab w:val="clear" w:pos="0"/>
      </w:tabs>
      <w:suppressAutoHyphens/>
      <w:outlineLvl w:val="4"/>
    </w:pPr>
    <w:rPr>
      <w:rFonts w:ascii="Times New Roman" w:hAnsi="Times New Roman"/>
      <w:b/>
      <w:sz w:val="40"/>
      <w:lang w:val="lt-LT" w:eastAsia="ar-SA"/>
    </w:rPr>
  </w:style>
  <w:style w:type="paragraph" w:styleId="Heading6">
    <w:name w:val="heading 6"/>
    <w:basedOn w:val="Normal"/>
    <w:next w:val="Normal"/>
    <w:link w:val="Heading6Char"/>
    <w:qFormat/>
    <w:rsid w:val="00C028B1"/>
    <w:pPr>
      <w:keepNext/>
      <w:numPr>
        <w:ilvl w:val="5"/>
        <w:numId w:val="13"/>
      </w:numPr>
      <w:tabs>
        <w:tab w:val="clear" w:pos="0"/>
      </w:tabs>
      <w:suppressAutoHyphens/>
      <w:outlineLvl w:val="5"/>
    </w:pPr>
    <w:rPr>
      <w:rFonts w:ascii="Times New Roman" w:hAnsi="Times New Roman"/>
      <w:b/>
      <w:sz w:val="36"/>
      <w:lang w:val="lt-LT" w:eastAsia="ar-SA"/>
    </w:rPr>
  </w:style>
  <w:style w:type="paragraph" w:styleId="Heading7">
    <w:name w:val="heading 7"/>
    <w:basedOn w:val="Normal"/>
    <w:next w:val="Normal"/>
    <w:link w:val="Heading7Char"/>
    <w:qFormat/>
    <w:rsid w:val="00C028B1"/>
    <w:pPr>
      <w:keepNext/>
      <w:numPr>
        <w:ilvl w:val="6"/>
        <w:numId w:val="13"/>
      </w:numPr>
      <w:tabs>
        <w:tab w:val="clear" w:pos="0"/>
      </w:tabs>
      <w:suppressAutoHyphens/>
      <w:outlineLvl w:val="6"/>
    </w:pPr>
    <w:rPr>
      <w:rFonts w:ascii="Times New Roman" w:hAnsi="Times New Roman"/>
      <w:sz w:val="48"/>
      <w:lang w:val="lt-LT" w:eastAsia="ar-SA"/>
    </w:rPr>
  </w:style>
  <w:style w:type="paragraph" w:styleId="Heading8">
    <w:name w:val="heading 8"/>
    <w:basedOn w:val="Normal"/>
    <w:next w:val="Normal"/>
    <w:link w:val="Heading8Char"/>
    <w:qFormat/>
    <w:rsid w:val="00C028B1"/>
    <w:pPr>
      <w:keepNext/>
      <w:numPr>
        <w:ilvl w:val="7"/>
        <w:numId w:val="13"/>
      </w:numPr>
      <w:tabs>
        <w:tab w:val="clear" w:pos="0"/>
      </w:tabs>
      <w:suppressAutoHyphens/>
      <w:outlineLvl w:val="7"/>
    </w:pPr>
    <w:rPr>
      <w:rFonts w:ascii="Times New Roman" w:hAnsi="Times New Roman"/>
      <w:b/>
      <w:sz w:val="18"/>
      <w:lang w:val="lt-LT" w:eastAsia="ar-SA"/>
    </w:rPr>
  </w:style>
  <w:style w:type="paragraph" w:styleId="Heading9">
    <w:name w:val="heading 9"/>
    <w:basedOn w:val="Normal"/>
    <w:next w:val="Normal"/>
    <w:link w:val="Heading9Char"/>
    <w:qFormat/>
    <w:rsid w:val="00C028B1"/>
    <w:pPr>
      <w:keepNext/>
      <w:numPr>
        <w:ilvl w:val="8"/>
        <w:numId w:val="13"/>
      </w:numPr>
      <w:tabs>
        <w:tab w:val="clear" w:pos="0"/>
      </w:tabs>
      <w:suppressAutoHyphens/>
      <w:outlineLvl w:val="8"/>
    </w:pPr>
    <w:rPr>
      <w:rFonts w:ascii="Times New Roman" w:hAnsi="Times New Roman"/>
      <w:sz w:val="4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rsid w:val="007F1482"/>
    <w:pPr>
      <w:tabs>
        <w:tab w:val="center" w:pos="4320"/>
        <w:tab w:val="right" w:pos="8640"/>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7F1482"/>
    <w:rPr>
      <w:rFonts w:ascii="TimesLT" w:eastAsia="Times New Roman" w:hAnsi="TimesLT" w:cs="Times New Roman"/>
      <w:kern w:val="0"/>
      <w:sz w:val="28"/>
      <w:szCs w:val="20"/>
      <w:lang w:val="en-US"/>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qFormat/>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yperlink">
    <w:name w:val="Hyperlink"/>
    <w:aliases w:val="Alna"/>
    <w:basedOn w:val="DefaultParagraphFont"/>
    <w:uiPriority w:val="99"/>
    <w:unhideWhenUsed/>
    <w:rsid w:val="00A14A1F"/>
    <w:rPr>
      <w:color w:val="0563C1" w:themeColor="hyperlink"/>
      <w:u w:val="single"/>
    </w:rPr>
  </w:style>
  <w:style w:type="character" w:styleId="UnresolvedMention">
    <w:name w:val="Unresolved Mention"/>
    <w:basedOn w:val="DefaultParagraphFont"/>
    <w:uiPriority w:val="99"/>
    <w:semiHidden/>
    <w:unhideWhenUsed/>
    <w:rsid w:val="00A14A1F"/>
    <w:rPr>
      <w:color w:val="605E5C"/>
      <w:shd w:val="clear" w:color="auto" w:fill="E1DFDD"/>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287CD2"/>
    <w:pPr>
      <w:tabs>
        <w:tab w:val="center" w:pos="4819"/>
        <w:tab w:val="right" w:pos="9638"/>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287CD2"/>
    <w:rPr>
      <w:rFonts w:ascii="TimesLT" w:eastAsia="Times New Roman" w:hAnsi="TimesLT" w:cs="Times New Roman"/>
      <w:kern w:val="0"/>
      <w:sz w:val="28"/>
      <w:szCs w:val="20"/>
      <w:lang w:val="en-US"/>
      <w14:ligatures w14:val="none"/>
    </w:rPr>
  </w:style>
  <w:style w:type="table" w:styleId="TableGrid">
    <w:name w:val="Table Grid"/>
    <w:basedOn w:val="TableNormal"/>
    <w:uiPriority w:val="39"/>
    <w:rsid w:val="00076CF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7F84"/>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FootnoteText">
    <w:name w:val="footnote text"/>
    <w:aliases w:val=" Diagrama1,Diagrama1"/>
    <w:basedOn w:val="Normal"/>
    <w:link w:val="FootnoteTextChar"/>
    <w:uiPriority w:val="99"/>
    <w:unhideWhenUsed/>
    <w:rsid w:val="00C17CD9"/>
    <w:rPr>
      <w:rFonts w:asciiTheme="minorHAnsi" w:eastAsiaTheme="minorHAnsi" w:hAnsiTheme="minorHAnsi" w:cstheme="minorBidi"/>
      <w:sz w:val="20"/>
      <w:lang w:val="lt-LT"/>
    </w:rPr>
  </w:style>
  <w:style w:type="character" w:customStyle="1" w:styleId="FootnoteTextChar">
    <w:name w:val="Footnote Text Char"/>
    <w:aliases w:val=" Diagrama1 Char,Diagrama1 Char"/>
    <w:basedOn w:val="DefaultParagraphFont"/>
    <w:link w:val="FootnoteText"/>
    <w:uiPriority w:val="99"/>
    <w:rsid w:val="00C17CD9"/>
    <w:rPr>
      <w:kern w:val="0"/>
      <w:sz w:val="20"/>
      <w:szCs w:val="20"/>
      <w14:ligatures w14:val="none"/>
    </w:rPr>
  </w:style>
  <w:style w:type="character" w:styleId="FootnoteReference">
    <w:name w:val="footnote reference"/>
    <w:basedOn w:val="DefaultParagraphFont"/>
    <w:semiHidden/>
    <w:unhideWhenUsed/>
    <w:rsid w:val="00C17CD9"/>
    <w:rPr>
      <w:vertAlign w:val="superscript"/>
    </w:rPr>
  </w:style>
  <w:style w:type="table" w:customStyle="1" w:styleId="TableGrid0">
    <w:name w:val="TableGrid"/>
    <w:rsid w:val="000409F9"/>
    <w:pPr>
      <w:spacing w:after="0" w:line="240" w:lineRule="auto"/>
    </w:pPr>
    <w:rPr>
      <w:rFonts w:ascii="Aptos" w:eastAsia="Times New Roman" w:hAnsi="Aptos" w:cs="Times New Roman"/>
      <w:sz w:val="24"/>
      <w:szCs w:val="24"/>
      <w:lang w:eastAsia="lt-LT"/>
      <w14:ligatures w14:val="none"/>
    </w:rPr>
    <w:tblPr>
      <w:tblCellMar>
        <w:top w:w="0" w:type="dxa"/>
        <w:left w:w="0" w:type="dxa"/>
        <w:bottom w:w="0" w:type="dxa"/>
        <w:right w:w="0"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C74386"/>
    <w:rPr>
      <w:rFonts w:ascii="TimesLT" w:eastAsia="Times New Roman" w:hAnsi="TimesLT" w:cs="Times New Roman"/>
      <w:kern w:val="0"/>
      <w:sz w:val="28"/>
      <w:szCs w:val="20"/>
      <w:lang w:val="en-US"/>
      <w14:ligatures w14:val="none"/>
    </w:rPr>
  </w:style>
  <w:style w:type="paragraph" w:styleId="TOC1">
    <w:name w:val="toc 1"/>
    <w:basedOn w:val="Normal"/>
    <w:next w:val="Normal"/>
    <w:autoRedefine/>
    <w:uiPriority w:val="39"/>
    <w:unhideWhenUsed/>
    <w:rsid w:val="00C74386"/>
    <w:pPr>
      <w:tabs>
        <w:tab w:val="left" w:pos="142"/>
        <w:tab w:val="right" w:leader="dot" w:pos="9962"/>
      </w:tabs>
      <w:spacing w:line="276" w:lineRule="auto"/>
      <w:ind w:left="426" w:hanging="284"/>
    </w:pPr>
    <w:rPr>
      <w:rFonts w:asciiTheme="minorHAnsi" w:eastAsiaTheme="minorEastAsia" w:hAnsiTheme="minorHAnsi" w:cstheme="minorBidi"/>
      <w:sz w:val="21"/>
      <w:szCs w:val="21"/>
      <w:lang w:val="lt-LT" w:eastAsia="lt-LT"/>
    </w:rPr>
  </w:style>
  <w:style w:type="table" w:customStyle="1" w:styleId="TableGrid4">
    <w:name w:val="Table Grid4"/>
    <w:basedOn w:val="TableNormal"/>
    <w:next w:val="TableGrid"/>
    <w:uiPriority w:val="39"/>
    <w:rsid w:val="00C74386"/>
    <w:pPr>
      <w:spacing w:after="0" w:line="240" w:lineRule="auto"/>
    </w:pPr>
    <w:rPr>
      <w:rFonts w:ascii="Arial" w:eastAsia="Calibri" w:hAnsi="Arial" w:cs="Arial"/>
      <w:color w:val="103C5E"/>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qFormat/>
    <w:rsid w:val="00C74386"/>
    <w:pPr>
      <w:numPr>
        <w:numId w:val="9"/>
      </w:numPr>
      <w:tabs>
        <w:tab w:val="left" w:pos="1276"/>
      </w:tabs>
      <w:spacing w:line="276" w:lineRule="auto"/>
      <w:jc w:val="both"/>
    </w:pPr>
    <w:rPr>
      <w:rFonts w:ascii="Times New Roman" w:hAnsi="Times New Roman" w:cstheme="minorHAnsi"/>
      <w:iCs/>
      <w:sz w:val="24"/>
      <w:szCs w:val="21"/>
      <w:lang w:val="lt-LT"/>
    </w:rPr>
  </w:style>
  <w:style w:type="character" w:customStyle="1" w:styleId="Heading1Char">
    <w:name w:val="Heading 1 Char"/>
    <w:basedOn w:val="DefaultParagraphFont"/>
    <w:link w:val="Heading1"/>
    <w:rsid w:val="00C028B1"/>
    <w:rPr>
      <w:rFonts w:ascii="Times New Roman" w:eastAsia="Times New Roman" w:hAnsi="Times New Roman" w:cs="Times New Roman"/>
      <w:kern w:val="0"/>
      <w:sz w:val="28"/>
      <w:szCs w:val="20"/>
      <w:lang w:eastAsia="ar-SA"/>
      <w14:ligatures w14:val="none"/>
    </w:rPr>
  </w:style>
  <w:style w:type="character" w:customStyle="1" w:styleId="Heading2Char">
    <w:name w:val="Heading 2 Char"/>
    <w:basedOn w:val="DefaultParagraphFont"/>
    <w:link w:val="Heading2"/>
    <w:rsid w:val="00C028B1"/>
    <w:rPr>
      <w:rFonts w:ascii="Times New Roman" w:eastAsia="Times New Roman" w:hAnsi="Times New Roman" w:cs="Times New Roman"/>
      <w:kern w:val="0"/>
      <w:sz w:val="24"/>
      <w:szCs w:val="20"/>
      <w:lang w:eastAsia="ar-SA"/>
      <w14:ligatures w14:val="none"/>
    </w:rPr>
  </w:style>
  <w:style w:type="character" w:customStyle="1" w:styleId="Heading3Char">
    <w:name w:val="Heading 3 Char"/>
    <w:basedOn w:val="DefaultParagraphFont"/>
    <w:link w:val="Heading3"/>
    <w:rsid w:val="00C028B1"/>
    <w:rPr>
      <w:rFonts w:ascii="Times New Roman" w:eastAsia="Times New Roman" w:hAnsi="Times New Roman" w:cs="Times New Roman"/>
      <w:kern w:val="0"/>
      <w:sz w:val="24"/>
      <w:szCs w:val="20"/>
      <w:lang w:eastAsia="ar-SA"/>
      <w14:ligatures w14:val="none"/>
    </w:rPr>
  </w:style>
  <w:style w:type="character" w:customStyle="1" w:styleId="Heading4Char">
    <w:name w:val="Heading 4 Char"/>
    <w:basedOn w:val="DefaultParagraphFont"/>
    <w:link w:val="Heading4"/>
    <w:rsid w:val="00C028B1"/>
    <w:rPr>
      <w:rFonts w:ascii="Times New Roman" w:eastAsia="Times New Roman" w:hAnsi="Times New Roman" w:cs="Times New Roman"/>
      <w:b/>
      <w:kern w:val="0"/>
      <w:sz w:val="44"/>
      <w:szCs w:val="20"/>
      <w:lang w:eastAsia="ar-SA"/>
      <w14:ligatures w14:val="none"/>
    </w:rPr>
  </w:style>
  <w:style w:type="character" w:customStyle="1" w:styleId="Heading5Char">
    <w:name w:val="Heading 5 Char"/>
    <w:basedOn w:val="DefaultParagraphFont"/>
    <w:link w:val="Heading5"/>
    <w:rsid w:val="00C028B1"/>
    <w:rPr>
      <w:rFonts w:ascii="Times New Roman" w:eastAsia="Times New Roman" w:hAnsi="Times New Roman" w:cs="Times New Roman"/>
      <w:b/>
      <w:kern w:val="0"/>
      <w:sz w:val="40"/>
      <w:szCs w:val="20"/>
      <w:lang w:eastAsia="ar-SA"/>
      <w14:ligatures w14:val="none"/>
    </w:rPr>
  </w:style>
  <w:style w:type="character" w:customStyle="1" w:styleId="Heading6Char">
    <w:name w:val="Heading 6 Char"/>
    <w:basedOn w:val="DefaultParagraphFont"/>
    <w:link w:val="Heading6"/>
    <w:rsid w:val="00C028B1"/>
    <w:rPr>
      <w:rFonts w:ascii="Times New Roman" w:eastAsia="Times New Roman" w:hAnsi="Times New Roman" w:cs="Times New Roman"/>
      <w:b/>
      <w:kern w:val="0"/>
      <w:sz w:val="36"/>
      <w:szCs w:val="20"/>
      <w:lang w:eastAsia="ar-SA"/>
      <w14:ligatures w14:val="none"/>
    </w:rPr>
  </w:style>
  <w:style w:type="character" w:customStyle="1" w:styleId="Heading7Char">
    <w:name w:val="Heading 7 Char"/>
    <w:basedOn w:val="DefaultParagraphFont"/>
    <w:link w:val="Heading7"/>
    <w:rsid w:val="00C028B1"/>
    <w:rPr>
      <w:rFonts w:ascii="Times New Roman" w:eastAsia="Times New Roman" w:hAnsi="Times New Roman" w:cs="Times New Roman"/>
      <w:kern w:val="0"/>
      <w:sz w:val="48"/>
      <w:szCs w:val="20"/>
      <w:lang w:eastAsia="ar-SA"/>
      <w14:ligatures w14:val="none"/>
    </w:rPr>
  </w:style>
  <w:style w:type="character" w:customStyle="1" w:styleId="Heading8Char">
    <w:name w:val="Heading 8 Char"/>
    <w:basedOn w:val="DefaultParagraphFont"/>
    <w:link w:val="Heading8"/>
    <w:rsid w:val="00C028B1"/>
    <w:rPr>
      <w:rFonts w:ascii="Times New Roman" w:eastAsia="Times New Roman" w:hAnsi="Times New Roman" w:cs="Times New Roman"/>
      <w:b/>
      <w:kern w:val="0"/>
      <w:sz w:val="18"/>
      <w:szCs w:val="20"/>
      <w:lang w:eastAsia="ar-SA"/>
      <w14:ligatures w14:val="none"/>
    </w:rPr>
  </w:style>
  <w:style w:type="character" w:customStyle="1" w:styleId="Heading9Char">
    <w:name w:val="Heading 9 Char"/>
    <w:basedOn w:val="DefaultParagraphFont"/>
    <w:link w:val="Heading9"/>
    <w:rsid w:val="00C028B1"/>
    <w:rPr>
      <w:rFonts w:ascii="Times New Roman" w:eastAsia="Times New Roman" w:hAnsi="Times New Roman" w:cs="Times New Roman"/>
      <w:kern w:val="0"/>
      <w:sz w:val="40"/>
      <w:szCs w:val="20"/>
      <w:lang w:eastAsia="ar-SA"/>
      <w14:ligatures w14:val="none"/>
    </w:rPr>
  </w:style>
  <w:style w:type="paragraph" w:customStyle="1" w:styleId="Point1">
    <w:name w:val="Point 1"/>
    <w:basedOn w:val="Normal"/>
    <w:uiPriority w:val="99"/>
    <w:rsid w:val="00C028B1"/>
    <w:pPr>
      <w:suppressAutoHyphens/>
      <w:spacing w:before="120" w:after="120"/>
      <w:ind w:left="1418" w:hanging="567"/>
      <w:jc w:val="both"/>
    </w:pPr>
    <w:rPr>
      <w:rFonts w:ascii="Times New Roman" w:hAnsi="Times New Roman"/>
      <w:sz w:val="24"/>
      <w:lang w:val="en-GB" w:eastAsia="ar-SA"/>
    </w:rPr>
  </w:style>
  <w:style w:type="paragraph" w:styleId="BodyTextIndent">
    <w:name w:val="Body Text Indent"/>
    <w:basedOn w:val="Normal"/>
    <w:link w:val="BodyTextIndentChar"/>
    <w:semiHidden/>
    <w:rsid w:val="00C028B1"/>
    <w:pPr>
      <w:suppressAutoHyphens/>
      <w:ind w:firstLine="720"/>
    </w:pPr>
    <w:rPr>
      <w:rFonts w:ascii="Times New Roman" w:hAnsi="Times New Roman"/>
      <w:i/>
      <w:sz w:val="24"/>
      <w:lang w:val="lt-LT" w:eastAsia="ar-SA"/>
    </w:rPr>
  </w:style>
  <w:style w:type="character" w:customStyle="1" w:styleId="BodyTextIndentChar">
    <w:name w:val="Body Text Indent Char"/>
    <w:basedOn w:val="DefaultParagraphFont"/>
    <w:link w:val="BodyTextIndent"/>
    <w:semiHidden/>
    <w:rsid w:val="00C028B1"/>
    <w:rPr>
      <w:rFonts w:ascii="Times New Roman" w:eastAsia="Times New Roman" w:hAnsi="Times New Roman" w:cs="Times New Roman"/>
      <w:i/>
      <w:kern w:val="0"/>
      <w:sz w:val="24"/>
      <w:szCs w:val="20"/>
      <w:lang w:eastAsia="ar-SA"/>
      <w14:ligatures w14:val="none"/>
    </w:rPr>
  </w:style>
  <w:style w:type="paragraph" w:customStyle="1" w:styleId="WW-Default">
    <w:name w:val="WW-Default"/>
    <w:rsid w:val="00C028B1"/>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WW-NormalWeb">
    <w:name w:val="WW-Normal (Web)"/>
    <w:basedOn w:val="Normal"/>
    <w:rsid w:val="00C028B1"/>
    <w:pPr>
      <w:suppressAutoHyphens/>
      <w:spacing w:before="280" w:after="119"/>
    </w:pPr>
    <w:rPr>
      <w:rFonts w:ascii="Times New Roman" w:hAnsi="Times New Roman"/>
      <w:sz w:val="24"/>
      <w:szCs w:val="24"/>
      <w:lang w:val="en-GB" w:eastAsia="ar-SA"/>
    </w:rPr>
  </w:style>
  <w:style w:type="paragraph" w:styleId="BodyTextIndent2">
    <w:name w:val="Body Text Indent 2"/>
    <w:basedOn w:val="Normal"/>
    <w:link w:val="BodyTextIndent2Char"/>
    <w:rsid w:val="00C028B1"/>
    <w:pPr>
      <w:suppressAutoHyphens/>
      <w:ind w:firstLine="720"/>
      <w:jc w:val="both"/>
    </w:pPr>
    <w:rPr>
      <w:rFonts w:ascii="Times New Roman" w:hAnsi="Times New Roman"/>
      <w:iCs/>
      <w:sz w:val="24"/>
      <w:lang w:val="lt-LT" w:eastAsia="ar-SA"/>
    </w:rPr>
  </w:style>
  <w:style w:type="character" w:customStyle="1" w:styleId="BodyTextIndent2Char">
    <w:name w:val="Body Text Indent 2 Char"/>
    <w:basedOn w:val="DefaultParagraphFont"/>
    <w:link w:val="BodyTextIndent2"/>
    <w:rsid w:val="00C028B1"/>
    <w:rPr>
      <w:rFonts w:ascii="Times New Roman" w:eastAsia="Times New Roman" w:hAnsi="Times New Roman" w:cs="Times New Roman"/>
      <w:iCs/>
      <w:kern w:val="0"/>
      <w:sz w:val="24"/>
      <w:szCs w:val="20"/>
      <w:lang w:eastAsia="ar-SA"/>
      <w14:ligatures w14:val="none"/>
    </w:rPr>
  </w:style>
  <w:style w:type="paragraph" w:styleId="BodyText">
    <w:name w:val="Body Text"/>
    <w:basedOn w:val="Normal"/>
    <w:link w:val="BodyTextChar"/>
    <w:uiPriority w:val="99"/>
    <w:unhideWhenUsed/>
    <w:rsid w:val="00C028B1"/>
    <w:pPr>
      <w:suppressAutoHyphens/>
      <w:spacing w:after="120"/>
    </w:pPr>
    <w:rPr>
      <w:rFonts w:ascii="Times New Roman" w:hAnsi="Times New Roman"/>
      <w:sz w:val="24"/>
      <w:lang w:val="lt-LT" w:eastAsia="ar-SA"/>
    </w:rPr>
  </w:style>
  <w:style w:type="character" w:customStyle="1" w:styleId="BodyTextChar">
    <w:name w:val="Body Text Char"/>
    <w:basedOn w:val="DefaultParagraphFont"/>
    <w:link w:val="BodyText"/>
    <w:uiPriority w:val="99"/>
    <w:rsid w:val="00C028B1"/>
    <w:rPr>
      <w:rFonts w:ascii="Times New Roman" w:eastAsia="Times New Roman" w:hAnsi="Times New Roman" w:cs="Times New Roman"/>
      <w:kern w:val="0"/>
      <w:sz w:val="24"/>
      <w:szCs w:val="20"/>
      <w:lang w:eastAsia="ar-SA"/>
      <w14:ligatures w14:val="none"/>
    </w:rPr>
  </w:style>
  <w:style w:type="paragraph" w:styleId="BodyText3">
    <w:name w:val="Body Text 3"/>
    <w:basedOn w:val="Normal"/>
    <w:link w:val="BodyText3Char"/>
    <w:uiPriority w:val="99"/>
    <w:unhideWhenUsed/>
    <w:rsid w:val="00C028B1"/>
    <w:pPr>
      <w:suppressAutoHyphens/>
      <w:spacing w:after="120"/>
    </w:pPr>
    <w:rPr>
      <w:rFonts w:ascii="Times New Roman" w:hAnsi="Times New Roman"/>
      <w:sz w:val="16"/>
      <w:szCs w:val="16"/>
      <w:lang w:val="lt-LT" w:eastAsia="ar-SA"/>
    </w:rPr>
  </w:style>
  <w:style w:type="character" w:customStyle="1" w:styleId="BodyText3Char">
    <w:name w:val="Body Text 3 Char"/>
    <w:basedOn w:val="DefaultParagraphFont"/>
    <w:link w:val="BodyText3"/>
    <w:uiPriority w:val="99"/>
    <w:rsid w:val="00C028B1"/>
    <w:rPr>
      <w:rFonts w:ascii="Times New Roman" w:eastAsia="Times New Roman" w:hAnsi="Times New Roman" w:cs="Times New Roman"/>
      <w:kern w:val="0"/>
      <w:sz w:val="16"/>
      <w:szCs w:val="16"/>
      <w:lang w:eastAsia="ar-SA"/>
      <w14:ligatures w14:val="none"/>
    </w:rPr>
  </w:style>
  <w:style w:type="paragraph" w:customStyle="1" w:styleId="53">
    <w:name w:val="_53"/>
    <w:basedOn w:val="Normal"/>
    <w:rsid w:val="00C028B1"/>
    <w:pPr>
      <w:widowControl w:val="0"/>
    </w:pPr>
    <w:rPr>
      <w:rFonts w:ascii="Times New Roman" w:hAnsi="Times New Roman"/>
      <w:sz w:val="24"/>
      <w:lang w:eastAsia="ar-SA"/>
    </w:rPr>
  </w:style>
  <w:style w:type="paragraph" w:customStyle="1" w:styleId="BodyText1">
    <w:name w:val="Body Text1"/>
    <w:uiPriority w:val="99"/>
    <w:rsid w:val="00C028B1"/>
    <w:pPr>
      <w:suppressAutoHyphens/>
      <w:autoSpaceDE w:val="0"/>
      <w:spacing w:after="0" w:line="240" w:lineRule="auto"/>
      <w:ind w:firstLine="312"/>
      <w:jc w:val="both"/>
    </w:pPr>
    <w:rPr>
      <w:rFonts w:ascii="TimesLT" w:eastAsia="Arial" w:hAnsi="TimesLT" w:cs="Times New Roman"/>
      <w:kern w:val="0"/>
      <w:sz w:val="20"/>
      <w:szCs w:val="20"/>
      <w:lang w:val="en-US" w:eastAsia="ar-SA"/>
      <w14:ligatures w14:val="none"/>
    </w:rPr>
  </w:style>
  <w:style w:type="paragraph" w:customStyle="1" w:styleId="CentrBoldm">
    <w:name w:val="CentrBoldm"/>
    <w:basedOn w:val="Normal"/>
    <w:rsid w:val="00C028B1"/>
    <w:pPr>
      <w:autoSpaceDE w:val="0"/>
      <w:jc w:val="center"/>
    </w:pPr>
    <w:rPr>
      <w:b/>
      <w:bCs/>
      <w:sz w:val="20"/>
      <w:lang w:eastAsia="ar-SA"/>
    </w:rPr>
  </w:style>
  <w:style w:type="paragraph" w:customStyle="1" w:styleId="Patvirtinta">
    <w:name w:val="Patvirtinta"/>
    <w:rsid w:val="00C028B1"/>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kern w:val="0"/>
      <w:sz w:val="20"/>
      <w:szCs w:val="20"/>
      <w:lang w:val="en-US" w:eastAsia="ar-SA"/>
      <w14:ligatures w14:val="none"/>
    </w:rPr>
  </w:style>
  <w:style w:type="paragraph" w:customStyle="1" w:styleId="MAZAS">
    <w:name w:val="MAZAS"/>
    <w:rsid w:val="00C028B1"/>
    <w:pPr>
      <w:suppressAutoHyphens/>
      <w:autoSpaceDE w:val="0"/>
      <w:spacing w:after="0" w:line="240" w:lineRule="auto"/>
      <w:ind w:firstLine="312"/>
      <w:jc w:val="both"/>
    </w:pPr>
    <w:rPr>
      <w:rFonts w:ascii="TimesLT" w:eastAsia="Arial" w:hAnsi="TimesLT" w:cs="Times New Roman"/>
      <w:color w:val="000000"/>
      <w:kern w:val="0"/>
      <w:sz w:val="8"/>
      <w:szCs w:val="8"/>
      <w:lang w:val="en-US" w:eastAsia="ar-SA"/>
      <w14:ligatures w14:val="none"/>
    </w:rPr>
  </w:style>
  <w:style w:type="paragraph" w:styleId="HTMLPreformatted">
    <w:name w:val="HTML Preformatted"/>
    <w:basedOn w:val="Normal"/>
    <w:link w:val="HTMLPreformattedChar"/>
    <w:rsid w:val="00C02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lang w:val="lt-LT" w:eastAsia="ar-SA"/>
    </w:rPr>
  </w:style>
  <w:style w:type="character" w:customStyle="1" w:styleId="HTMLPreformattedChar">
    <w:name w:val="HTML Preformatted Char"/>
    <w:basedOn w:val="DefaultParagraphFont"/>
    <w:link w:val="HTMLPreformatted"/>
    <w:rsid w:val="00C028B1"/>
    <w:rPr>
      <w:rFonts w:ascii="Courier New" w:eastAsia="Times New Roman" w:hAnsi="Courier New" w:cs="Courier New"/>
      <w:kern w:val="0"/>
      <w:sz w:val="20"/>
      <w:szCs w:val="20"/>
      <w:lang w:eastAsia="ar-SA"/>
      <w14:ligatures w14:val="none"/>
    </w:rPr>
  </w:style>
  <w:style w:type="paragraph" w:styleId="PlainText">
    <w:name w:val="Plain Text"/>
    <w:basedOn w:val="Normal"/>
    <w:link w:val="PlainTextChar"/>
    <w:uiPriority w:val="99"/>
    <w:unhideWhenUsed/>
    <w:rsid w:val="00C028B1"/>
    <w:rPr>
      <w:rFonts w:ascii="Consolas" w:eastAsia="Calibri" w:hAnsi="Consolas"/>
      <w:sz w:val="21"/>
      <w:szCs w:val="21"/>
      <w:lang w:val="lt-LT"/>
    </w:rPr>
  </w:style>
  <w:style w:type="character" w:customStyle="1" w:styleId="PlainTextChar">
    <w:name w:val="Plain Text Char"/>
    <w:basedOn w:val="DefaultParagraphFont"/>
    <w:link w:val="PlainText"/>
    <w:uiPriority w:val="99"/>
    <w:rsid w:val="00C028B1"/>
    <w:rPr>
      <w:rFonts w:ascii="Consolas" w:eastAsia="Calibri" w:hAnsi="Consolas" w:cs="Times New Roman"/>
      <w:kern w:val="0"/>
      <w:sz w:val="21"/>
      <w:szCs w:val="21"/>
      <w14:ligatures w14:val="none"/>
    </w:rPr>
  </w:style>
  <w:style w:type="paragraph" w:customStyle="1" w:styleId="TableContents">
    <w:name w:val="Table Contents"/>
    <w:basedOn w:val="Normal"/>
    <w:rsid w:val="00C028B1"/>
    <w:pPr>
      <w:suppressLineNumbers/>
      <w:suppressAutoHyphens/>
    </w:pPr>
    <w:rPr>
      <w:rFonts w:ascii="Times New Roman" w:hAnsi="Times New Roman"/>
      <w:sz w:val="24"/>
      <w:lang w:val="lt-LT" w:eastAsia="ar-SA"/>
    </w:rPr>
  </w:style>
  <w:style w:type="paragraph" w:styleId="NoSpacing">
    <w:name w:val="No Spacing"/>
    <w:link w:val="NoSpacingChar"/>
    <w:uiPriority w:val="1"/>
    <w:qFormat/>
    <w:rsid w:val="00C028B1"/>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customStyle="1" w:styleId="NoSpacingChar">
    <w:name w:val="No Spacing Char"/>
    <w:link w:val="NoSpacing"/>
    <w:uiPriority w:val="1"/>
    <w:rsid w:val="00C028B1"/>
    <w:rPr>
      <w:rFonts w:ascii="Times New Roman" w:eastAsia="Times New Roman" w:hAnsi="Times New Roman" w:cs="Times New Roman"/>
      <w:kern w:val="0"/>
      <w:sz w:val="24"/>
      <w:szCs w:val="20"/>
      <w:lang w:eastAsia="ar-SA"/>
      <w14:ligatures w14:val="none"/>
    </w:rPr>
  </w:style>
  <w:style w:type="character" w:customStyle="1" w:styleId="WW-Absatz-Standardschriftart11111">
    <w:name w:val="WW-Absatz-Standardschriftart11111"/>
    <w:rsid w:val="00C028B1"/>
  </w:style>
  <w:style w:type="paragraph" w:customStyle="1" w:styleId="WW-TableContents11111111111111111111111111111111111111111111111111111111">
    <w:name w:val="WW-Table Contents11111111111111111111111111111111111111111111111111111111"/>
    <w:basedOn w:val="BodyText"/>
    <w:rsid w:val="00C028B1"/>
    <w:pPr>
      <w:suppressLineNumbers/>
      <w:spacing w:after="0"/>
      <w:jc w:val="both"/>
    </w:pPr>
    <w:rPr>
      <w:lang w:val="x-none"/>
    </w:rPr>
  </w:style>
  <w:style w:type="paragraph" w:customStyle="1" w:styleId="prastasis1">
    <w:name w:val="Įprastasis1"/>
    <w:rsid w:val="00C028B1"/>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paragraph" w:styleId="BalloonText">
    <w:name w:val="Balloon Text"/>
    <w:basedOn w:val="Normal"/>
    <w:link w:val="BalloonTextChar"/>
    <w:uiPriority w:val="99"/>
    <w:semiHidden/>
    <w:unhideWhenUsed/>
    <w:rsid w:val="00C028B1"/>
    <w:pPr>
      <w:suppressAutoHyphens/>
    </w:pPr>
    <w:rPr>
      <w:rFonts w:ascii="Tahoma" w:hAnsi="Tahoma" w:cs="Tahoma"/>
      <w:sz w:val="16"/>
      <w:szCs w:val="16"/>
      <w:lang w:val="lt-LT" w:eastAsia="ar-SA"/>
    </w:rPr>
  </w:style>
  <w:style w:type="character" w:customStyle="1" w:styleId="BalloonTextChar">
    <w:name w:val="Balloon Text Char"/>
    <w:basedOn w:val="DefaultParagraphFont"/>
    <w:link w:val="BalloonText"/>
    <w:uiPriority w:val="99"/>
    <w:semiHidden/>
    <w:rsid w:val="00C028B1"/>
    <w:rPr>
      <w:rFonts w:ascii="Tahoma" w:eastAsia="Times New Roman" w:hAnsi="Tahoma" w:cs="Tahoma"/>
      <w:kern w:val="0"/>
      <w:sz w:val="16"/>
      <w:szCs w:val="16"/>
      <w:lang w:eastAsia="ar-SA"/>
      <w14:ligatures w14:val="none"/>
    </w:rPr>
  </w:style>
  <w:style w:type="character" w:styleId="CommentReference">
    <w:name w:val="annotation reference"/>
    <w:uiPriority w:val="99"/>
    <w:semiHidden/>
    <w:unhideWhenUsed/>
    <w:rsid w:val="00C028B1"/>
    <w:rPr>
      <w:sz w:val="16"/>
      <w:szCs w:val="16"/>
    </w:rPr>
  </w:style>
  <w:style w:type="paragraph" w:styleId="CommentText">
    <w:name w:val="annotation text"/>
    <w:basedOn w:val="Normal"/>
    <w:link w:val="CommentTextChar"/>
    <w:uiPriority w:val="99"/>
    <w:unhideWhenUsed/>
    <w:qFormat/>
    <w:rsid w:val="00C028B1"/>
    <w:pPr>
      <w:suppressAutoHyphens/>
    </w:pPr>
    <w:rPr>
      <w:rFonts w:ascii="Times New Roman" w:hAnsi="Times New Roman"/>
      <w:sz w:val="20"/>
      <w:lang w:val="lt-LT" w:eastAsia="ar-SA"/>
    </w:rPr>
  </w:style>
  <w:style w:type="character" w:customStyle="1" w:styleId="CommentTextChar">
    <w:name w:val="Comment Text Char"/>
    <w:basedOn w:val="DefaultParagraphFont"/>
    <w:link w:val="CommentText"/>
    <w:uiPriority w:val="99"/>
    <w:qFormat/>
    <w:rsid w:val="00C028B1"/>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C028B1"/>
    <w:rPr>
      <w:b/>
      <w:bCs/>
    </w:rPr>
  </w:style>
  <w:style w:type="character" w:customStyle="1" w:styleId="CommentSubjectChar">
    <w:name w:val="Comment Subject Char"/>
    <w:basedOn w:val="CommentTextChar"/>
    <w:link w:val="CommentSubject"/>
    <w:uiPriority w:val="99"/>
    <w:semiHidden/>
    <w:rsid w:val="00C028B1"/>
    <w:rPr>
      <w:rFonts w:ascii="Times New Roman" w:eastAsia="Times New Roman" w:hAnsi="Times New Roman" w:cs="Times New Roman"/>
      <w:b/>
      <w:bCs/>
      <w:kern w:val="0"/>
      <w:sz w:val="20"/>
      <w:szCs w:val="20"/>
      <w:lang w:eastAsia="ar-SA"/>
      <w14:ligatures w14:val="none"/>
    </w:rPr>
  </w:style>
  <w:style w:type="paragraph" w:customStyle="1" w:styleId="Dainiausstilius">
    <w:name w:val="Dainiaus stilius"/>
    <w:basedOn w:val="Normal"/>
    <w:qFormat/>
    <w:rsid w:val="00C028B1"/>
    <w:pPr>
      <w:ind w:firstLine="567"/>
      <w:jc w:val="both"/>
    </w:pPr>
    <w:rPr>
      <w:rFonts w:ascii="Times New Roman" w:eastAsia="Calibri" w:hAnsi="Times New Roman"/>
      <w:sz w:val="24"/>
      <w:szCs w:val="22"/>
      <w:lang w:val="lt-LT"/>
    </w:rPr>
  </w:style>
  <w:style w:type="paragraph" w:customStyle="1" w:styleId="BodyText2">
    <w:name w:val="Body Text2"/>
    <w:rsid w:val="00C028B1"/>
    <w:pPr>
      <w:suppressAutoHyphens/>
      <w:autoSpaceDE w:val="0"/>
      <w:spacing w:after="0" w:line="240" w:lineRule="auto"/>
      <w:ind w:firstLine="312"/>
      <w:jc w:val="both"/>
    </w:pPr>
    <w:rPr>
      <w:rFonts w:ascii="TimesLT" w:eastAsia="Arial" w:hAnsi="TimesLT" w:cs="Times New Roman"/>
      <w:kern w:val="0"/>
      <w:sz w:val="20"/>
      <w:szCs w:val="20"/>
      <w:lang w:val="en-US" w:eastAsia="ar-SA"/>
      <w14:ligatures w14:val="none"/>
    </w:rPr>
  </w:style>
  <w:style w:type="paragraph" w:customStyle="1" w:styleId="BodyText10">
    <w:name w:val="Body Text10"/>
    <w:link w:val="BodytextChar0"/>
    <w:rsid w:val="00C028B1"/>
    <w:pPr>
      <w:suppressAutoHyphens/>
      <w:autoSpaceDE w:val="0"/>
      <w:spacing w:after="0" w:line="240" w:lineRule="auto"/>
      <w:ind w:firstLine="312"/>
      <w:jc w:val="both"/>
    </w:pPr>
    <w:rPr>
      <w:rFonts w:ascii="TimesLT" w:eastAsia="Arial" w:hAnsi="TimesLT" w:cs="Times New Roman"/>
      <w:kern w:val="0"/>
      <w:sz w:val="20"/>
      <w:szCs w:val="20"/>
      <w:lang w:val="en-US" w:eastAsia="ar-SA"/>
      <w14:ligatures w14:val="none"/>
    </w:rPr>
  </w:style>
  <w:style w:type="character" w:customStyle="1" w:styleId="BodytextChar0">
    <w:name w:val="Body text Char"/>
    <w:link w:val="BodyText10"/>
    <w:rsid w:val="00C028B1"/>
    <w:rPr>
      <w:rFonts w:ascii="TimesLT" w:eastAsia="Arial" w:hAnsi="TimesLT" w:cs="Times New Roman"/>
      <w:kern w:val="0"/>
      <w:sz w:val="20"/>
      <w:szCs w:val="20"/>
      <w:lang w:val="en-US" w:eastAsia="ar-SA"/>
      <w14:ligatures w14:val="none"/>
    </w:rPr>
  </w:style>
  <w:style w:type="character" w:customStyle="1" w:styleId="WW-Absatz-Standardschriftart1111111">
    <w:name w:val="WW-Absatz-Standardschriftart1111111"/>
    <w:rsid w:val="00C028B1"/>
  </w:style>
  <w:style w:type="paragraph" w:styleId="Caption">
    <w:name w:val="caption"/>
    <w:basedOn w:val="Normal"/>
    <w:qFormat/>
    <w:rsid w:val="00C028B1"/>
    <w:pPr>
      <w:suppressLineNumbers/>
      <w:suppressAutoHyphens/>
      <w:spacing w:before="120" w:after="120"/>
    </w:pPr>
    <w:rPr>
      <w:rFonts w:ascii="Times New Roman" w:hAnsi="Times New Roman" w:cs="Tahoma"/>
      <w:i/>
      <w:iCs/>
      <w:sz w:val="24"/>
      <w:szCs w:val="24"/>
      <w:lang w:val="lt-LT" w:eastAsia="ar-SA"/>
    </w:rPr>
  </w:style>
  <w:style w:type="paragraph" w:customStyle="1" w:styleId="CommentText1">
    <w:name w:val="Comment Text1"/>
    <w:basedOn w:val="Normal"/>
    <w:rsid w:val="00C028B1"/>
    <w:pPr>
      <w:widowControl w:val="0"/>
      <w:spacing w:after="200" w:line="276" w:lineRule="auto"/>
    </w:pPr>
    <w:rPr>
      <w:rFonts w:ascii="Times New Roman" w:hAnsi="Times New Roman" w:cs="Arial"/>
      <w:sz w:val="20"/>
      <w:lang w:val="lt-LT" w:eastAsia="lt-LT"/>
    </w:rPr>
  </w:style>
  <w:style w:type="paragraph" w:styleId="BlockText">
    <w:name w:val="Block Text"/>
    <w:basedOn w:val="Normal"/>
    <w:uiPriority w:val="99"/>
    <w:rsid w:val="00C028B1"/>
    <w:pPr>
      <w:ind w:left="1440" w:right="142"/>
    </w:pPr>
    <w:rPr>
      <w:rFonts w:ascii="Times New Roman" w:hAnsi="Times New Roman"/>
      <w:sz w:val="24"/>
      <w:lang w:val="lt-LT"/>
    </w:rPr>
  </w:style>
  <w:style w:type="character" w:customStyle="1" w:styleId="st1">
    <w:name w:val="st1"/>
    <w:rsid w:val="00C028B1"/>
  </w:style>
  <w:style w:type="table" w:customStyle="1" w:styleId="TableGrid2">
    <w:name w:val="Table Grid2"/>
    <w:basedOn w:val="TableNormal"/>
    <w:next w:val="TableGrid"/>
    <w:uiPriority w:val="59"/>
    <w:rsid w:val="00C028B1"/>
    <w:pPr>
      <w:spacing w:after="0" w:line="240" w:lineRule="auto"/>
    </w:pPr>
    <w:rPr>
      <w:rFonts w:ascii="Calibri" w:eastAsia="Calibri" w:hAnsi="Calibri" w:cs="Times New Roman"/>
      <w:kern w:val="0"/>
      <w:lang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028B1"/>
    <w:rPr>
      <w:color w:val="800080"/>
      <w:u w:val="single"/>
    </w:rPr>
  </w:style>
  <w:style w:type="paragraph" w:styleId="Revision">
    <w:name w:val="Revision"/>
    <w:hidden/>
    <w:uiPriority w:val="99"/>
    <w:semiHidden/>
    <w:rsid w:val="00C028B1"/>
    <w:pPr>
      <w:spacing w:after="0" w:line="240" w:lineRule="auto"/>
    </w:pPr>
    <w:rPr>
      <w:rFonts w:ascii="Times New Roman" w:eastAsia="Calibri" w:hAnsi="Times New Roman" w:cs="Times New Roman"/>
      <w:kern w:val="0"/>
      <w:sz w:val="24"/>
      <w14:ligatures w14:val="none"/>
    </w:rPr>
  </w:style>
  <w:style w:type="paragraph" w:customStyle="1" w:styleId="WW-BlockText">
    <w:name w:val="WW-Block Text"/>
    <w:basedOn w:val="Normal"/>
    <w:rsid w:val="00C028B1"/>
    <w:pPr>
      <w:suppressAutoHyphens/>
      <w:ind w:left="709" w:right="-58"/>
      <w:jc w:val="both"/>
    </w:pPr>
    <w:rPr>
      <w:rFonts w:ascii="Times New Roman" w:hAnsi="Times New Roman"/>
      <w:sz w:val="22"/>
      <w:szCs w:val="22"/>
      <w:lang w:val="lt-LT" w:eastAsia="ar-SA"/>
    </w:rPr>
  </w:style>
  <w:style w:type="paragraph" w:customStyle="1" w:styleId="Style2">
    <w:name w:val="Style2"/>
    <w:basedOn w:val="Heading1"/>
    <w:link w:val="Style2Char"/>
    <w:rsid w:val="00C028B1"/>
    <w:pPr>
      <w:numPr>
        <w:numId w:val="14"/>
      </w:numPr>
      <w:suppressAutoHyphens w:val="0"/>
      <w:ind w:left="0" w:firstLine="0"/>
      <w:jc w:val="both"/>
    </w:pPr>
  </w:style>
  <w:style w:type="character" w:customStyle="1" w:styleId="Style2Char">
    <w:name w:val="Style2 Char"/>
    <w:basedOn w:val="Heading1Char"/>
    <w:link w:val="Style2"/>
    <w:rsid w:val="00C028B1"/>
    <w:rPr>
      <w:rFonts w:ascii="Times New Roman" w:eastAsia="Times New Roman" w:hAnsi="Times New Roman" w:cs="Times New Roman"/>
      <w:kern w:val="0"/>
      <w:sz w:val="28"/>
      <w:szCs w:val="20"/>
      <w:lang w:eastAsia="ar-SA"/>
      <w14:ligatures w14:val="none"/>
    </w:rPr>
  </w:style>
  <w:style w:type="paragraph" w:styleId="EndnoteText">
    <w:name w:val="endnote text"/>
    <w:basedOn w:val="Normal"/>
    <w:link w:val="EndnoteTextChar"/>
    <w:uiPriority w:val="99"/>
    <w:semiHidden/>
    <w:unhideWhenUsed/>
    <w:rsid w:val="00C028B1"/>
    <w:pPr>
      <w:suppressAutoHyphens/>
    </w:pPr>
    <w:rPr>
      <w:rFonts w:ascii="Times New Roman" w:hAnsi="Times New Roman"/>
      <w:sz w:val="20"/>
      <w:lang w:val="lt-LT" w:eastAsia="ar-SA"/>
    </w:rPr>
  </w:style>
  <w:style w:type="character" w:customStyle="1" w:styleId="EndnoteTextChar">
    <w:name w:val="Endnote Text Char"/>
    <w:basedOn w:val="DefaultParagraphFont"/>
    <w:link w:val="EndnoteText"/>
    <w:uiPriority w:val="99"/>
    <w:semiHidden/>
    <w:rsid w:val="00C028B1"/>
    <w:rPr>
      <w:rFonts w:ascii="Times New Roman" w:eastAsia="Times New Roman" w:hAnsi="Times New Roman" w:cs="Times New Roman"/>
      <w:kern w:val="0"/>
      <w:sz w:val="20"/>
      <w:szCs w:val="20"/>
      <w:lang w:eastAsia="ar-SA"/>
      <w14:ligatures w14:val="none"/>
    </w:rPr>
  </w:style>
  <w:style w:type="character" w:styleId="EndnoteReference">
    <w:name w:val="endnote reference"/>
    <w:uiPriority w:val="99"/>
    <w:semiHidden/>
    <w:unhideWhenUsed/>
    <w:rsid w:val="00C028B1"/>
    <w:rPr>
      <w:vertAlign w:val="superscript"/>
    </w:rPr>
  </w:style>
  <w:style w:type="character" w:customStyle="1" w:styleId="UnresolvedMention1">
    <w:name w:val="Unresolved Mention1"/>
    <w:uiPriority w:val="99"/>
    <w:semiHidden/>
    <w:unhideWhenUsed/>
    <w:rsid w:val="00C028B1"/>
    <w:rPr>
      <w:color w:val="808080"/>
      <w:shd w:val="clear" w:color="auto" w:fill="E6E6E6"/>
    </w:rPr>
  </w:style>
  <w:style w:type="character" w:customStyle="1" w:styleId="UnresolvedMention2">
    <w:name w:val="Unresolved Mention2"/>
    <w:basedOn w:val="DefaultParagraphFont"/>
    <w:uiPriority w:val="99"/>
    <w:semiHidden/>
    <w:unhideWhenUsed/>
    <w:rsid w:val="00C028B1"/>
    <w:rPr>
      <w:color w:val="808080"/>
      <w:shd w:val="clear" w:color="auto" w:fill="E6E6E6"/>
    </w:rPr>
  </w:style>
  <w:style w:type="table" w:customStyle="1" w:styleId="SmartTextTable1">
    <w:name w:val="Smart Text Table1"/>
    <w:basedOn w:val="TableNormal"/>
    <w:next w:val="TableGrid"/>
    <w:uiPriority w:val="59"/>
    <w:rsid w:val="00C028B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C028B1"/>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C028B1"/>
    <w:pPr>
      <w:suppressAutoHyphens/>
    </w:pPr>
    <w:rPr>
      <w:rFonts w:ascii="Times New Roman" w:hAnsi="Times New Roman"/>
      <w:b/>
      <w:bCs/>
      <w:sz w:val="20"/>
      <w:lang w:val="lt-LT" w:eastAsia="ar-SA"/>
    </w:rPr>
  </w:style>
  <w:style w:type="character" w:customStyle="1" w:styleId="Neapdorotaspaminjimas1">
    <w:name w:val="Neapdorotas paminėjimas1"/>
    <w:basedOn w:val="DefaultParagraphFont"/>
    <w:uiPriority w:val="99"/>
    <w:semiHidden/>
    <w:unhideWhenUsed/>
    <w:rsid w:val="00C028B1"/>
    <w:rPr>
      <w:color w:val="605E5C"/>
      <w:shd w:val="clear" w:color="auto" w:fill="E1DFDD"/>
    </w:rPr>
  </w:style>
  <w:style w:type="character" w:customStyle="1" w:styleId="UnresolvedMention3">
    <w:name w:val="Unresolved Mention3"/>
    <w:basedOn w:val="DefaultParagraphFont"/>
    <w:uiPriority w:val="99"/>
    <w:semiHidden/>
    <w:unhideWhenUsed/>
    <w:rsid w:val="00C028B1"/>
    <w:rPr>
      <w:color w:val="605E5C"/>
      <w:shd w:val="clear" w:color="auto" w:fill="E1DFDD"/>
    </w:rPr>
  </w:style>
  <w:style w:type="character" w:customStyle="1" w:styleId="Neapdorotaspaminjimas2">
    <w:name w:val="Neapdorotas paminėjimas2"/>
    <w:basedOn w:val="DefaultParagraphFont"/>
    <w:uiPriority w:val="99"/>
    <w:semiHidden/>
    <w:unhideWhenUsed/>
    <w:rsid w:val="00C028B1"/>
    <w:rPr>
      <w:color w:val="605E5C"/>
      <w:shd w:val="clear" w:color="auto" w:fill="E1DFDD"/>
    </w:rPr>
  </w:style>
  <w:style w:type="paragraph" w:styleId="ListBullet">
    <w:name w:val="List Bullet"/>
    <w:basedOn w:val="Normal"/>
    <w:uiPriority w:val="99"/>
    <w:unhideWhenUsed/>
    <w:rsid w:val="00C028B1"/>
    <w:pPr>
      <w:numPr>
        <w:numId w:val="22"/>
      </w:numPr>
      <w:tabs>
        <w:tab w:val="clear" w:pos="0"/>
      </w:tabs>
      <w:suppressAutoHyphens/>
      <w:ind w:firstLine="0"/>
      <w:contextualSpacing/>
    </w:pPr>
    <w:rPr>
      <w:rFonts w:ascii="Times New Roman" w:hAnsi="Times New Roman"/>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4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63c764-1e24-44c5-808b-8f76e8dd55d8">
      <Terms xmlns="http://schemas.microsoft.com/office/infopath/2007/PartnerControls"/>
    </lcf76f155ced4ddcb4097134ff3c332f>
    <TaxCatchAll xmlns="c44f37ef-355d-4d30-b745-6898624ea9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450C0-1767-4C0B-B27A-A8064A218F9C}">
  <ds:schemaRefs>
    <ds:schemaRef ds:uri="http://schemas.microsoft.com/office/2006/metadata/properties"/>
    <ds:schemaRef ds:uri="http://schemas.microsoft.com/office/infopath/2007/PartnerControls"/>
    <ds:schemaRef ds:uri="9b63c764-1e24-44c5-808b-8f76e8dd55d8"/>
    <ds:schemaRef ds:uri="c44f37ef-355d-4d30-b745-6898624ea974"/>
  </ds:schemaRefs>
</ds:datastoreItem>
</file>

<file path=customXml/itemProps2.xml><?xml version="1.0" encoding="utf-8"?>
<ds:datastoreItem xmlns:ds="http://schemas.openxmlformats.org/officeDocument/2006/customXml" ds:itemID="{3CC8BD88-5025-4171-8E39-DEFA74B75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39218-1ACC-42B8-BF0D-0F4CAB0E9FA0}">
  <ds:schemaRefs>
    <ds:schemaRef ds:uri="http://schemas.openxmlformats.org/officeDocument/2006/bibliography"/>
  </ds:schemaRefs>
</ds:datastoreItem>
</file>

<file path=customXml/itemProps4.xml><?xml version="1.0" encoding="utf-8"?>
<ds:datastoreItem xmlns:ds="http://schemas.openxmlformats.org/officeDocument/2006/customXml" ds:itemID="{8E7940DA-71C9-4E1F-BC2F-D6051E9DD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2091</Words>
  <Characters>11919</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Karolina Marcinkevičiūtė | Lietuvos mokslo taryba</cp:lastModifiedBy>
  <cp:revision>2</cp:revision>
  <dcterms:created xsi:type="dcterms:W3CDTF">2026-01-12T13:57:00Z</dcterms:created>
  <dcterms:modified xsi:type="dcterms:W3CDTF">2026-01-12T13:57:00Z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