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8E773" w14:textId="0A4356DA" w:rsidR="00113EC3" w:rsidRDefault="00E64C60" w:rsidP="00035258">
      <w:pPr>
        <w:ind w:firstLine="709"/>
        <w:jc w:val="both"/>
        <w:rPr>
          <w:bCs/>
          <w:sz w:val="24"/>
          <w:szCs w:val="24"/>
        </w:rPr>
      </w:pPr>
      <w:r w:rsidRPr="007601EF">
        <w:rPr>
          <w:sz w:val="24"/>
          <w:szCs w:val="24"/>
        </w:rPr>
        <w:t>Užimtumo tarnyb</w:t>
      </w:r>
      <w:r w:rsidR="00663E03">
        <w:rPr>
          <w:sz w:val="24"/>
          <w:szCs w:val="24"/>
        </w:rPr>
        <w:t>a</w:t>
      </w:r>
      <w:r w:rsidRPr="007601EF">
        <w:rPr>
          <w:sz w:val="24"/>
          <w:szCs w:val="24"/>
        </w:rPr>
        <w:t xml:space="preserve"> prie Lietuvos Respublikos socialinės apsaugos ir darbo ministerijos</w:t>
      </w:r>
      <w:r w:rsidR="0086584F">
        <w:rPr>
          <w:sz w:val="24"/>
          <w:szCs w:val="24"/>
        </w:rPr>
        <w:t xml:space="preserve"> (toliau – </w:t>
      </w:r>
      <w:r w:rsidR="00046585" w:rsidRPr="00B17E74">
        <w:rPr>
          <w:sz w:val="24"/>
          <w:szCs w:val="24"/>
        </w:rPr>
        <w:t>P</w:t>
      </w:r>
      <w:r w:rsidR="0086584F" w:rsidRPr="00B17E74">
        <w:rPr>
          <w:sz w:val="24"/>
          <w:szCs w:val="24"/>
        </w:rPr>
        <w:t>erkančioji organizacija)</w:t>
      </w:r>
      <w:r w:rsidRPr="00B17E74">
        <w:rPr>
          <w:sz w:val="24"/>
          <w:szCs w:val="24"/>
        </w:rPr>
        <w:t xml:space="preserve"> vykdo pirkimą „</w:t>
      </w:r>
      <w:r w:rsidR="00A83B7E" w:rsidRPr="00B17E74">
        <w:rPr>
          <w:sz w:val="24"/>
          <w:szCs w:val="24"/>
          <w:lang w:eastAsia="en-US"/>
        </w:rPr>
        <w:t>K</w:t>
      </w:r>
      <w:r w:rsidR="00A83B7E" w:rsidRPr="00B17E74">
        <w:rPr>
          <w:color w:val="000000"/>
          <w:sz w:val="24"/>
          <w:szCs w:val="24"/>
        </w:rPr>
        <w:t>omunikacinio renginio organizavimo paslaug</w:t>
      </w:r>
      <w:r w:rsidR="00A83B7E" w:rsidRPr="00B17E74">
        <w:rPr>
          <w:color w:val="000000"/>
          <w:sz w:val="24"/>
          <w:szCs w:val="24"/>
        </w:rPr>
        <w:t>os</w:t>
      </w:r>
      <w:r w:rsidRPr="00B17E74">
        <w:rPr>
          <w:sz w:val="24"/>
          <w:szCs w:val="24"/>
        </w:rPr>
        <w:t xml:space="preserve">“ Nr. </w:t>
      </w:r>
      <w:r w:rsidR="006733F0" w:rsidRPr="00B17E74">
        <w:rPr>
          <w:sz w:val="24"/>
          <w:szCs w:val="24"/>
        </w:rPr>
        <w:t>5083565</w:t>
      </w:r>
      <w:r w:rsidR="006733F0" w:rsidRPr="006733F0">
        <w:rPr>
          <w:b/>
          <w:bCs/>
          <w:sz w:val="24"/>
          <w:szCs w:val="24"/>
        </w:rPr>
        <w:t xml:space="preserve"> </w:t>
      </w:r>
      <w:r w:rsidRPr="00A419D3">
        <w:rPr>
          <w:bCs/>
          <w:sz w:val="24"/>
          <w:szCs w:val="24"/>
        </w:rPr>
        <w:t xml:space="preserve">(toliau – pirkimas), kurį atlieka </w:t>
      </w:r>
      <w:r w:rsidRPr="00A419D3">
        <w:rPr>
          <w:sz w:val="24"/>
          <w:szCs w:val="24"/>
        </w:rPr>
        <w:t>Užimtumo tarnybos prie Lietuvos Respublikos socialinės apsaugos ir darbo ministerijos nuolatinė viešųjų pirkimų komisija (toliau – Komisija).</w:t>
      </w:r>
    </w:p>
    <w:p w14:paraId="53C4EF15" w14:textId="0B1CDBD1" w:rsidR="00935500" w:rsidRPr="00113EC3" w:rsidRDefault="00935500" w:rsidP="00035258">
      <w:pPr>
        <w:ind w:firstLine="709"/>
        <w:jc w:val="both"/>
        <w:rPr>
          <w:bCs/>
          <w:sz w:val="24"/>
          <w:szCs w:val="24"/>
        </w:rPr>
      </w:pPr>
      <w:r w:rsidRPr="00984825">
        <w:rPr>
          <w:sz w:val="24"/>
          <w:szCs w:val="24"/>
        </w:rPr>
        <w:t>Pirkime Centrinės viešųjų pirkimų informacinės sistemos</w:t>
      </w:r>
      <w:r w:rsidR="00B17E74">
        <w:rPr>
          <w:sz w:val="24"/>
          <w:szCs w:val="24"/>
        </w:rPr>
        <w:t xml:space="preserve"> (toliau – CVP IS)</w:t>
      </w:r>
      <w:r w:rsidRPr="00984825">
        <w:rPr>
          <w:sz w:val="24"/>
          <w:szCs w:val="24"/>
        </w:rPr>
        <w:t xml:space="preserve"> susirašinėjimo priemonėmis buvo gaut</w:t>
      </w:r>
      <w:r w:rsidR="006733F0">
        <w:rPr>
          <w:sz w:val="24"/>
          <w:szCs w:val="24"/>
        </w:rPr>
        <w:t>as</w:t>
      </w:r>
      <w:r w:rsidRPr="00984825">
        <w:rPr>
          <w:sz w:val="24"/>
          <w:szCs w:val="24"/>
        </w:rPr>
        <w:t xml:space="preserve"> tiekėj</w:t>
      </w:r>
      <w:r w:rsidR="006733F0">
        <w:rPr>
          <w:sz w:val="24"/>
          <w:szCs w:val="24"/>
        </w:rPr>
        <w:t>o</w:t>
      </w:r>
      <w:r>
        <w:rPr>
          <w:sz w:val="24"/>
          <w:szCs w:val="24"/>
        </w:rPr>
        <w:t xml:space="preserve"> </w:t>
      </w:r>
      <w:r w:rsidRPr="00984825">
        <w:rPr>
          <w:sz w:val="24"/>
          <w:szCs w:val="24"/>
        </w:rPr>
        <w:t>prašyma</w:t>
      </w:r>
      <w:r w:rsidR="006733F0">
        <w:rPr>
          <w:sz w:val="24"/>
          <w:szCs w:val="24"/>
        </w:rPr>
        <w:t>s</w:t>
      </w:r>
      <w:r w:rsidRPr="00984825">
        <w:rPr>
          <w:sz w:val="24"/>
          <w:szCs w:val="24"/>
        </w:rPr>
        <w:t xml:space="preserve"> paaiškinti pirkimo sąlygas</w:t>
      </w:r>
      <w:r>
        <w:rPr>
          <w:sz w:val="24"/>
          <w:szCs w:val="24"/>
        </w:rPr>
        <w:t xml:space="preserve"> bei teikiami atsakymai į pateikt</w:t>
      </w:r>
      <w:r w:rsidR="006733F0">
        <w:rPr>
          <w:sz w:val="24"/>
          <w:szCs w:val="24"/>
        </w:rPr>
        <w:t>ą</w:t>
      </w:r>
      <w:r>
        <w:rPr>
          <w:sz w:val="24"/>
          <w:szCs w:val="24"/>
        </w:rPr>
        <w:t xml:space="preserve"> klausim</w:t>
      </w:r>
      <w:r w:rsidR="006733F0">
        <w:rPr>
          <w:sz w:val="24"/>
          <w:szCs w:val="24"/>
        </w:rPr>
        <w:t>ą</w:t>
      </w:r>
      <w:r w:rsidRPr="00984825">
        <w:rPr>
          <w:sz w:val="24"/>
          <w:szCs w:val="24"/>
        </w:rPr>
        <w:t xml:space="preserve">: </w:t>
      </w:r>
    </w:p>
    <w:p w14:paraId="4514CD13" w14:textId="77777777" w:rsidR="00935500" w:rsidRDefault="00935500" w:rsidP="00035258">
      <w:pPr>
        <w:ind w:firstLine="709"/>
        <w:jc w:val="both"/>
        <w:rPr>
          <w:color w:val="000000"/>
          <w:sz w:val="24"/>
          <w:szCs w:val="24"/>
        </w:rPr>
      </w:pPr>
    </w:p>
    <w:p w14:paraId="4A0C2094" w14:textId="777EC81B" w:rsidR="00935500" w:rsidRDefault="006733F0" w:rsidP="00035258">
      <w:pPr>
        <w:ind w:firstLine="709"/>
        <w:jc w:val="both"/>
        <w:rPr>
          <w:b/>
          <w:bCs/>
          <w:color w:val="000000"/>
          <w:sz w:val="24"/>
          <w:szCs w:val="24"/>
        </w:rPr>
      </w:pPr>
      <w:r>
        <w:rPr>
          <w:b/>
          <w:bCs/>
          <w:color w:val="000000"/>
          <w:sz w:val="24"/>
          <w:szCs w:val="24"/>
        </w:rPr>
        <w:t>K</w:t>
      </w:r>
      <w:r w:rsidR="00935500" w:rsidRPr="00FC5824">
        <w:rPr>
          <w:b/>
          <w:bCs/>
          <w:color w:val="000000"/>
          <w:sz w:val="24"/>
          <w:szCs w:val="24"/>
        </w:rPr>
        <w:t>lausimas:</w:t>
      </w:r>
    </w:p>
    <w:p w14:paraId="765EE1E0" w14:textId="77777777" w:rsidR="00035258" w:rsidRDefault="00035258" w:rsidP="00035258">
      <w:pPr>
        <w:pStyle w:val="xmsonormal"/>
        <w:ind w:firstLine="709"/>
        <w:jc w:val="both"/>
        <w:rPr>
          <w:rFonts w:ascii="Times New Roman" w:eastAsia="Times New Roman" w:hAnsi="Times New Roman" w:cs="Times New Roman"/>
          <w:sz w:val="24"/>
          <w:szCs w:val="24"/>
        </w:rPr>
      </w:pPr>
      <w:r w:rsidRPr="00AB0A97">
        <w:rPr>
          <w:rFonts w:ascii="Times New Roman" w:eastAsia="Times New Roman" w:hAnsi="Times New Roman" w:cs="Times New Roman"/>
          <w:sz w:val="24"/>
          <w:szCs w:val="24"/>
        </w:rPr>
        <w:t>Ruošiant pasiūlymą šiam viešajam pirkimui dėl Projekto „Kryptis – ateitis“ komunikacinio renginio organizavimo paslaugų įsigijimo, prašome pasitikslinti keletą Techninės specifikacijos punktuose aprašytų reikalavimų, kad renginio koncepcija būtų parengta tiksliai pagal reikalavimus, nes dabar nežinant kokie rezultatai projekto metu buvo pasiekti ir kokios technologijos sukurtos, kuriuos reikės pristatyti viešinimo renginio metu, sunku suplanuoti aiškius ir tokius technologinius dalykus, kurie būtų susiję su projektu. Priešingu atveju komisija turės teisę skirti mažesnius balus, jeigu renginio koncepcijoje bus aprašyti ne projekto metu sukurti rezultatai.</w:t>
      </w:r>
    </w:p>
    <w:p w14:paraId="310C510D" w14:textId="77777777" w:rsidR="00035258" w:rsidRDefault="00035258" w:rsidP="00035258">
      <w:pPr>
        <w:pStyle w:val="xmso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w:t>
      </w:r>
      <w:r w:rsidRPr="00AB0A97">
        <w:rPr>
          <w:rFonts w:ascii="Times New Roman" w:eastAsia="Times New Roman" w:hAnsi="Times New Roman" w:cs="Times New Roman"/>
          <w:sz w:val="24"/>
          <w:szCs w:val="24"/>
        </w:rPr>
        <w:t>chninės specifikacijos 10 punkte yra nurodyta: „.... Renginys turi apimti kūrybinių dirbtuvių elementus ir interaktyvios ekspozicijos sprendimus, kuriuose Projekto rezultatai ar kitas Renginio turinys būtų pristatomas naudojant virtualią realybę (VR/AR) ar kitas išmanias technologijas. ….“:</w:t>
      </w:r>
    </w:p>
    <w:p w14:paraId="408E312C" w14:textId="77777777" w:rsidR="00035258" w:rsidRDefault="00035258" w:rsidP="00035258">
      <w:pPr>
        <w:pStyle w:val="xmsonormal"/>
        <w:ind w:firstLine="709"/>
        <w:jc w:val="both"/>
        <w:rPr>
          <w:rFonts w:ascii="Times New Roman" w:eastAsia="Times New Roman" w:hAnsi="Times New Roman" w:cs="Times New Roman"/>
          <w:sz w:val="24"/>
          <w:szCs w:val="24"/>
        </w:rPr>
      </w:pPr>
      <w:r w:rsidRPr="00AB0A97">
        <w:rPr>
          <w:rFonts w:ascii="Times New Roman" w:eastAsia="Times New Roman" w:hAnsi="Times New Roman" w:cs="Times New Roman"/>
          <w:sz w:val="24"/>
          <w:szCs w:val="24"/>
        </w:rPr>
        <w:t>• „dirbtuvės turi suteikti dalyviams galimybę praktiškai išbandyti Projekto metu sukurtus ar adaptuotus metodus, įrankius ar technologijas (pvz., skaitmeninių įrankių naudojimas, tvarios gamybos modeliavimas, interaktyvūs tvarumo sprendimų prototipai).“</w:t>
      </w:r>
    </w:p>
    <w:p w14:paraId="2A012978" w14:textId="77777777" w:rsidR="00035258" w:rsidRDefault="00035258" w:rsidP="00035258">
      <w:pPr>
        <w:pStyle w:val="xmsonormal"/>
        <w:ind w:firstLine="709"/>
        <w:jc w:val="both"/>
        <w:rPr>
          <w:rFonts w:ascii="Times New Roman" w:eastAsia="Times New Roman" w:hAnsi="Times New Roman" w:cs="Times New Roman"/>
          <w:sz w:val="24"/>
          <w:szCs w:val="24"/>
        </w:rPr>
      </w:pPr>
      <w:r w:rsidRPr="00AB0A97">
        <w:rPr>
          <w:rFonts w:ascii="Times New Roman" w:eastAsia="Times New Roman" w:hAnsi="Times New Roman" w:cs="Times New Roman"/>
          <w:sz w:val="24"/>
          <w:szCs w:val="24"/>
        </w:rPr>
        <w:t xml:space="preserve">• „interaktyvi ekspozicija turi apimti Projekto rezultatus pristatančius stendus, demonstracijas, VR/AR </w:t>
      </w:r>
      <w:proofErr w:type="spellStart"/>
      <w:r w:rsidRPr="00AB0A97">
        <w:rPr>
          <w:rFonts w:ascii="Times New Roman" w:eastAsia="Times New Roman" w:hAnsi="Times New Roman" w:cs="Times New Roman"/>
          <w:sz w:val="24"/>
          <w:szCs w:val="24"/>
        </w:rPr>
        <w:t>ar</w:t>
      </w:r>
      <w:proofErr w:type="spellEnd"/>
      <w:r w:rsidRPr="00AB0A97">
        <w:rPr>
          <w:rFonts w:ascii="Times New Roman" w:eastAsia="Times New Roman" w:hAnsi="Times New Roman" w:cs="Times New Roman"/>
          <w:sz w:val="24"/>
          <w:szCs w:val="24"/>
        </w:rPr>
        <w:t xml:space="preserve"> kitų technologijų pavyzdžius, leidžiančius dalyviams praktiškai susipažinti su Projekto metu sukurtais skaitmeniniais ar tvariais sprendimais.“</w:t>
      </w:r>
    </w:p>
    <w:p w14:paraId="09A0BB30" w14:textId="77777777" w:rsidR="00035258" w:rsidRDefault="00035258" w:rsidP="00035258">
      <w:pPr>
        <w:pStyle w:val="xmsonormal"/>
        <w:ind w:firstLine="709"/>
        <w:jc w:val="both"/>
        <w:rPr>
          <w:rFonts w:ascii="Times New Roman" w:eastAsia="Times New Roman" w:hAnsi="Times New Roman" w:cs="Times New Roman"/>
          <w:sz w:val="24"/>
          <w:szCs w:val="24"/>
        </w:rPr>
      </w:pPr>
      <w:r w:rsidRPr="00AB0A97">
        <w:rPr>
          <w:rFonts w:ascii="Times New Roman" w:eastAsia="Times New Roman" w:hAnsi="Times New Roman" w:cs="Times New Roman"/>
          <w:sz w:val="24"/>
          <w:szCs w:val="24"/>
        </w:rPr>
        <w:t>Prašome patikslinti arba atsiųsti nuorodas, kur galima rasti jūsų projekto metu sukurtus įrankius/ technologijas/ adaptuotus metodus/ skaitmeninius ar tvarius sprendimus, kuriuos praktiškai turėtų išbandyti renginio dalyviai. Šios informacijos UZT puslapyje prie projekto bendrinės informacijos nėra pateiktos.</w:t>
      </w:r>
      <w:r w:rsidRPr="00AB0A97">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AB0A97">
        <w:rPr>
          <w:rFonts w:ascii="Times New Roman" w:eastAsia="Times New Roman" w:hAnsi="Times New Roman" w:cs="Times New Roman"/>
          <w:sz w:val="24"/>
          <w:szCs w:val="24"/>
        </w:rPr>
        <w:t>Techninės specifikacijos 13.1. nurodyta „Paslaugų teikėjas kartu su pasiūlymu privalo pateikti 1 Renginio koncepciją, kuri atitiktų Techninės specifikacijos 10 p. nurodytą pirkimo tikslą“. Koncepcijoje turi būti pateikiama:</w:t>
      </w:r>
    </w:p>
    <w:p w14:paraId="7639C4B3" w14:textId="77777777" w:rsidR="00035258" w:rsidRDefault="00035258" w:rsidP="00035258">
      <w:pPr>
        <w:pStyle w:val="xmsonormal"/>
        <w:ind w:firstLine="709"/>
        <w:jc w:val="both"/>
        <w:rPr>
          <w:rFonts w:ascii="Times New Roman" w:eastAsia="Times New Roman" w:hAnsi="Times New Roman" w:cs="Times New Roman"/>
          <w:sz w:val="24"/>
          <w:szCs w:val="24"/>
        </w:rPr>
      </w:pPr>
      <w:r w:rsidRPr="00AB0A97">
        <w:rPr>
          <w:rFonts w:ascii="Times New Roman" w:eastAsia="Times New Roman" w:hAnsi="Times New Roman" w:cs="Times New Roman"/>
          <w:sz w:val="24"/>
          <w:szCs w:val="24"/>
        </w:rPr>
        <w:t>• „Technologijų (pvz., VR/AR, DI, skaitmeninių demonstracijų) panaudojimas, nurodant, kaip šiomis technologijomis bus pristatomi Projekto rezultatai;“;</w:t>
      </w:r>
    </w:p>
    <w:p w14:paraId="213C03EF" w14:textId="77777777" w:rsidR="00035258" w:rsidRDefault="00035258" w:rsidP="00035258">
      <w:pPr>
        <w:pStyle w:val="xmsonormal"/>
        <w:ind w:firstLine="709"/>
        <w:jc w:val="both"/>
        <w:rPr>
          <w:rFonts w:ascii="Times New Roman" w:eastAsia="Times New Roman" w:hAnsi="Times New Roman" w:cs="Times New Roman"/>
          <w:sz w:val="24"/>
          <w:szCs w:val="24"/>
        </w:rPr>
      </w:pPr>
      <w:r w:rsidRPr="00AB0A97">
        <w:rPr>
          <w:rFonts w:ascii="Times New Roman" w:eastAsia="Times New Roman" w:hAnsi="Times New Roman" w:cs="Times New Roman"/>
          <w:sz w:val="24"/>
          <w:szCs w:val="24"/>
        </w:rPr>
        <w:t>• „Dalyvio patirties scenarijus, nurodant, kokius veiksmus ir veiklas dalyvis gali atlikti renginio metu (pvz., kokius įrankius ar sprendimus išbandys).“;</w:t>
      </w:r>
    </w:p>
    <w:p w14:paraId="166FB9E0" w14:textId="77777777" w:rsidR="00035258" w:rsidRDefault="00035258" w:rsidP="00035258">
      <w:pPr>
        <w:pStyle w:val="xmsonormal"/>
        <w:ind w:firstLine="709"/>
        <w:jc w:val="both"/>
        <w:rPr>
          <w:rFonts w:ascii="Times New Roman" w:eastAsia="Times New Roman" w:hAnsi="Times New Roman" w:cs="Times New Roman"/>
          <w:sz w:val="24"/>
          <w:szCs w:val="24"/>
        </w:rPr>
      </w:pPr>
      <w:r w:rsidRPr="00AB0A97">
        <w:rPr>
          <w:rFonts w:ascii="Times New Roman" w:eastAsia="Times New Roman" w:hAnsi="Times New Roman" w:cs="Times New Roman"/>
          <w:sz w:val="24"/>
          <w:szCs w:val="24"/>
        </w:rPr>
        <w:t>Prašome patikslinti, kokios projekto metu buvo sukurtos technologijos bei įrankiai ar sprendimai,</w:t>
      </w:r>
      <w:r>
        <w:rPr>
          <w:rFonts w:ascii="Times New Roman" w:eastAsia="Times New Roman" w:hAnsi="Times New Roman" w:cs="Times New Roman"/>
          <w:sz w:val="24"/>
          <w:szCs w:val="24"/>
        </w:rPr>
        <w:t xml:space="preserve"> </w:t>
      </w:r>
      <w:r w:rsidRPr="00AB0A97">
        <w:rPr>
          <w:rFonts w:ascii="Times New Roman" w:eastAsia="Times New Roman" w:hAnsi="Times New Roman" w:cs="Times New Roman"/>
          <w:sz w:val="24"/>
          <w:szCs w:val="24"/>
        </w:rPr>
        <w:t>kuriuos norite pristatyti renginio metu renginio dalyviams.</w:t>
      </w:r>
    </w:p>
    <w:p w14:paraId="573A75E1" w14:textId="77777777" w:rsidR="00035258" w:rsidRPr="00AB0A97" w:rsidRDefault="00035258" w:rsidP="00035258">
      <w:pPr>
        <w:pStyle w:val="xmsonormal"/>
        <w:ind w:firstLine="709"/>
        <w:jc w:val="both"/>
        <w:rPr>
          <w:rFonts w:ascii="Times New Roman" w:eastAsia="Times New Roman" w:hAnsi="Times New Roman" w:cs="Times New Roman"/>
          <w:sz w:val="24"/>
          <w:szCs w:val="24"/>
        </w:rPr>
      </w:pPr>
      <w:r w:rsidRPr="00AB0A97">
        <w:rPr>
          <w:rFonts w:ascii="Times New Roman" w:eastAsia="Times New Roman" w:hAnsi="Times New Roman" w:cs="Times New Roman"/>
          <w:sz w:val="24"/>
          <w:szCs w:val="24"/>
        </w:rPr>
        <w:t>Atsižvelgiant į tai, kad techninėje specifikacijoje nurodyti reikalavimai yra susiję su ekonominio vertinimo kriterijais ir nepiltai ar netiksliai aprašius siūlomas technologijas ar demonstravimo priemones, iš vertinimo komisijos gali būti skiriami mažesni balai, todėl siekiant, kad viešojo pirkimo dokumentai būtų aiškūs ir be dviprasmybių, prašome patikslinti šiuos punktus ir pateikti papildomą informaciją, kad tiekėjai galėtų parengti pasiūlymus pagal tai, ko tikisi Perkančioji organizacija.</w:t>
      </w:r>
    </w:p>
    <w:p w14:paraId="78C918B8" w14:textId="77777777" w:rsidR="00035258" w:rsidRDefault="00035258" w:rsidP="00035258">
      <w:pPr>
        <w:ind w:firstLine="709"/>
        <w:jc w:val="both"/>
        <w:rPr>
          <w:b/>
          <w:bCs/>
          <w:color w:val="000000" w:themeColor="text1"/>
          <w:sz w:val="24"/>
          <w:szCs w:val="24"/>
        </w:rPr>
      </w:pPr>
    </w:p>
    <w:p w14:paraId="55C63ED5" w14:textId="77777777" w:rsidR="00035258" w:rsidRPr="00AB0A97" w:rsidRDefault="00035258" w:rsidP="00035258">
      <w:pPr>
        <w:ind w:firstLine="709"/>
        <w:jc w:val="both"/>
        <w:rPr>
          <w:b/>
          <w:bCs/>
          <w:color w:val="000000" w:themeColor="text1"/>
          <w:sz w:val="24"/>
          <w:szCs w:val="24"/>
        </w:rPr>
      </w:pPr>
      <w:r w:rsidRPr="00AB0A97">
        <w:rPr>
          <w:b/>
          <w:bCs/>
          <w:color w:val="000000" w:themeColor="text1"/>
          <w:sz w:val="24"/>
          <w:szCs w:val="24"/>
        </w:rPr>
        <w:t>Atsakymas:</w:t>
      </w:r>
    </w:p>
    <w:p w14:paraId="3165521D" w14:textId="2AA3A8C9" w:rsidR="00035258" w:rsidRPr="00AB0A97" w:rsidRDefault="00035258" w:rsidP="00035258">
      <w:pPr>
        <w:ind w:firstLine="709"/>
        <w:jc w:val="both"/>
        <w:rPr>
          <w:color w:val="000000"/>
          <w:sz w:val="24"/>
          <w:szCs w:val="24"/>
        </w:rPr>
      </w:pPr>
      <w:r w:rsidRPr="00AB0A97">
        <w:rPr>
          <w:color w:val="000000"/>
          <w:sz w:val="24"/>
          <w:szCs w:val="24"/>
        </w:rPr>
        <w:t xml:space="preserve">Paaiškiname, kad </w:t>
      </w:r>
      <w:r w:rsidR="00F32469">
        <w:rPr>
          <w:color w:val="000000"/>
          <w:sz w:val="24"/>
          <w:szCs w:val="24"/>
        </w:rPr>
        <w:t>P</w:t>
      </w:r>
      <w:r w:rsidRPr="00AB0A97">
        <w:rPr>
          <w:color w:val="000000"/>
          <w:sz w:val="24"/>
          <w:szCs w:val="24"/>
        </w:rPr>
        <w:t xml:space="preserve">irkimo dokumentų kontekste „Projekto rezultatai“ suprantami kaip projekto įgyvendinimo metu pasiekti rodikliai ir su jais susiję rezultatai, kurie viešai skelbiami </w:t>
      </w:r>
      <w:r w:rsidR="00F32469">
        <w:rPr>
          <w:color w:val="000000"/>
          <w:sz w:val="24"/>
          <w:szCs w:val="24"/>
        </w:rPr>
        <w:t>Perkančiosios organizacijos</w:t>
      </w:r>
      <w:r w:rsidRPr="00AB0A97">
        <w:rPr>
          <w:color w:val="000000"/>
          <w:sz w:val="24"/>
          <w:szCs w:val="24"/>
        </w:rPr>
        <w:t xml:space="preserve"> svetainėje (nuoroda pateikta Techninės specifikacijos 1 punkte).</w:t>
      </w:r>
    </w:p>
    <w:p w14:paraId="170BE91F" w14:textId="77777777" w:rsidR="00035258" w:rsidRPr="00AB0A97" w:rsidRDefault="00035258" w:rsidP="00035258">
      <w:pPr>
        <w:ind w:firstLine="709"/>
        <w:jc w:val="both"/>
        <w:rPr>
          <w:color w:val="000000"/>
          <w:sz w:val="24"/>
          <w:szCs w:val="24"/>
        </w:rPr>
      </w:pPr>
      <w:r w:rsidRPr="70CEB6E8">
        <w:rPr>
          <w:color w:val="000000" w:themeColor="text1"/>
          <w:sz w:val="24"/>
          <w:szCs w:val="24"/>
        </w:rPr>
        <w:lastRenderedPageBreak/>
        <w:t>Pažymime, kad Projektas šiuo metu dar vykdomas, todėl Perkančioji organizacija šiuo metu neturi ir negali pateikti išankstinio galutinių „projekto metu sukurtų technologijų / įrankių / sprendinių“ sąrašo, skirto pristatymui renginyje.</w:t>
      </w:r>
    </w:p>
    <w:p w14:paraId="3EFB01C9" w14:textId="77777777" w:rsidR="00035258" w:rsidRPr="00AB0A97" w:rsidRDefault="00035258" w:rsidP="00035258">
      <w:pPr>
        <w:ind w:firstLine="709"/>
        <w:jc w:val="both"/>
        <w:rPr>
          <w:color w:val="000000"/>
          <w:sz w:val="24"/>
          <w:szCs w:val="24"/>
        </w:rPr>
      </w:pPr>
      <w:r w:rsidRPr="00AB0A97">
        <w:rPr>
          <w:color w:val="000000"/>
          <w:sz w:val="24"/>
          <w:szCs w:val="24"/>
        </w:rPr>
        <w:t xml:space="preserve">Techninės specifikacijos 10 punkte nustatyti reikalavimai (kūrybinių dirbtuvių elementai ir interaktyvios ekspozicijos sprendimai, įskaitant VR/AR </w:t>
      </w:r>
      <w:proofErr w:type="spellStart"/>
      <w:r w:rsidRPr="00AB0A97">
        <w:rPr>
          <w:color w:val="000000"/>
          <w:sz w:val="24"/>
          <w:szCs w:val="24"/>
        </w:rPr>
        <w:t>ar</w:t>
      </w:r>
      <w:proofErr w:type="spellEnd"/>
      <w:r w:rsidRPr="00AB0A97">
        <w:rPr>
          <w:color w:val="000000"/>
          <w:sz w:val="24"/>
          <w:szCs w:val="24"/>
        </w:rPr>
        <w:t xml:space="preserve"> kitas išmanias technologijas) turi būti suprantami kaip reikalavimas pasiūlyme pagrįstai aprašyti:</w:t>
      </w:r>
    </w:p>
    <w:p w14:paraId="3E804659" w14:textId="77777777" w:rsidR="00035258" w:rsidRPr="00AB0A97" w:rsidRDefault="00035258" w:rsidP="00035258">
      <w:pPr>
        <w:numPr>
          <w:ilvl w:val="0"/>
          <w:numId w:val="6"/>
        </w:numPr>
        <w:spacing w:before="100" w:beforeAutospacing="1"/>
        <w:ind w:left="0" w:firstLine="709"/>
        <w:jc w:val="both"/>
        <w:rPr>
          <w:color w:val="000000"/>
          <w:sz w:val="24"/>
          <w:szCs w:val="24"/>
        </w:rPr>
      </w:pPr>
      <w:r w:rsidRPr="70CEB6E8">
        <w:rPr>
          <w:color w:val="000000" w:themeColor="text1"/>
          <w:sz w:val="24"/>
          <w:szCs w:val="24"/>
        </w:rPr>
        <w:t>renginio sprendinių logiką ir metodiką (kaip bus organizuojamos kūrybinės dirbtuvės, kokie interaktyvūs elementai planuojami);</w:t>
      </w:r>
    </w:p>
    <w:p w14:paraId="5A17A55D" w14:textId="77777777" w:rsidR="00035258" w:rsidRPr="00AB0A97" w:rsidRDefault="00035258" w:rsidP="00035258">
      <w:pPr>
        <w:numPr>
          <w:ilvl w:val="0"/>
          <w:numId w:val="6"/>
        </w:numPr>
        <w:spacing w:before="100" w:beforeAutospacing="1"/>
        <w:ind w:left="0" w:firstLine="709"/>
        <w:jc w:val="both"/>
        <w:rPr>
          <w:color w:val="000000"/>
          <w:sz w:val="24"/>
          <w:szCs w:val="24"/>
        </w:rPr>
      </w:pPr>
      <w:r w:rsidRPr="00AB0A97">
        <w:rPr>
          <w:color w:val="000000"/>
          <w:sz w:val="24"/>
          <w:szCs w:val="24"/>
        </w:rPr>
        <w:t>technologinių priemonių taikymo principus (kaip VR/AR, DI, skaitmeninės demonstracijos ar kitos priemonės būtų naudojamos projekto rezultatams/temoms pristatyti);</w:t>
      </w:r>
    </w:p>
    <w:p w14:paraId="582FC33D" w14:textId="77777777" w:rsidR="00035258" w:rsidRPr="00AB0A97" w:rsidRDefault="00035258" w:rsidP="00035258">
      <w:pPr>
        <w:numPr>
          <w:ilvl w:val="0"/>
          <w:numId w:val="6"/>
        </w:numPr>
        <w:spacing w:before="100" w:beforeAutospacing="1" w:after="100" w:afterAutospacing="1"/>
        <w:ind w:left="0" w:firstLine="709"/>
        <w:jc w:val="both"/>
        <w:rPr>
          <w:color w:val="000000"/>
          <w:sz w:val="24"/>
          <w:szCs w:val="24"/>
        </w:rPr>
      </w:pPr>
      <w:r w:rsidRPr="00AB0A97">
        <w:rPr>
          <w:color w:val="000000"/>
          <w:sz w:val="24"/>
          <w:szCs w:val="24"/>
        </w:rPr>
        <w:t>dalyvio patirties scenarijų (kokius veiksmus ir veiklas dalyvis atliktų renginio metu ir kaip tai padėtų suprasti projekto rezultatus/temas).</w:t>
      </w:r>
    </w:p>
    <w:p w14:paraId="3B61EEED" w14:textId="77777777" w:rsidR="00035258" w:rsidRPr="00AB0A97" w:rsidRDefault="00035258" w:rsidP="00035258">
      <w:pPr>
        <w:ind w:firstLine="709"/>
        <w:jc w:val="both"/>
        <w:rPr>
          <w:color w:val="000000"/>
          <w:sz w:val="24"/>
          <w:szCs w:val="24"/>
        </w:rPr>
      </w:pPr>
      <w:r w:rsidRPr="00AB0A97">
        <w:rPr>
          <w:color w:val="000000"/>
          <w:sz w:val="24"/>
          <w:szCs w:val="24"/>
        </w:rPr>
        <w:t>Atkreipiame dėmesį, kad Techninės specifikacijos 13.1 punkte numatyta Renginio koncepcija yra skirta ekonominio naudingumo vertinimui ir turi atitikti Techninės specifikacijos 10 punkto tikslą. Koncepcijoje nėra reikalavimo identifikuoti ar detaliai aprašyti konkrečius „projekto metu sukurtus technologinius produktus / įrankius“, kadangi tokie galutiniai sprendiniai projekto eigoje gali kisti ir nėra iš anksto apibrėžti.</w:t>
      </w:r>
    </w:p>
    <w:p w14:paraId="3717C5ED" w14:textId="77777777" w:rsidR="00035258" w:rsidRPr="00AB0A97" w:rsidRDefault="00035258" w:rsidP="00035258">
      <w:pPr>
        <w:ind w:firstLine="709"/>
        <w:jc w:val="both"/>
        <w:rPr>
          <w:color w:val="000000"/>
          <w:sz w:val="24"/>
          <w:szCs w:val="24"/>
        </w:rPr>
      </w:pPr>
      <w:r w:rsidRPr="00AB0A97">
        <w:rPr>
          <w:color w:val="000000"/>
          <w:sz w:val="24"/>
          <w:szCs w:val="24"/>
        </w:rPr>
        <w:t>Vertinant pagal ekonominio naudingumo kriterijų, bus vertinamas pateiktos koncepcijos aiškumas, nuoseklumas, atitiktis Techninės specifikacijos 10 ir 13.1 punktams, siūlomų sprendinių logika ir pagrįstumas (įgyvendinamumas), o ne tai, ar įvardyti konkretūs projekto metu sukurti technologiniai produktai.</w:t>
      </w:r>
    </w:p>
    <w:p w14:paraId="2610E80C" w14:textId="77777777" w:rsidR="00035258" w:rsidRPr="00AB0A97" w:rsidRDefault="00035258" w:rsidP="00035258">
      <w:pPr>
        <w:ind w:firstLine="709"/>
        <w:jc w:val="both"/>
        <w:rPr>
          <w:color w:val="000000"/>
          <w:sz w:val="24"/>
          <w:szCs w:val="24"/>
        </w:rPr>
      </w:pPr>
      <w:r w:rsidRPr="00AB0A97">
        <w:rPr>
          <w:color w:val="000000"/>
          <w:sz w:val="24"/>
          <w:szCs w:val="24"/>
        </w:rPr>
        <w:t>Papildomai paaiškiname, kad koncepcijoje planuojami interaktyvūs metodai gali būti grindžiami paramos verslui kurti (darbo vietoms steigti) priemonės įgyvendinimo turiniu ir prioritetais, nustatytais teisės aktuose (kaip nurodyta pirkimo dokumentuose / taikomuose teisės aktuose). Koncepcijoje turi būti aprašyta, kaip šios temos/prioritetai būtų pristatomi kūrybinių dirbtuvių ir interaktyvios ekspozicijos metu.</w:t>
      </w:r>
    </w:p>
    <w:p w14:paraId="71A2CAC1" w14:textId="3063335D" w:rsidR="00035258" w:rsidRPr="00AB0A97" w:rsidRDefault="00035258" w:rsidP="00035258">
      <w:pPr>
        <w:ind w:firstLine="709"/>
        <w:jc w:val="both"/>
        <w:rPr>
          <w:color w:val="000000"/>
          <w:sz w:val="24"/>
          <w:szCs w:val="24"/>
        </w:rPr>
      </w:pPr>
      <w:r w:rsidRPr="00AB0A97">
        <w:rPr>
          <w:color w:val="000000"/>
          <w:sz w:val="24"/>
          <w:szCs w:val="24"/>
        </w:rPr>
        <w:t>Papildomai pridedamos nuorodos į paramos verslui kurti priemonei taikytus prioritet</w:t>
      </w:r>
      <w:r w:rsidR="00F32469">
        <w:rPr>
          <w:color w:val="000000"/>
          <w:sz w:val="24"/>
          <w:szCs w:val="24"/>
        </w:rPr>
        <w:t>us</w:t>
      </w:r>
      <w:r w:rsidRPr="00AB0A97">
        <w:rPr>
          <w:color w:val="000000"/>
          <w:sz w:val="24"/>
          <w:szCs w:val="24"/>
        </w:rPr>
        <w:t>:</w:t>
      </w:r>
    </w:p>
    <w:p w14:paraId="0D494960" w14:textId="77777777" w:rsidR="00035258" w:rsidRPr="00AB0A97" w:rsidRDefault="00035258" w:rsidP="00035258">
      <w:pPr>
        <w:numPr>
          <w:ilvl w:val="0"/>
          <w:numId w:val="7"/>
        </w:numPr>
        <w:spacing w:before="100" w:beforeAutospacing="1" w:after="100" w:afterAutospacing="1"/>
        <w:ind w:left="0" w:firstLine="709"/>
        <w:jc w:val="both"/>
        <w:rPr>
          <w:color w:val="000000"/>
          <w:sz w:val="24"/>
          <w:szCs w:val="24"/>
        </w:rPr>
      </w:pPr>
      <w:hyperlink r:id="rId10" w:history="1">
        <w:r w:rsidRPr="00AB0A97">
          <w:rPr>
            <w:color w:val="0000FF"/>
            <w:sz w:val="24"/>
            <w:szCs w:val="24"/>
            <w:u w:val="single"/>
          </w:rPr>
          <w:t xml:space="preserve">A1-278/4-238/D1-130 Dėl paramos verslui kurti (darbo vietoms steigti) teikimo 2023 metais prioritetų, kurie padeda </w:t>
        </w:r>
        <w:proofErr w:type="spellStart"/>
        <w:r w:rsidRPr="00AB0A97">
          <w:rPr>
            <w:color w:val="0000FF"/>
            <w:sz w:val="24"/>
            <w:szCs w:val="24"/>
            <w:u w:val="single"/>
          </w:rPr>
          <w:t>įg</w:t>
        </w:r>
        <w:proofErr w:type="spellEnd"/>
        <w:r w:rsidRPr="00AB0A97">
          <w:rPr>
            <w:color w:val="0000FF"/>
            <w:sz w:val="24"/>
            <w:szCs w:val="24"/>
            <w:u w:val="single"/>
          </w:rPr>
          <w:t>...</w:t>
        </w:r>
      </w:hyperlink>
      <w:r w:rsidRPr="00AB0A97">
        <w:rPr>
          <w:color w:val="000000"/>
          <w:sz w:val="24"/>
          <w:szCs w:val="24"/>
        </w:rPr>
        <w:t>;</w:t>
      </w:r>
    </w:p>
    <w:p w14:paraId="4F9093B5" w14:textId="77777777" w:rsidR="00035258" w:rsidRPr="00AB0A97" w:rsidRDefault="00035258" w:rsidP="00035258">
      <w:pPr>
        <w:numPr>
          <w:ilvl w:val="0"/>
          <w:numId w:val="7"/>
        </w:numPr>
        <w:spacing w:before="100" w:beforeAutospacing="1" w:after="100" w:afterAutospacing="1"/>
        <w:ind w:left="0" w:firstLine="709"/>
        <w:jc w:val="both"/>
        <w:rPr>
          <w:color w:val="000000"/>
          <w:sz w:val="24"/>
          <w:szCs w:val="24"/>
        </w:rPr>
      </w:pPr>
      <w:r w:rsidRPr="00AB0A97">
        <w:rPr>
          <w:color w:val="000000"/>
          <w:sz w:val="24"/>
          <w:szCs w:val="24"/>
        </w:rPr>
        <w:t> </w:t>
      </w:r>
      <w:hyperlink r:id="rId11" w:history="1">
        <w:r w:rsidRPr="00AB0A97">
          <w:rPr>
            <w:color w:val="0000FF"/>
            <w:sz w:val="24"/>
            <w:szCs w:val="24"/>
            <w:u w:val="single"/>
          </w:rPr>
          <w:t>A1-252/4-184/D1-108 Dėl paramos verslui kurti (darbo vietoms steigti) teikimo 2024 metais prioritetų nustatymo</w:t>
        </w:r>
      </w:hyperlink>
      <w:r w:rsidRPr="00AB0A97">
        <w:rPr>
          <w:color w:val="000000"/>
          <w:sz w:val="24"/>
          <w:szCs w:val="24"/>
        </w:rPr>
        <w:t>;</w:t>
      </w:r>
    </w:p>
    <w:p w14:paraId="787F6A8E" w14:textId="77777777" w:rsidR="00035258" w:rsidRPr="00DF130F" w:rsidRDefault="00035258" w:rsidP="00035258">
      <w:pPr>
        <w:numPr>
          <w:ilvl w:val="0"/>
          <w:numId w:val="7"/>
        </w:numPr>
        <w:spacing w:before="100" w:beforeAutospacing="1" w:after="100" w:afterAutospacing="1"/>
        <w:ind w:left="0" w:firstLine="709"/>
        <w:jc w:val="both"/>
        <w:rPr>
          <w:color w:val="000000"/>
          <w:sz w:val="24"/>
          <w:szCs w:val="24"/>
        </w:rPr>
      </w:pPr>
      <w:r w:rsidRPr="70CEB6E8">
        <w:rPr>
          <w:color w:val="000000" w:themeColor="text1"/>
          <w:sz w:val="24"/>
          <w:szCs w:val="24"/>
        </w:rPr>
        <w:t> </w:t>
      </w:r>
      <w:hyperlink r:id="rId12">
        <w:r w:rsidRPr="70CEB6E8">
          <w:rPr>
            <w:color w:val="0000FF"/>
            <w:sz w:val="24"/>
            <w:szCs w:val="24"/>
            <w:u w:val="single"/>
          </w:rPr>
          <w:t>A1-835/4-642/D1-426 Dėl paramos verslui kurti (darbo vietoms steigti) teikimo 2025 metais prioritetų nustatymo</w:t>
        </w:r>
      </w:hyperlink>
      <w:r w:rsidRPr="70CEB6E8">
        <w:rPr>
          <w:color w:val="000000" w:themeColor="text1"/>
          <w:sz w:val="24"/>
          <w:szCs w:val="24"/>
        </w:rPr>
        <w:t>.</w:t>
      </w:r>
    </w:p>
    <w:p w14:paraId="4B27C7B1" w14:textId="5FACF257" w:rsidR="00035258" w:rsidRPr="0048700B" w:rsidRDefault="00035258" w:rsidP="00035258">
      <w:pPr>
        <w:tabs>
          <w:tab w:val="left" w:pos="284"/>
        </w:tabs>
        <w:ind w:firstLine="709"/>
        <w:jc w:val="both"/>
        <w:rPr>
          <w:color w:val="000000"/>
          <w:sz w:val="24"/>
          <w:szCs w:val="24"/>
        </w:rPr>
      </w:pPr>
      <w:r w:rsidRPr="0048700B">
        <w:rPr>
          <w:color w:val="000000"/>
          <w:sz w:val="24"/>
          <w:szCs w:val="24"/>
        </w:rPr>
        <w:t xml:space="preserve">Atsižvelgiant į tai, kad </w:t>
      </w:r>
      <w:r>
        <w:rPr>
          <w:color w:val="000000"/>
          <w:sz w:val="24"/>
          <w:szCs w:val="24"/>
        </w:rPr>
        <w:t>Perkančioji organizacija</w:t>
      </w:r>
      <w:r w:rsidRPr="0048700B">
        <w:rPr>
          <w:color w:val="000000"/>
          <w:sz w:val="24"/>
          <w:szCs w:val="24"/>
        </w:rPr>
        <w:t xml:space="preserve"> paaiškina Pirkimo sąlygas,</w:t>
      </w:r>
      <w:r>
        <w:rPr>
          <w:color w:val="000000"/>
          <w:sz w:val="24"/>
          <w:szCs w:val="24"/>
        </w:rPr>
        <w:t xml:space="preserve"> </w:t>
      </w:r>
      <w:r w:rsidRPr="0048700B">
        <w:rPr>
          <w:color w:val="000000"/>
          <w:sz w:val="24"/>
          <w:szCs w:val="24"/>
        </w:rPr>
        <w:t xml:space="preserve">vadovaujantis Bendrųjų pirkimo sąlygų 13.2.1 punktu, nukeliamas </w:t>
      </w:r>
      <w:r>
        <w:rPr>
          <w:color w:val="000000"/>
          <w:sz w:val="24"/>
          <w:szCs w:val="24"/>
        </w:rPr>
        <w:t>p</w:t>
      </w:r>
      <w:r w:rsidRPr="0048700B">
        <w:rPr>
          <w:color w:val="000000"/>
          <w:sz w:val="24"/>
          <w:szCs w:val="24"/>
        </w:rPr>
        <w:t xml:space="preserve">asiūlymų pateikimo terminas. Informacija apie patikslintą </w:t>
      </w:r>
      <w:r>
        <w:rPr>
          <w:color w:val="000000"/>
          <w:sz w:val="24"/>
          <w:szCs w:val="24"/>
        </w:rPr>
        <w:t>p</w:t>
      </w:r>
      <w:r w:rsidRPr="0048700B">
        <w:rPr>
          <w:color w:val="000000"/>
          <w:sz w:val="24"/>
          <w:szCs w:val="24"/>
        </w:rPr>
        <w:t>asiūlymų pateikimo terminą pateikiama CVP IS</w:t>
      </w:r>
      <w:r>
        <w:rPr>
          <w:color w:val="000000"/>
          <w:sz w:val="24"/>
          <w:szCs w:val="24"/>
        </w:rPr>
        <w:t>.</w:t>
      </w:r>
    </w:p>
    <w:p w14:paraId="0AF3725F" w14:textId="77777777" w:rsidR="006733F0" w:rsidRPr="00FC5824" w:rsidRDefault="006733F0" w:rsidP="00035258">
      <w:pPr>
        <w:ind w:firstLine="709"/>
        <w:jc w:val="both"/>
        <w:rPr>
          <w:b/>
          <w:bCs/>
          <w:color w:val="000000"/>
          <w:sz w:val="24"/>
          <w:szCs w:val="24"/>
        </w:rPr>
      </w:pPr>
    </w:p>
    <w:p w14:paraId="3BA336B6" w14:textId="77777777" w:rsidR="00CD1286" w:rsidRPr="00663E03" w:rsidRDefault="00CD1286" w:rsidP="00822DE6">
      <w:pPr>
        <w:spacing w:line="276" w:lineRule="auto"/>
        <w:ind w:firstLine="720"/>
        <w:jc w:val="both"/>
        <w:rPr>
          <w:bCs/>
          <w:sz w:val="24"/>
          <w:szCs w:val="24"/>
          <w:lang w:eastAsia="en-US"/>
        </w:rPr>
      </w:pPr>
    </w:p>
    <w:p w14:paraId="3BA336B7" w14:textId="77777777" w:rsidR="00023053" w:rsidRPr="00663E03" w:rsidRDefault="00023053" w:rsidP="00822DE6">
      <w:pPr>
        <w:jc w:val="both"/>
        <w:rPr>
          <w:sz w:val="24"/>
          <w:szCs w:val="24"/>
        </w:rPr>
      </w:pPr>
      <w:r w:rsidRPr="00663E03">
        <w:rPr>
          <w:sz w:val="24"/>
          <w:szCs w:val="24"/>
        </w:rPr>
        <w:t>Pagarbiai,</w:t>
      </w:r>
    </w:p>
    <w:p w14:paraId="3BA336B8" w14:textId="7396F619" w:rsidR="00023053" w:rsidRPr="00663E03" w:rsidRDefault="00663E03" w:rsidP="00822DE6">
      <w:pPr>
        <w:jc w:val="both"/>
        <w:rPr>
          <w:sz w:val="24"/>
          <w:szCs w:val="24"/>
        </w:rPr>
      </w:pPr>
      <w:r w:rsidRPr="00663E03">
        <w:rPr>
          <w:sz w:val="24"/>
          <w:szCs w:val="24"/>
        </w:rPr>
        <w:t>Vitalija Jevaišaitė</w:t>
      </w:r>
    </w:p>
    <w:p w14:paraId="3BA336B9" w14:textId="7BB2BD0D" w:rsidR="00023053" w:rsidRPr="00663E03" w:rsidRDefault="0017700C" w:rsidP="00822DE6">
      <w:pPr>
        <w:jc w:val="both"/>
        <w:rPr>
          <w:sz w:val="24"/>
          <w:szCs w:val="24"/>
        </w:rPr>
      </w:pPr>
      <w:r w:rsidRPr="00663E03">
        <w:rPr>
          <w:sz w:val="24"/>
          <w:szCs w:val="24"/>
        </w:rPr>
        <w:t xml:space="preserve">Viešųjų pirkimų skyriaus </w:t>
      </w:r>
      <w:r w:rsidR="00663E03" w:rsidRPr="00663E03">
        <w:rPr>
          <w:sz w:val="24"/>
          <w:szCs w:val="24"/>
        </w:rPr>
        <w:t>vyr. specialistė</w:t>
      </w:r>
    </w:p>
    <w:p w14:paraId="3BA336BA" w14:textId="692BC1B7" w:rsidR="00023053" w:rsidRPr="00663E03" w:rsidRDefault="00023053" w:rsidP="00822DE6">
      <w:pPr>
        <w:keepNext/>
        <w:jc w:val="both"/>
        <w:outlineLvl w:val="3"/>
        <w:rPr>
          <w:sz w:val="24"/>
          <w:szCs w:val="24"/>
        </w:rPr>
      </w:pPr>
      <w:r w:rsidRPr="00663E03">
        <w:rPr>
          <w:sz w:val="24"/>
          <w:szCs w:val="24"/>
        </w:rPr>
        <w:t xml:space="preserve">Tel. </w:t>
      </w:r>
      <w:r w:rsidR="00663E03" w:rsidRPr="00663E03">
        <w:rPr>
          <w:sz w:val="24"/>
          <w:szCs w:val="24"/>
        </w:rPr>
        <w:t>+370 700 78326</w:t>
      </w:r>
      <w:r w:rsidRPr="00663E03">
        <w:rPr>
          <w:sz w:val="24"/>
          <w:szCs w:val="24"/>
        </w:rPr>
        <w:t xml:space="preserve">, el. p. </w:t>
      </w:r>
      <w:proofErr w:type="spellStart"/>
      <w:r w:rsidR="00663E03" w:rsidRPr="00663E03">
        <w:rPr>
          <w:sz w:val="24"/>
          <w:szCs w:val="24"/>
        </w:rPr>
        <w:t>vitalija.jevaisaite</w:t>
      </w:r>
      <w:proofErr w:type="spellEnd"/>
      <w:r w:rsidR="00663E03" w:rsidRPr="00663E03">
        <w:rPr>
          <w:sz w:val="24"/>
          <w:szCs w:val="24"/>
          <w:lang w:val="en-US"/>
        </w:rPr>
        <w:t>@</w:t>
      </w:r>
      <w:proofErr w:type="spellStart"/>
      <w:r w:rsidR="00663E03" w:rsidRPr="00663E03">
        <w:rPr>
          <w:sz w:val="24"/>
          <w:szCs w:val="24"/>
        </w:rPr>
        <w:t>uzt.lt</w:t>
      </w:r>
      <w:proofErr w:type="spellEnd"/>
    </w:p>
    <w:sectPr w:rsidR="00023053" w:rsidRPr="00663E03" w:rsidSect="00046585">
      <w:headerReference w:type="default" r:id="rId13"/>
      <w:pgSz w:w="11906" w:h="16838"/>
      <w:pgMar w:top="153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443BD" w14:textId="77777777" w:rsidR="000A4C55" w:rsidRDefault="000A4C55" w:rsidP="00E64C60">
      <w:r>
        <w:separator/>
      </w:r>
    </w:p>
  </w:endnote>
  <w:endnote w:type="continuationSeparator" w:id="0">
    <w:p w14:paraId="6D55A29B" w14:textId="77777777" w:rsidR="000A4C55" w:rsidRDefault="000A4C55" w:rsidP="00E64C60">
      <w:r>
        <w:continuationSeparator/>
      </w:r>
    </w:p>
  </w:endnote>
  <w:endnote w:type="continuationNotice" w:id="1">
    <w:p w14:paraId="65F48FD6" w14:textId="77777777" w:rsidR="00C033E0" w:rsidRDefault="00C03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24B76" w14:textId="77777777" w:rsidR="000A4C55" w:rsidRDefault="000A4C55" w:rsidP="00E64C60">
      <w:r>
        <w:separator/>
      </w:r>
    </w:p>
  </w:footnote>
  <w:footnote w:type="continuationSeparator" w:id="0">
    <w:p w14:paraId="0ACEAD7C" w14:textId="77777777" w:rsidR="000A4C55" w:rsidRDefault="000A4C55" w:rsidP="00E64C60">
      <w:r>
        <w:continuationSeparator/>
      </w:r>
    </w:p>
  </w:footnote>
  <w:footnote w:type="continuationNotice" w:id="1">
    <w:p w14:paraId="6C666F2C" w14:textId="77777777" w:rsidR="00C033E0" w:rsidRDefault="00C033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36BF" w14:textId="77777777" w:rsidR="00E64C60" w:rsidRPr="00E64C60" w:rsidRDefault="00E64C60" w:rsidP="00E64C60">
    <w:pPr>
      <w:pStyle w:val="Antrats"/>
      <w:jc w:val="right"/>
      <w:rPr>
        <w:sz w:val="24"/>
        <w:szCs w:val="24"/>
      </w:rPr>
    </w:pPr>
    <w:r w:rsidRPr="00E64C60">
      <w:rPr>
        <w:sz w:val="24"/>
        <w:szCs w:val="24"/>
      </w:rPr>
      <w:t>Protokolo išrašas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4B2"/>
    <w:multiLevelType w:val="multilevel"/>
    <w:tmpl w:val="3612A6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9480536"/>
    <w:multiLevelType w:val="hybridMultilevel"/>
    <w:tmpl w:val="0898E8B2"/>
    <w:lvl w:ilvl="0" w:tplc="09C08878">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4B372A7"/>
    <w:multiLevelType w:val="hybridMultilevel"/>
    <w:tmpl w:val="406612A2"/>
    <w:lvl w:ilvl="0" w:tplc="511AA9E8">
      <w:start w:val="1"/>
      <w:numFmt w:val="decimal"/>
      <w:lvlText w:val="%1."/>
      <w:lvlJc w:val="left"/>
      <w:pPr>
        <w:ind w:left="720" w:hanging="360"/>
      </w:pPr>
      <w:rPr>
        <w:rFonts w:ascii="Times New Roman" w:hAnsi="Times New Roman" w:cs="Times New Roman" w:hint="default"/>
        <w:b/>
        <w:bCs/>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018625F"/>
    <w:multiLevelType w:val="hybridMultilevel"/>
    <w:tmpl w:val="EC66C42E"/>
    <w:lvl w:ilvl="0" w:tplc="5148A288">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F882970"/>
    <w:multiLevelType w:val="hybridMultilevel"/>
    <w:tmpl w:val="0660065E"/>
    <w:lvl w:ilvl="0" w:tplc="2ABCDDD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71A17991"/>
    <w:multiLevelType w:val="multilevel"/>
    <w:tmpl w:val="026E71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1D5231"/>
    <w:multiLevelType w:val="multilevel"/>
    <w:tmpl w:val="DD30079E"/>
    <w:lvl w:ilvl="0">
      <w:start w:val="1"/>
      <w:numFmt w:val="decimal"/>
      <w:lvlText w:val="%1."/>
      <w:lvlJc w:val="left"/>
      <w:pPr>
        <w:ind w:left="1200" w:hanging="360"/>
      </w:pPr>
      <w:rPr>
        <w:b/>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16cid:durableId="786507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284341">
    <w:abstractNumId w:val="6"/>
  </w:num>
  <w:num w:numId="3" w16cid:durableId="1336110822">
    <w:abstractNumId w:val="2"/>
  </w:num>
  <w:num w:numId="4" w16cid:durableId="2039506820">
    <w:abstractNumId w:val="1"/>
  </w:num>
  <w:num w:numId="5" w16cid:durableId="1047606896">
    <w:abstractNumId w:val="3"/>
  </w:num>
  <w:num w:numId="6" w16cid:durableId="2041470704">
    <w:abstractNumId w:val="5"/>
  </w:num>
  <w:num w:numId="7" w16cid:durableId="363792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E8"/>
    <w:rsid w:val="00023053"/>
    <w:rsid w:val="00035258"/>
    <w:rsid w:val="00046585"/>
    <w:rsid w:val="000870F3"/>
    <w:rsid w:val="000A4C55"/>
    <w:rsid w:val="000E602E"/>
    <w:rsid w:val="00113EC3"/>
    <w:rsid w:val="00164598"/>
    <w:rsid w:val="0017700C"/>
    <w:rsid w:val="00185949"/>
    <w:rsid w:val="001911CB"/>
    <w:rsid w:val="001A14E8"/>
    <w:rsid w:val="001A5000"/>
    <w:rsid w:val="001D07AF"/>
    <w:rsid w:val="00203BE5"/>
    <w:rsid w:val="002557E6"/>
    <w:rsid w:val="00315446"/>
    <w:rsid w:val="003A7543"/>
    <w:rsid w:val="0042760B"/>
    <w:rsid w:val="004623A0"/>
    <w:rsid w:val="00462E4B"/>
    <w:rsid w:val="00491403"/>
    <w:rsid w:val="004B0340"/>
    <w:rsid w:val="004B7771"/>
    <w:rsid w:val="005002E8"/>
    <w:rsid w:val="005037D3"/>
    <w:rsid w:val="00590BA5"/>
    <w:rsid w:val="005C323F"/>
    <w:rsid w:val="005D628C"/>
    <w:rsid w:val="00621EA3"/>
    <w:rsid w:val="00663E03"/>
    <w:rsid w:val="006733F0"/>
    <w:rsid w:val="006860ED"/>
    <w:rsid w:val="006F5929"/>
    <w:rsid w:val="0072693C"/>
    <w:rsid w:val="007B0709"/>
    <w:rsid w:val="007F332E"/>
    <w:rsid w:val="00822DE6"/>
    <w:rsid w:val="00823E19"/>
    <w:rsid w:val="00835E3B"/>
    <w:rsid w:val="008624B5"/>
    <w:rsid w:val="0086584F"/>
    <w:rsid w:val="008B6C38"/>
    <w:rsid w:val="00935500"/>
    <w:rsid w:val="00A23FD8"/>
    <w:rsid w:val="00A83B7E"/>
    <w:rsid w:val="00AB1E3F"/>
    <w:rsid w:val="00B13D78"/>
    <w:rsid w:val="00B17E74"/>
    <w:rsid w:val="00B30730"/>
    <w:rsid w:val="00B8594E"/>
    <w:rsid w:val="00BB0332"/>
    <w:rsid w:val="00BB400F"/>
    <w:rsid w:val="00BC5B1B"/>
    <w:rsid w:val="00C033E0"/>
    <w:rsid w:val="00C44E6B"/>
    <w:rsid w:val="00CA50F1"/>
    <w:rsid w:val="00CB3386"/>
    <w:rsid w:val="00CC330C"/>
    <w:rsid w:val="00CD1286"/>
    <w:rsid w:val="00D36DD4"/>
    <w:rsid w:val="00D60CD9"/>
    <w:rsid w:val="00DA661C"/>
    <w:rsid w:val="00DC2665"/>
    <w:rsid w:val="00DD6277"/>
    <w:rsid w:val="00DF57C4"/>
    <w:rsid w:val="00E31232"/>
    <w:rsid w:val="00E518B1"/>
    <w:rsid w:val="00E64C60"/>
    <w:rsid w:val="00EF61EE"/>
    <w:rsid w:val="00F32469"/>
    <w:rsid w:val="00F87270"/>
    <w:rsid w:val="00FF17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33685"/>
  <w15:chartTrackingRefBased/>
  <w15:docId w15:val="{23CC6A0C-3F61-4C27-BE03-A2C35A9B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14E8"/>
    <w:pPr>
      <w:spacing w:after="0" w:line="240" w:lineRule="auto"/>
    </w:pPr>
    <w:rPr>
      <w:rFonts w:ascii="Times New Roman" w:eastAsia="Times New Roman" w:hAnsi="Times New Roman" w:cs="Times New Roman"/>
      <w:sz w:val="20"/>
      <w:szCs w:val="20"/>
      <w:lang w:eastAsia="lt-LT"/>
    </w:rPr>
  </w:style>
  <w:style w:type="paragraph" w:styleId="Antrat2">
    <w:name w:val="heading 2"/>
    <w:basedOn w:val="prastasis"/>
    <w:next w:val="prastasis"/>
    <w:link w:val="Antrat2Diagrama"/>
    <w:uiPriority w:val="9"/>
    <w:semiHidden/>
    <w:unhideWhenUsed/>
    <w:qFormat/>
    <w:rsid w:val="001A14E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basedOn w:val="prastasis"/>
    <w:next w:val="prastasis"/>
    <w:link w:val="Antrat4Diagrama"/>
    <w:uiPriority w:val="9"/>
    <w:semiHidden/>
    <w:unhideWhenUsed/>
    <w:qFormat/>
    <w:rsid w:val="001A14E8"/>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semiHidden/>
    <w:unhideWhenUsed/>
    <w:qFormat/>
    <w:rsid w:val="001A14E8"/>
    <w:pPr>
      <w:keepNext/>
      <w:jc w:val="center"/>
      <w:outlineLvl w:val="4"/>
    </w:pPr>
    <w:rPr>
      <w:caps/>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1A14E8"/>
    <w:rPr>
      <w:rFonts w:ascii="Times New Roman" w:eastAsia="Times New Roman" w:hAnsi="Times New Roman" w:cs="Times New Roman"/>
      <w:caps/>
      <w:sz w:val="24"/>
      <w:szCs w:val="20"/>
      <w:lang w:eastAsia="lt-LT"/>
    </w:rPr>
  </w:style>
  <w:style w:type="character" w:styleId="Hipersaitas">
    <w:name w:val="Hyperlink"/>
    <w:uiPriority w:val="99"/>
    <w:unhideWhenUsed/>
    <w:rsid w:val="001A14E8"/>
    <w:rPr>
      <w:color w:val="0000FF"/>
      <w:u w:val="single"/>
    </w:rPr>
  </w:style>
  <w:style w:type="character" w:customStyle="1" w:styleId="SraopastraipaDiagrama">
    <w:name w:val="Sąrašo pastraipa Diagrama"/>
    <w:aliases w:val="Bullet EY Diagrama,Numbering Diagrama,List Paragraph21 Diagrama,List Paragraph Red Diagrama,List Paragraph1 Diagrama,Red list paragraph Diagrama,Buletai Diagrama,lp1 Diagrama,Bullet 1 Diagrama,Use Case List Paragraph Diagrama"/>
    <w:link w:val="Sraopastraipa"/>
    <w:uiPriority w:val="34"/>
    <w:qFormat/>
    <w:locked/>
    <w:rsid w:val="001A14E8"/>
    <w:rPr>
      <w:rFonts w:ascii="Times New Roman" w:eastAsia="Times New Roman" w:hAnsi="Times New Roman" w:cs="Times New Roman"/>
      <w:sz w:val="20"/>
      <w:szCs w:val="20"/>
      <w:lang w:eastAsia="lt-LT"/>
    </w:rPr>
  </w:style>
  <w:style w:type="paragraph" w:styleId="Sraopastraipa">
    <w:name w:val="List Paragraph"/>
    <w:aliases w:val="Bullet EY,Numbering,List Paragraph21,List Paragraph Red,List Paragraph1,Red list paragraph,Buletai,lp1,Bullet 1,Use Case List Paragraph,ERP-List Paragraph,List Paragraph11,List Paragraph111,Paragraph,Sąraљo pastraipa.Bullet,Lentele"/>
    <w:basedOn w:val="prastasis"/>
    <w:link w:val="SraopastraipaDiagrama"/>
    <w:uiPriority w:val="34"/>
    <w:qFormat/>
    <w:rsid w:val="001A14E8"/>
    <w:pPr>
      <w:ind w:left="720"/>
      <w:contextualSpacing/>
    </w:pPr>
  </w:style>
  <w:style w:type="character" w:customStyle="1" w:styleId="Antrat2Diagrama">
    <w:name w:val="Antraštė 2 Diagrama"/>
    <w:basedOn w:val="Numatytasispastraiposriftas"/>
    <w:link w:val="Antrat2"/>
    <w:uiPriority w:val="9"/>
    <w:semiHidden/>
    <w:rsid w:val="001A14E8"/>
    <w:rPr>
      <w:rFonts w:asciiTheme="majorHAnsi" w:eastAsiaTheme="majorEastAsia" w:hAnsiTheme="majorHAnsi" w:cstheme="majorBidi"/>
      <w:color w:val="2F5496" w:themeColor="accent1" w:themeShade="BF"/>
      <w:sz w:val="26"/>
      <w:szCs w:val="26"/>
      <w:lang w:eastAsia="lt-LT"/>
    </w:rPr>
  </w:style>
  <w:style w:type="character" w:customStyle="1" w:styleId="Antrat4Diagrama">
    <w:name w:val="Antraštė 4 Diagrama"/>
    <w:basedOn w:val="Numatytasispastraiposriftas"/>
    <w:link w:val="Antrat4"/>
    <w:uiPriority w:val="9"/>
    <w:semiHidden/>
    <w:rsid w:val="001A14E8"/>
    <w:rPr>
      <w:rFonts w:asciiTheme="majorHAnsi" w:eastAsiaTheme="majorEastAsia" w:hAnsiTheme="majorHAnsi" w:cstheme="majorBidi"/>
      <w:i/>
      <w:iCs/>
      <w:color w:val="2F5496" w:themeColor="accent1" w:themeShade="BF"/>
      <w:sz w:val="20"/>
      <w:szCs w:val="20"/>
      <w:lang w:eastAsia="lt-LT"/>
    </w:rPr>
  </w:style>
  <w:style w:type="paragraph" w:styleId="Antrats">
    <w:name w:val="header"/>
    <w:basedOn w:val="prastasis"/>
    <w:link w:val="AntratsDiagrama"/>
    <w:rsid w:val="001A14E8"/>
    <w:pPr>
      <w:tabs>
        <w:tab w:val="center" w:pos="4320"/>
        <w:tab w:val="right" w:pos="8640"/>
      </w:tabs>
    </w:pPr>
  </w:style>
  <w:style w:type="character" w:customStyle="1" w:styleId="AntratsDiagrama">
    <w:name w:val="Antraštės Diagrama"/>
    <w:basedOn w:val="Numatytasispastraiposriftas"/>
    <w:link w:val="Antrats"/>
    <w:rsid w:val="001A14E8"/>
    <w:rPr>
      <w:rFonts w:ascii="Times New Roman" w:eastAsia="Times New Roman" w:hAnsi="Times New Roman" w:cs="Times New Roman"/>
      <w:sz w:val="20"/>
      <w:szCs w:val="20"/>
      <w:lang w:eastAsia="lt-LT"/>
    </w:rPr>
  </w:style>
  <w:style w:type="paragraph" w:styleId="prastasiniatinklio">
    <w:name w:val="Normal (Web)"/>
    <w:basedOn w:val="prastasis"/>
    <w:uiPriority w:val="99"/>
    <w:unhideWhenUsed/>
    <w:rsid w:val="001A14E8"/>
    <w:pPr>
      <w:spacing w:after="150"/>
    </w:pPr>
    <w:rPr>
      <w:sz w:val="24"/>
      <w:szCs w:val="24"/>
    </w:rPr>
  </w:style>
  <w:style w:type="character" w:customStyle="1" w:styleId="Neapdorotaspaminjimas1">
    <w:name w:val="Neapdorotas paminėjimas1"/>
    <w:basedOn w:val="Numatytasispastraiposriftas"/>
    <w:uiPriority w:val="99"/>
    <w:semiHidden/>
    <w:unhideWhenUsed/>
    <w:rsid w:val="008B6C38"/>
    <w:rPr>
      <w:color w:val="605E5C"/>
      <w:shd w:val="clear" w:color="auto" w:fill="E1DFDD"/>
    </w:rPr>
  </w:style>
  <w:style w:type="character" w:customStyle="1" w:styleId="tblhead11">
    <w:name w:val="tblhead11"/>
    <w:basedOn w:val="Numatytasispastraiposriftas"/>
    <w:rsid w:val="005C323F"/>
    <w:rPr>
      <w:rFonts w:ascii="inherit" w:hAnsi="inherit" w:hint="default"/>
      <w:b/>
      <w:bCs/>
      <w:sz w:val="26"/>
      <w:szCs w:val="26"/>
    </w:rPr>
  </w:style>
  <w:style w:type="character" w:customStyle="1" w:styleId="baec5a81-e4d6-4674-97f3-e9220f0136c1">
    <w:name w:val="baec5a81-e4d6-4674-97f3-e9220f0136c1"/>
    <w:basedOn w:val="Numatytasispastraiposriftas"/>
    <w:rsid w:val="005C323F"/>
  </w:style>
  <w:style w:type="paragraph" w:customStyle="1" w:styleId="paragraph">
    <w:name w:val="paragraph"/>
    <w:basedOn w:val="prastasis"/>
    <w:rsid w:val="00AB1E3F"/>
    <w:pPr>
      <w:suppressAutoHyphens/>
      <w:autoSpaceDN w:val="0"/>
      <w:spacing w:before="100" w:after="100"/>
      <w:textAlignment w:val="baseline"/>
    </w:pPr>
    <w:rPr>
      <w:sz w:val="24"/>
      <w:szCs w:val="24"/>
    </w:rPr>
  </w:style>
  <w:style w:type="character" w:customStyle="1" w:styleId="normaltextrun">
    <w:name w:val="normaltextrun"/>
    <w:basedOn w:val="Numatytasispastraiposriftas"/>
    <w:rsid w:val="00AB1E3F"/>
  </w:style>
  <w:style w:type="character" w:customStyle="1" w:styleId="eop">
    <w:name w:val="eop"/>
    <w:basedOn w:val="Numatytasispastraiposriftas"/>
    <w:rsid w:val="00AB1E3F"/>
  </w:style>
  <w:style w:type="character" w:styleId="Grietas">
    <w:name w:val="Strong"/>
    <w:basedOn w:val="Numatytasispastraiposriftas"/>
    <w:uiPriority w:val="22"/>
    <w:qFormat/>
    <w:rsid w:val="00E64C60"/>
    <w:rPr>
      <w:b/>
      <w:bCs/>
    </w:rPr>
  </w:style>
  <w:style w:type="paragraph" w:styleId="Porat">
    <w:name w:val="footer"/>
    <w:basedOn w:val="prastasis"/>
    <w:link w:val="PoratDiagrama"/>
    <w:uiPriority w:val="99"/>
    <w:unhideWhenUsed/>
    <w:rsid w:val="00E64C60"/>
    <w:pPr>
      <w:tabs>
        <w:tab w:val="center" w:pos="4819"/>
        <w:tab w:val="right" w:pos="9638"/>
      </w:tabs>
    </w:pPr>
  </w:style>
  <w:style w:type="character" w:customStyle="1" w:styleId="PoratDiagrama">
    <w:name w:val="Poraštė Diagrama"/>
    <w:basedOn w:val="Numatytasispastraiposriftas"/>
    <w:link w:val="Porat"/>
    <w:uiPriority w:val="99"/>
    <w:rsid w:val="00E64C60"/>
    <w:rPr>
      <w:rFonts w:ascii="Times New Roman" w:eastAsia="Times New Roman" w:hAnsi="Times New Roman" w:cs="Times New Roman"/>
      <w:sz w:val="20"/>
      <w:szCs w:val="20"/>
      <w:lang w:eastAsia="lt-LT"/>
    </w:rPr>
  </w:style>
  <w:style w:type="paragraph" w:customStyle="1" w:styleId="xmsonormal">
    <w:name w:val="x_msonormal"/>
    <w:basedOn w:val="prastasis"/>
    <w:rsid w:val="00035258"/>
    <w:rPr>
      <w:rFonts w:ascii="Aptos" w:eastAsiaTheme="minorHAnsi" w:hAnsi="Aptos" w:cs="Apto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477258">
      <w:bodyDiv w:val="1"/>
      <w:marLeft w:val="0"/>
      <w:marRight w:val="0"/>
      <w:marTop w:val="0"/>
      <w:marBottom w:val="0"/>
      <w:divBdr>
        <w:top w:val="none" w:sz="0" w:space="0" w:color="auto"/>
        <w:left w:val="none" w:sz="0" w:space="0" w:color="auto"/>
        <w:bottom w:val="none" w:sz="0" w:space="0" w:color="auto"/>
        <w:right w:val="none" w:sz="0" w:space="0" w:color="auto"/>
      </w:divBdr>
    </w:div>
    <w:div w:id="140865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4.safelinks.protection.outlook.com/?url=https%3A%2F%2Fwww.e-tar.lt%2Fportal%2Flt%2FlegalAct%2F4cbbe000b25511ef88c08519262548c4&amp;data=05%7C02%7CVitalija.Jevaisaite%40uzt.lt%7C764d89390e844c353fd708de4df163ca%7Cba0f5621abfd470fadc9da21d4cc1825%7C1%7C0%7C639033896320715475%7CUnknown%7CTWFpbGZsb3d8eyJFbXB0eU1hcGkiOnRydWUsIlYiOiIwLjAuMDAwMCIsIlAiOiJXaW4zMiIsIkFOIjoiTWFpbCIsIldUIjoyfQ%3D%3D%7C0%7C%7C%7C&amp;sdata=GwrIGBTlOwaWSaCsN6%2BOyfuFhSkPBTIXxAWDKiGc%2BR8%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4.safelinks.protection.outlook.com/?url=https%3A%2F%2Fwww.e-tar.lt%2Fportal%2Ftt%2FlegalAct%2Fefa79920f19a11ee9f5b8ffa077f9188&amp;data=05%7C02%7CVitalija.Jevaisaite%40uzt.lt%7C764d89390e844c353fd708de4df163ca%7Cba0f5621abfd470fadc9da21d4cc1825%7C1%7C0%7C639033896320682751%7CUnknown%7CTWFpbGZsb3d8eyJFbXB0eU1hcGkiOnRydWUsIlYiOiIwLjAuMDAwMCIsIlAiOiJXaW4zMiIsIkFOIjoiTWFpbCIsIldUIjoyfQ%3D%3D%7C0%7C%7C%7C&amp;sdata=B7Prnt57EdctMVqkQr1DJhS32cQ61weKtjAl9rprcKQ%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r04.safelinks.protection.outlook.com/?url=https%3A%2F%2Fe-tar.lt%2Fportal%2Flt%2FlegalAct%2F29643bb0e8db11ed9978886e85107ab2&amp;data=05%7C02%7CVitalija.Jevaisaite%40uzt.lt%7C764d89390e844c353fd708de4df163ca%7Cba0f5621abfd470fadc9da21d4cc1825%7C1%7C0%7C639033896320649834%7CUnknown%7CTWFpbGZsb3d8eyJFbXB0eU1hcGkiOnRydWUsIlYiOiIwLjAuMDAwMCIsIlAiOiJXaW4zMiIsIkFOIjoiTWFpbCIsIldUIjoyfQ%3D%3D%7C0%7C%7C%7C&amp;sdata=KiZde65BULGFBP%2BXMSs4uzhueaTLe4h2Wg3mYXgFGIM%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bd0db6b-fea7-424b-9408-2b913561cf11">
      <Terms xmlns="http://schemas.microsoft.com/office/infopath/2007/PartnerControls"/>
    </lcf76f155ced4ddcb4097134ff3c332f>
    <TaxCatchAll xmlns="0c0909dc-c1aa-41cf-8052-93173a1f0a6a" xsi:nil="true"/>
    <SharedWithUsers xmlns="0c0909dc-c1aa-41cf-8052-93173a1f0a6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CA40FC5DCEC2B4EA82498E11E404D41" ma:contentTypeVersion="19" ma:contentTypeDescription="Kurkite naują dokumentą." ma:contentTypeScope="" ma:versionID="e8d07fbc1b7789bdc69e6ec7addeeaba">
  <xsd:schema xmlns:xsd="http://www.w3.org/2001/XMLSchema" xmlns:xs="http://www.w3.org/2001/XMLSchema" xmlns:p="http://schemas.microsoft.com/office/2006/metadata/properties" xmlns:ns1="http://schemas.microsoft.com/sharepoint/v3" xmlns:ns2="6bd0db6b-fea7-424b-9408-2b913561cf11" xmlns:ns3="0c0909dc-c1aa-41cf-8052-93173a1f0a6a" targetNamespace="http://schemas.microsoft.com/office/2006/metadata/properties" ma:root="true" ma:fieldsID="d8ce299c9e0c860f7a368542253dc642" ns1:_="" ns2:_="" ns3:_="">
    <xsd:import namespace="http://schemas.microsoft.com/sharepoint/v3"/>
    <xsd:import namespace="6bd0db6b-fea7-424b-9408-2b913561cf11"/>
    <xsd:import namespace="0c0909dc-c1aa-41cf-8052-93173a1f0a6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Bendrosios atitikties strategijos ypatybės" ma:hidden="true" ma:internalName="_ip_UnifiedCompliancePolicyProperties">
      <xsd:simpleType>
        <xsd:restriction base="dms:Note"/>
      </xsd:simpleType>
    </xsd:element>
    <xsd:element name="_ip_UnifiedCompliancePolicyUIAction" ma:index="11"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db6b-fea7-424b-9408-2b913561c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b4d3471d-eaa1-4b99-a173-1cddcdf6a8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0909dc-c1aa-41cf-8052-93173a1f0a6a" elementFormDefault="qualified">
    <xsd:import namespace="http://schemas.microsoft.com/office/2006/documentManagement/types"/>
    <xsd:import namespace="http://schemas.microsoft.com/office/infopath/2007/PartnerControls"/>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3e291401-c887-4d14-b84b-666203be14a5}" ma:internalName="TaxCatchAll" ma:showField="CatchAllData" ma:web="0c0909dc-c1aa-41cf-8052-93173a1f0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3EC8D8-652B-4598-B603-E8E794C35EFA}">
  <ds:schemaRefs>
    <ds:schemaRef ds:uri="http://schemas.microsoft.com/sharepoint/v3/contenttype/forms"/>
  </ds:schemaRefs>
</ds:datastoreItem>
</file>

<file path=customXml/itemProps2.xml><?xml version="1.0" encoding="utf-8"?>
<ds:datastoreItem xmlns:ds="http://schemas.openxmlformats.org/officeDocument/2006/customXml" ds:itemID="{0D44F879-3536-4C59-A838-85EC3FB87AAB}">
  <ds:schemaRefs>
    <ds:schemaRef ds:uri="http://schemas.microsoft.com/office/2006/metadata/properties"/>
    <ds:schemaRef ds:uri="http://schemas.microsoft.com/office/infopath/2007/PartnerControls"/>
    <ds:schemaRef ds:uri="http://schemas.microsoft.com/sharepoint/v3"/>
    <ds:schemaRef ds:uri="6bd0db6b-fea7-424b-9408-2b913561cf11"/>
    <ds:schemaRef ds:uri="0c0909dc-c1aa-41cf-8052-93173a1f0a6a"/>
  </ds:schemaRefs>
</ds:datastoreItem>
</file>

<file path=customXml/itemProps3.xml><?xml version="1.0" encoding="utf-8"?>
<ds:datastoreItem xmlns:ds="http://schemas.openxmlformats.org/officeDocument/2006/customXml" ds:itemID="{39B1A903-1F59-4C8F-B806-6BB35ECB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d0db6b-fea7-424b-9408-2b913561cf11"/>
    <ds:schemaRef ds:uri="0c0909dc-c1aa-41cf-8052-93173a1f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5220</Words>
  <Characters>2976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Kankevičius</dc:creator>
  <cp:keywords/>
  <dc:description/>
  <cp:lastModifiedBy>Vitalija Jevaišaitė</cp:lastModifiedBy>
  <cp:revision>29</cp:revision>
  <dcterms:created xsi:type="dcterms:W3CDTF">2023-08-24T05:42:00Z</dcterms:created>
  <dcterms:modified xsi:type="dcterms:W3CDTF">2026-01-08T21:19:00Z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0x0101001CA40FC5DCEC2B4EA82498E11E404D41</vt:lpwstr>
  </property>
  <property fmtid="{D5CDD505-2E9C-101B-9397-08002B2CF9AE}" pid="3" name="Order">
    <vt:r8>24900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