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0ACC6BC5" w:rsidR="00753252" w:rsidRPr="006B7CE3" w:rsidRDefault="001671B4">
            <w:pPr>
              <w:jc w:val="both"/>
              <w:rPr>
                <w:rFonts w:ascii="Cambria" w:hAnsi="Cambria"/>
                <w:b/>
                <w:kern w:val="2"/>
                <w:sz w:val="22"/>
                <w:szCs w:val="22"/>
              </w:rPr>
            </w:pPr>
            <w:r w:rsidRPr="001671B4">
              <w:rPr>
                <w:rFonts w:ascii="Cambria" w:hAnsi="Cambria"/>
                <w:b/>
                <w:kern w:val="2"/>
                <w:sz w:val="22"/>
                <w:szCs w:val="22"/>
              </w:rPr>
              <w:t xml:space="preserve">Reagentai ir papildomos priemonės  žmogaus papilomos viruso ir lytiškai plintančių ligų nustatymui realaus laiko polimerazės grandininės reakcijos metodu kartu su įrangos įsigijimu panaudos būdu  </w:t>
            </w:r>
            <w:r w:rsidRPr="001F3BF7">
              <w:rPr>
                <w:rFonts w:ascii="Cambria" w:hAnsi="Cambria"/>
                <w:i/>
                <w:kern w:val="2"/>
                <w:sz w:val="22"/>
                <w:szCs w:val="22"/>
              </w:rPr>
              <w:t>[nurodyti pirkimo objekto pavadinimą ir pirkimo objekto dalį pagal pirkimo sąlygas, priklausomai, kuriai pirkimo objekto daliai sudaroma pirkimo sutartis]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5F4F0CA7" w:rsidR="00753252" w:rsidRPr="006B7CE3" w:rsidRDefault="001671B4">
            <w:pPr>
              <w:jc w:val="both"/>
              <w:rPr>
                <w:rFonts w:ascii="Cambria" w:hAnsi="Cambria"/>
                <w:kern w:val="2"/>
                <w:sz w:val="22"/>
                <w:szCs w:val="22"/>
              </w:rPr>
            </w:pPr>
            <w:r>
              <w:rPr>
                <w:rFonts w:ascii="Cambria" w:hAnsi="Cambria"/>
                <w:kern w:val="2"/>
                <w:sz w:val="22"/>
                <w:szCs w:val="22"/>
              </w:rPr>
              <w:t xml:space="preserve"> </w:t>
            </w: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E13196" w:rsidRDefault="005A23D8" w:rsidP="005A23D8">
            <w:pPr>
              <w:rPr>
                <w:rFonts w:ascii="Cambria" w:hAnsi="Cambria"/>
                <w:b/>
                <w:kern w:val="2"/>
                <w:sz w:val="22"/>
                <w:szCs w:val="22"/>
              </w:rPr>
            </w:pPr>
            <w:r w:rsidRPr="00E13196">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01521BC5" w:rsidR="005A23D8" w:rsidRPr="006B7CE3" w:rsidRDefault="00A13DB3" w:rsidP="005A23D8">
            <w:pPr>
              <w:rPr>
                <w:rFonts w:ascii="Cambria" w:hAnsi="Cambria"/>
                <w:kern w:val="2"/>
                <w:sz w:val="22"/>
                <w:szCs w:val="22"/>
              </w:rPr>
            </w:pPr>
            <w:r w:rsidRPr="004D0D9B">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1671B4" w:rsidRDefault="00182C20">
            <w:pPr>
              <w:rPr>
                <w:rFonts w:ascii="Cambria" w:hAnsi="Cambria"/>
                <w:b/>
                <w:bCs/>
                <w:kern w:val="2"/>
                <w:sz w:val="22"/>
                <w:szCs w:val="22"/>
              </w:rPr>
            </w:pPr>
            <w:r w:rsidRPr="001671B4">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7BC530C" w:rsidR="005265AE" w:rsidRPr="001671B4" w:rsidRDefault="00182C20" w:rsidP="00775C8F">
            <w:pPr>
              <w:jc w:val="both"/>
              <w:rPr>
                <w:rFonts w:ascii="Cambria" w:hAnsi="Cambria"/>
                <w:sz w:val="22"/>
                <w:szCs w:val="22"/>
              </w:rPr>
            </w:pPr>
            <w:r w:rsidRPr="001671B4">
              <w:rPr>
                <w:rFonts w:ascii="Cambria" w:hAnsi="Cambria"/>
                <w:kern w:val="2"/>
                <w:sz w:val="22"/>
                <w:szCs w:val="22"/>
              </w:rPr>
              <w:t xml:space="preserve">Tiekėjas įsipareigoja Sutartyje numatytomis sąlygomis perduoti Pirkėjui </w:t>
            </w:r>
            <w:r w:rsidR="009A4C98" w:rsidRPr="001671B4">
              <w:rPr>
                <w:rFonts w:ascii="Cambria" w:hAnsi="Cambria"/>
                <w:b/>
                <w:kern w:val="2"/>
                <w:sz w:val="22"/>
                <w:szCs w:val="22"/>
              </w:rPr>
              <w:t xml:space="preserve">reagentus ir papildomas priemones </w:t>
            </w:r>
            <w:r w:rsidR="001671B4" w:rsidRPr="001671B4">
              <w:rPr>
                <w:rFonts w:ascii="Cambria" w:hAnsi="Cambria"/>
                <w:b/>
                <w:kern w:val="2"/>
                <w:sz w:val="22"/>
                <w:szCs w:val="22"/>
              </w:rPr>
              <w:t xml:space="preserve">žmogaus papilomos viruso ir lytiškai plintančių ligų nustatymui realaus laiko </w:t>
            </w:r>
            <w:r w:rsidR="001671B4" w:rsidRPr="001671B4">
              <w:rPr>
                <w:rFonts w:ascii="Cambria" w:hAnsi="Cambria"/>
                <w:b/>
                <w:kern w:val="2"/>
                <w:sz w:val="22"/>
                <w:szCs w:val="22"/>
              </w:rPr>
              <w:lastRenderedPageBreak/>
              <w:t xml:space="preserve">polimerazės grandininės reakcijos metodu kartu su įrangos įsigijimu panaudos būdu </w:t>
            </w:r>
            <w:r w:rsidR="001671B4" w:rsidRPr="001671B4">
              <w:rPr>
                <w:rFonts w:ascii="Cambria" w:hAnsi="Cambria"/>
                <w:i/>
                <w:kern w:val="2"/>
                <w:sz w:val="22"/>
                <w:szCs w:val="22"/>
              </w:rPr>
              <w:t xml:space="preserve">[nurodyti pirkimo objekto pavadinimą ir pirkimo objekto dalį pagal pirkimo sąlygas, priklausomai, kuriai pirkimo objekto daliai sudaroma pirkimo sutartis] </w:t>
            </w:r>
            <w:r w:rsidRPr="001671B4">
              <w:rPr>
                <w:rFonts w:ascii="Cambria" w:hAnsi="Cambria"/>
                <w:color w:val="000000"/>
                <w:kern w:val="2"/>
                <w:sz w:val="22"/>
                <w:szCs w:val="22"/>
              </w:rPr>
              <w:t>(toliau – Prekės).</w:t>
            </w:r>
            <w:r w:rsidR="005265AE" w:rsidRPr="001671B4">
              <w:rPr>
                <w:rFonts w:ascii="Cambria" w:hAnsi="Cambria"/>
                <w:sz w:val="22"/>
                <w:szCs w:val="22"/>
              </w:rPr>
              <w:t xml:space="preserve"> </w:t>
            </w:r>
          </w:p>
          <w:p w14:paraId="75477802" w14:textId="0DFDA1A6" w:rsidR="00753252" w:rsidRPr="001671B4" w:rsidRDefault="005265AE" w:rsidP="00775C8F">
            <w:pPr>
              <w:jc w:val="both"/>
              <w:rPr>
                <w:rFonts w:ascii="Cambria" w:hAnsi="Cambria"/>
                <w:color w:val="000000"/>
                <w:kern w:val="2"/>
                <w:sz w:val="22"/>
                <w:szCs w:val="22"/>
              </w:rPr>
            </w:pPr>
            <w:r w:rsidRPr="001671B4">
              <w:rPr>
                <w:rFonts w:ascii="Cambria" w:hAnsi="Cambria"/>
                <w:color w:val="000000"/>
                <w:kern w:val="2"/>
                <w:sz w:val="22"/>
                <w:szCs w:val="22"/>
              </w:rPr>
              <w:t xml:space="preserve">Išsamus </w:t>
            </w:r>
            <w:r w:rsidRPr="001671B4">
              <w:rPr>
                <w:rFonts w:ascii="Cambria" w:hAnsi="Cambria"/>
                <w:b/>
                <w:color w:val="000000"/>
                <w:kern w:val="2"/>
                <w:sz w:val="22"/>
                <w:szCs w:val="22"/>
              </w:rPr>
              <w:t xml:space="preserve">Prekių aprašymas, Prekių kiekis </w:t>
            </w:r>
            <w:r w:rsidRPr="001671B4">
              <w:rPr>
                <w:rFonts w:ascii="Cambria" w:hAnsi="Cambria"/>
                <w:color w:val="000000"/>
                <w:kern w:val="2"/>
                <w:sz w:val="22"/>
                <w:szCs w:val="22"/>
              </w:rPr>
              <w:t>ir kiti reikalavimai tiekiamoms Prekėms nustatyti Sutarties priede Nr. 1 „Techninė specifikacija“ (toliau – Techninė specifikacija)</w:t>
            </w:r>
            <w:r w:rsidR="001671B4">
              <w:rPr>
                <w:rFonts w:ascii="Cambria" w:hAnsi="Cambria"/>
                <w:color w:val="000000"/>
                <w:kern w:val="2"/>
                <w:sz w:val="22"/>
                <w:szCs w:val="22"/>
              </w:rPr>
              <w:t xml:space="preserve"> ir</w:t>
            </w:r>
            <w:r w:rsidRPr="001671B4">
              <w:rPr>
                <w:rFonts w:ascii="Cambria" w:hAnsi="Cambria"/>
                <w:color w:val="000000"/>
                <w:kern w:val="2"/>
                <w:sz w:val="22"/>
                <w:szCs w:val="22"/>
              </w:rPr>
              <w:t xml:space="preserve"> Sutarties priede Nr. 2 „Prekių žiniaraštis</w:t>
            </w:r>
            <w:r w:rsidR="003B0F57" w:rsidRPr="001671B4">
              <w:rPr>
                <w:rFonts w:ascii="Cambria" w:hAnsi="Cambria"/>
                <w:sz w:val="22"/>
                <w:szCs w:val="22"/>
              </w:rPr>
              <w:t>“</w:t>
            </w:r>
            <w:r w:rsidR="001671B4">
              <w:rPr>
                <w:rFonts w:ascii="Cambria" w:hAnsi="Cambria"/>
                <w:sz w:val="22"/>
                <w:szCs w:val="22"/>
              </w:rPr>
              <w:t>.</w:t>
            </w:r>
          </w:p>
          <w:p w14:paraId="0A178E06" w14:textId="77777777" w:rsidR="005265AE" w:rsidRPr="001671B4" w:rsidRDefault="005265AE" w:rsidP="00775C8F">
            <w:pPr>
              <w:jc w:val="both"/>
              <w:rPr>
                <w:rFonts w:ascii="Cambria" w:hAnsi="Cambria"/>
                <w:kern w:val="2"/>
                <w:sz w:val="22"/>
                <w:szCs w:val="22"/>
              </w:rPr>
            </w:pPr>
            <w:r w:rsidRPr="001671B4">
              <w:rPr>
                <w:rFonts w:ascii="Cambria" w:hAnsi="Cambria"/>
                <w:kern w:val="2"/>
                <w:sz w:val="22"/>
                <w:szCs w:val="22"/>
              </w:rPr>
              <w:t xml:space="preserve">Pristatytas Prekes Tiekėjas savo jėgomis iškrauna iš transporto. </w:t>
            </w:r>
          </w:p>
          <w:p w14:paraId="51D3D857" w14:textId="67059C3C" w:rsidR="00753252" w:rsidRPr="001671B4" w:rsidRDefault="005265AE" w:rsidP="00775C8F">
            <w:pPr>
              <w:jc w:val="both"/>
              <w:rPr>
                <w:rFonts w:ascii="Cambria" w:hAnsi="Cambria"/>
                <w:b/>
                <w:color w:val="808080" w:themeColor="background1" w:themeShade="80"/>
                <w:kern w:val="2"/>
                <w:sz w:val="22"/>
                <w:szCs w:val="22"/>
              </w:rPr>
            </w:pPr>
            <w:r w:rsidRPr="001671B4">
              <w:rPr>
                <w:rFonts w:ascii="Cambria" w:hAnsi="Cambria"/>
                <w:kern w:val="2"/>
                <w:sz w:val="22"/>
                <w:szCs w:val="22"/>
              </w:rPr>
              <w:t>Šalys sudarys panaudos sutartį (</w:t>
            </w:r>
            <w:r w:rsidR="0088411A" w:rsidRPr="001671B4">
              <w:rPr>
                <w:rFonts w:ascii="Cambria" w:hAnsi="Cambria"/>
                <w:kern w:val="2"/>
                <w:sz w:val="22"/>
                <w:szCs w:val="22"/>
              </w:rPr>
              <w:t xml:space="preserve">Sutarties </w:t>
            </w:r>
            <w:r w:rsidRPr="001671B4">
              <w:rPr>
                <w:rFonts w:ascii="Cambria" w:hAnsi="Cambria"/>
                <w:kern w:val="2"/>
                <w:sz w:val="22"/>
                <w:szCs w:val="22"/>
              </w:rPr>
              <w:t>priedas Nr. 3) pagal kurią Tiekėjas perduos įrangą Pirkėjui neatlygintinai naudotis visą šios Sutarties galiojimo laikotarpį.</w:t>
            </w:r>
            <w:r w:rsidRPr="001671B4">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D61D38D" w:rsidR="00753252" w:rsidRPr="006B7CE3" w:rsidRDefault="001671B4" w:rsidP="00775C8F">
            <w:pPr>
              <w:jc w:val="both"/>
              <w:rPr>
                <w:rFonts w:ascii="Cambria" w:hAnsi="Cambria"/>
                <w:i/>
                <w:kern w:val="2"/>
                <w:sz w:val="22"/>
                <w:szCs w:val="22"/>
              </w:rPr>
            </w:pPr>
            <w:r w:rsidRPr="001671B4">
              <w:rPr>
                <w:rFonts w:ascii="Cambria" w:hAnsi="Cambria"/>
                <w:kern w:val="2"/>
                <w:sz w:val="22"/>
                <w:szCs w:val="22"/>
              </w:rPr>
              <w:t xml:space="preserve">Reagentai ir papildomos priemonės  žmogaus papilomos viruso ir lytiškai plintančių ligų nustatymui realaus laiko polimerazės grandininės reakcijos metodu kartu su įrangos įsigijimu panaudos būdu  </w:t>
            </w:r>
            <w:r w:rsidR="00AE60A7"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B43EFE" w14:textId="391B5208" w:rsidR="00CD7FAF" w:rsidRDefault="002A5AAF" w:rsidP="001671B4">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CD7FAF">
              <w:rPr>
                <w:rFonts w:ascii="Cambria" w:hAnsi="Cambria"/>
                <w:kern w:val="2"/>
                <w:sz w:val="22"/>
                <w:szCs w:val="22"/>
              </w:rPr>
              <w:t xml:space="preserve">(i) </w:t>
            </w:r>
            <w:r w:rsidR="003B0D09" w:rsidRPr="003B0D09">
              <w:rPr>
                <w:rFonts w:ascii="Cambria" w:hAnsi="Cambria"/>
                <w:kern w:val="2"/>
                <w:sz w:val="22"/>
                <w:szCs w:val="22"/>
              </w:rPr>
              <w:t>sąskaita, kuri bus laikoma Prekių perdavimo-priėmimo aktu</w:t>
            </w:r>
            <w:r w:rsidR="00CD7FAF">
              <w:rPr>
                <w:rFonts w:ascii="Cambria" w:hAnsi="Cambria"/>
                <w:kern w:val="2"/>
                <w:sz w:val="22"/>
                <w:szCs w:val="22"/>
              </w:rPr>
              <w:t xml:space="preserve">, (ii) </w:t>
            </w:r>
            <w:r w:rsidR="001671B4">
              <w:rPr>
                <w:rFonts w:ascii="Cambria" w:hAnsi="Cambria"/>
                <w:kern w:val="2"/>
                <w:sz w:val="22"/>
                <w:szCs w:val="22"/>
              </w:rPr>
              <w:t>t</w:t>
            </w:r>
            <w:r w:rsidR="001671B4" w:rsidRPr="001671B4">
              <w:rPr>
                <w:rFonts w:ascii="Cambria" w:hAnsi="Cambria"/>
                <w:kern w:val="2"/>
                <w:sz w:val="22"/>
                <w:szCs w:val="22"/>
              </w:rPr>
              <w:t>yrimo metodika, reagentų aprašymai anglų ir lietuvių kalbomis</w:t>
            </w:r>
          </w:p>
          <w:p w14:paraId="53003A41" w14:textId="7FA0A60E" w:rsidR="002A5AAF" w:rsidRPr="006B7CE3" w:rsidRDefault="003B0D09" w:rsidP="00775C8F">
            <w:pPr>
              <w:jc w:val="both"/>
              <w:rPr>
                <w:rFonts w:ascii="Cambria" w:hAnsi="Cambria"/>
                <w:kern w:val="2"/>
                <w:sz w:val="22"/>
                <w:szCs w:val="22"/>
              </w:rPr>
            </w:pPr>
            <w:r w:rsidRPr="003B0D09">
              <w:rPr>
                <w:rFonts w:ascii="Cambria" w:hAnsi="Cambria"/>
                <w:kern w:val="2"/>
                <w:sz w:val="22"/>
                <w:szCs w:val="22"/>
              </w:rPr>
              <w:t xml:space="preserve"> </w:t>
            </w:r>
            <w:r w:rsidR="00E276C6">
              <w:rPr>
                <w:rFonts w:ascii="Cambria" w:hAnsi="Cambria"/>
                <w:kern w:val="2"/>
                <w:sz w:val="22"/>
                <w:szCs w:val="22"/>
              </w:rPr>
              <w:t xml:space="preserve"> </w:t>
            </w:r>
          </w:p>
          <w:p w14:paraId="0C86058C" w14:textId="3DD7F79F" w:rsidR="00A13DB3" w:rsidRDefault="002A5AAF" w:rsidP="00CD7FAF">
            <w:pPr>
              <w:jc w:val="both"/>
              <w:rPr>
                <w:rFonts w:ascii="Cambria" w:hAnsi="Cambria"/>
                <w:kern w:val="2"/>
                <w:sz w:val="22"/>
                <w:szCs w:val="22"/>
              </w:rPr>
            </w:pPr>
            <w:r w:rsidRPr="00DF7ACC">
              <w:rPr>
                <w:rFonts w:ascii="Cambria" w:hAnsi="Cambria"/>
                <w:kern w:val="2"/>
                <w:sz w:val="22"/>
                <w:szCs w:val="22"/>
              </w:rPr>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 xml:space="preserve">pateikiama dokumentacija: </w:t>
            </w:r>
            <w:r w:rsidR="001671B4" w:rsidRPr="001671B4">
              <w:rPr>
                <w:rFonts w:ascii="Cambria" w:hAnsi="Cambria"/>
                <w:kern w:val="2"/>
                <w:sz w:val="22"/>
                <w:szCs w:val="22"/>
              </w:rPr>
              <w:t>naudojimo instrukcija (vartotojo vadovas) anglų ir lietuvių kalbomis (elektroninė versija).</w:t>
            </w:r>
          </w:p>
          <w:p w14:paraId="58FCDC8E" w14:textId="77777777" w:rsidR="00CD7FAF" w:rsidRDefault="00CD7FAF" w:rsidP="00DF7ACC">
            <w:pPr>
              <w:jc w:val="both"/>
              <w:rPr>
                <w:rFonts w:ascii="Cambria" w:hAnsi="Cambria"/>
                <w:kern w:val="2"/>
                <w:sz w:val="22"/>
                <w:szCs w:val="22"/>
              </w:rPr>
            </w:pPr>
          </w:p>
          <w:p w14:paraId="3BFF66E8" w14:textId="1C3CA2D4"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CD7FAF">
              <w:rPr>
                <w:rFonts w:ascii="Cambria" w:hAnsi="Cambria"/>
                <w:kern w:val="2"/>
                <w:sz w:val="22"/>
                <w:szCs w:val="22"/>
              </w:rPr>
              <w:t xml:space="preserve">prekių </w:t>
            </w:r>
            <w:r w:rsidRPr="00B8655F">
              <w:rPr>
                <w:rFonts w:ascii="Cambria" w:hAnsi="Cambria"/>
                <w:kern w:val="2"/>
                <w:sz w:val="22"/>
                <w:szCs w:val="22"/>
              </w:rPr>
              <w:t xml:space="preserve">žymėjimą </w:t>
            </w:r>
            <w:r w:rsidR="00CD7FAF" w:rsidRPr="00CD7FAF">
              <w:rPr>
                <w:rFonts w:ascii="Cambria" w:hAnsi="Cambria"/>
                <w:kern w:val="2"/>
                <w:sz w:val="22"/>
                <w:szCs w:val="22"/>
              </w:rPr>
              <w:t>CE-IVD</w:t>
            </w:r>
            <w:r w:rsidR="00CD7FAF">
              <w:rPr>
                <w:rFonts w:ascii="Cambria" w:hAnsi="Cambria"/>
                <w:kern w:val="2"/>
                <w:sz w:val="22"/>
                <w:szCs w:val="22"/>
              </w:rPr>
              <w:t xml:space="preserve"> (reagentams) ir CE (įrangai)</w:t>
            </w:r>
            <w:r w:rsidR="00CD7FAF" w:rsidRPr="00CD7FAF">
              <w:rPr>
                <w:rFonts w:ascii="Cambria" w:hAnsi="Cambria"/>
                <w:kern w:val="2"/>
                <w:sz w:val="22"/>
                <w:szCs w:val="22"/>
              </w:rPr>
              <w:t xml:space="preserve"> </w:t>
            </w:r>
            <w:r w:rsidRPr="00B8655F">
              <w:rPr>
                <w:rFonts w:ascii="Cambria" w:hAnsi="Cambria"/>
                <w:kern w:val="2"/>
                <w:sz w:val="22"/>
                <w:szCs w:val="22"/>
              </w:rPr>
              <w:t>ženklu,  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E5539" w:rsidRDefault="00182C20">
            <w:pPr>
              <w:rPr>
                <w:rFonts w:ascii="Cambria" w:hAnsi="Cambria"/>
                <w:b/>
                <w:bCs/>
                <w:kern w:val="2"/>
                <w:sz w:val="22"/>
                <w:szCs w:val="22"/>
              </w:rPr>
            </w:pPr>
            <w:r w:rsidRPr="006E5539">
              <w:rPr>
                <w:rFonts w:ascii="Cambria" w:hAnsi="Cambria"/>
                <w:b/>
                <w:bCs/>
                <w:kern w:val="2"/>
                <w:sz w:val="22"/>
                <w:szCs w:val="22"/>
              </w:rPr>
              <w:t>5.2. Pradinės Sutarties vertė ir Sutarties kaina, kai taikoma fiksuoto įkainio kainodara</w:t>
            </w:r>
          </w:p>
          <w:p w14:paraId="6FBC0A54" w14:textId="77777777" w:rsidR="00753252" w:rsidRPr="006E5539" w:rsidRDefault="00753252">
            <w:pPr>
              <w:rPr>
                <w:rFonts w:ascii="Cambria" w:hAnsi="Cambria"/>
                <w:b/>
                <w:bCs/>
                <w:kern w:val="2"/>
                <w:sz w:val="22"/>
                <w:szCs w:val="22"/>
              </w:rPr>
            </w:pPr>
          </w:p>
          <w:p w14:paraId="1BE524CA" w14:textId="77777777" w:rsidR="00753252" w:rsidRPr="006E5539" w:rsidRDefault="00753252">
            <w:pPr>
              <w:rPr>
                <w:rFonts w:ascii="Cambria" w:hAnsi="Cambria"/>
                <w:b/>
                <w:bCs/>
                <w:kern w:val="2"/>
                <w:sz w:val="22"/>
                <w:szCs w:val="22"/>
              </w:rPr>
            </w:pPr>
          </w:p>
          <w:p w14:paraId="40C11EFE" w14:textId="77777777" w:rsidR="00753252" w:rsidRPr="006E5539" w:rsidRDefault="00753252">
            <w:pPr>
              <w:rPr>
                <w:rFonts w:ascii="Cambria" w:hAnsi="Cambria"/>
                <w:b/>
                <w:bCs/>
                <w:kern w:val="2"/>
                <w:sz w:val="22"/>
                <w:szCs w:val="22"/>
              </w:rPr>
            </w:pPr>
          </w:p>
          <w:p w14:paraId="4BCEC64C" w14:textId="77777777" w:rsidR="00753252" w:rsidRPr="006E5539" w:rsidRDefault="00753252">
            <w:pPr>
              <w:rPr>
                <w:rFonts w:ascii="Cambria" w:hAnsi="Cambria"/>
                <w:b/>
                <w:bCs/>
                <w:kern w:val="2"/>
                <w:sz w:val="22"/>
                <w:szCs w:val="22"/>
              </w:rPr>
            </w:pPr>
          </w:p>
          <w:p w14:paraId="569A2B26" w14:textId="77777777" w:rsidR="00753252" w:rsidRPr="006E5539" w:rsidRDefault="00753252">
            <w:pPr>
              <w:rPr>
                <w:rFonts w:ascii="Cambria" w:hAnsi="Cambria"/>
                <w:b/>
                <w:bCs/>
                <w:kern w:val="2"/>
                <w:sz w:val="22"/>
                <w:szCs w:val="22"/>
              </w:rPr>
            </w:pPr>
          </w:p>
          <w:p w14:paraId="7DB64CF3" w14:textId="77777777" w:rsidR="00753252" w:rsidRPr="006E5539"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29E407A" w14:textId="155D1CC6" w:rsidR="006E5539" w:rsidRPr="006E5539" w:rsidRDefault="006E5539" w:rsidP="006E5539">
            <w:pPr>
              <w:jc w:val="both"/>
              <w:rPr>
                <w:rFonts w:ascii="Cambria" w:hAnsi="Cambria"/>
                <w:b/>
                <w:kern w:val="2"/>
                <w:sz w:val="22"/>
                <w:szCs w:val="22"/>
              </w:rPr>
            </w:pPr>
            <w:r w:rsidRPr="006E5539">
              <w:rPr>
                <w:rFonts w:ascii="Cambria" w:hAnsi="Cambria"/>
                <w:b/>
                <w:kern w:val="2"/>
                <w:sz w:val="22"/>
                <w:szCs w:val="22"/>
              </w:rPr>
              <w:t xml:space="preserve">I pirkimo dalis. </w:t>
            </w:r>
          </w:p>
          <w:p w14:paraId="329F375E" w14:textId="2C102B95" w:rsidR="00775C8F" w:rsidRPr="006E5539" w:rsidRDefault="00775C8F" w:rsidP="00775C8F">
            <w:pPr>
              <w:jc w:val="both"/>
              <w:rPr>
                <w:rFonts w:ascii="Cambria" w:hAnsi="Cambria"/>
                <w:kern w:val="2"/>
                <w:sz w:val="22"/>
                <w:szCs w:val="22"/>
              </w:rPr>
            </w:pPr>
            <w:r w:rsidRPr="006E5539">
              <w:rPr>
                <w:rFonts w:ascii="Cambria" w:hAnsi="Cambria"/>
                <w:kern w:val="2"/>
                <w:sz w:val="22"/>
                <w:szCs w:val="22"/>
              </w:rPr>
              <w:t xml:space="preserve">Pradinės Sutarties vertė yra </w:t>
            </w:r>
            <w:r w:rsidR="006E5539">
              <w:rPr>
                <w:rFonts w:ascii="Cambria" w:hAnsi="Cambria"/>
                <w:b/>
                <w:kern w:val="2"/>
                <w:sz w:val="22"/>
                <w:szCs w:val="22"/>
              </w:rPr>
              <w:t>78 768,00</w:t>
            </w:r>
            <w:r w:rsidR="0058457E" w:rsidRPr="006E5539">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6E5539">
              <w:rPr>
                <w:rFonts w:ascii="Cambria" w:hAnsi="Cambria"/>
                <w:kern w:val="2"/>
                <w:sz w:val="22"/>
                <w:szCs w:val="22"/>
              </w:rPr>
              <w:t>s</w:t>
            </w:r>
            <w:r w:rsidR="006E5539" w:rsidRPr="006E5539">
              <w:rPr>
                <w:rFonts w:ascii="Cambria" w:hAnsi="Cambria"/>
                <w:kern w:val="2"/>
                <w:sz w:val="22"/>
                <w:szCs w:val="22"/>
              </w:rPr>
              <w:t>eptyniasdešimt aštuoni tūkstančiai septyni šimtai šešiasdešimt aštuoni eurai 00 ct</w:t>
            </w:r>
            <w:r w:rsidRPr="006E5539">
              <w:rPr>
                <w:rFonts w:ascii="Cambria" w:hAnsi="Cambria"/>
                <w:kern w:val="2"/>
                <w:sz w:val="22"/>
                <w:szCs w:val="22"/>
              </w:rPr>
              <w:t xml:space="preserve">) be pridėtinės vertės mokesčio (toliau – PVM). </w:t>
            </w:r>
          </w:p>
          <w:p w14:paraId="211BCED1" w14:textId="46AF534B" w:rsidR="00775C8F" w:rsidRPr="006E5539" w:rsidRDefault="00775C8F" w:rsidP="00775C8F">
            <w:pPr>
              <w:jc w:val="both"/>
              <w:rPr>
                <w:rFonts w:ascii="Cambria" w:hAnsi="Cambria"/>
                <w:kern w:val="2"/>
                <w:sz w:val="22"/>
                <w:szCs w:val="22"/>
              </w:rPr>
            </w:pPr>
            <w:r w:rsidRPr="006E5539">
              <w:rPr>
                <w:rFonts w:ascii="Cambria" w:hAnsi="Cambria"/>
                <w:kern w:val="2"/>
                <w:sz w:val="22"/>
                <w:szCs w:val="22"/>
              </w:rPr>
              <w:t xml:space="preserve">PVM sudaro </w:t>
            </w:r>
            <w:r w:rsidR="006E5539">
              <w:rPr>
                <w:rFonts w:ascii="Cambria" w:hAnsi="Cambria"/>
                <w:b/>
                <w:kern w:val="2"/>
                <w:sz w:val="22"/>
                <w:szCs w:val="22"/>
              </w:rPr>
              <w:t>3 938,40</w:t>
            </w:r>
            <w:r w:rsidRPr="006E5539">
              <w:rPr>
                <w:rFonts w:ascii="Cambria" w:hAnsi="Cambria"/>
                <w:b/>
                <w:kern w:val="2"/>
                <w:sz w:val="22"/>
                <w:szCs w:val="22"/>
              </w:rPr>
              <w:t xml:space="preserve"> Eur</w:t>
            </w:r>
            <w:r w:rsidRPr="006E5539">
              <w:rPr>
                <w:rFonts w:ascii="Cambria" w:hAnsi="Cambria"/>
                <w:kern w:val="2"/>
                <w:sz w:val="22"/>
                <w:szCs w:val="22"/>
              </w:rPr>
              <w:t>, (</w:t>
            </w:r>
            <w:r w:rsidR="006E5539">
              <w:rPr>
                <w:rFonts w:ascii="Cambria" w:hAnsi="Cambria"/>
                <w:kern w:val="2"/>
                <w:sz w:val="22"/>
                <w:szCs w:val="22"/>
              </w:rPr>
              <w:t>t</w:t>
            </w:r>
            <w:r w:rsidR="006E5539" w:rsidRPr="006E5539">
              <w:rPr>
                <w:rFonts w:ascii="Cambria" w:hAnsi="Cambria"/>
                <w:kern w:val="2"/>
                <w:sz w:val="22"/>
                <w:szCs w:val="22"/>
              </w:rPr>
              <w:t>rys tūkstančiai devyni šimtai trisdešimt aštuoni eurai 40 ct</w:t>
            </w:r>
            <w:r w:rsidRPr="006E5539">
              <w:rPr>
                <w:rFonts w:ascii="Cambria" w:hAnsi="Cambria"/>
                <w:kern w:val="2"/>
                <w:sz w:val="22"/>
                <w:szCs w:val="22"/>
              </w:rPr>
              <w:t>).</w:t>
            </w:r>
          </w:p>
          <w:p w14:paraId="42D9EE35" w14:textId="53103B9D" w:rsidR="00775C8F" w:rsidRDefault="00775C8F" w:rsidP="00775C8F">
            <w:pPr>
              <w:jc w:val="both"/>
              <w:rPr>
                <w:rFonts w:ascii="Cambria" w:hAnsi="Cambria"/>
                <w:kern w:val="2"/>
                <w:sz w:val="22"/>
                <w:szCs w:val="22"/>
              </w:rPr>
            </w:pPr>
            <w:r w:rsidRPr="006E5539">
              <w:rPr>
                <w:rFonts w:ascii="Cambria" w:hAnsi="Cambria"/>
                <w:kern w:val="2"/>
                <w:sz w:val="22"/>
                <w:szCs w:val="22"/>
              </w:rPr>
              <w:t xml:space="preserve">Sutarties kaina yra </w:t>
            </w:r>
            <w:r w:rsidR="006E5539" w:rsidRPr="006E5539">
              <w:rPr>
                <w:rFonts w:ascii="Cambria" w:hAnsi="Cambria"/>
                <w:b/>
                <w:kern w:val="2"/>
                <w:sz w:val="22"/>
                <w:szCs w:val="22"/>
              </w:rPr>
              <w:t xml:space="preserve">82 706,40 </w:t>
            </w:r>
            <w:r w:rsidRPr="006E5539">
              <w:rPr>
                <w:rFonts w:ascii="Cambria" w:hAnsi="Cambria"/>
                <w:b/>
                <w:kern w:val="2"/>
                <w:sz w:val="22"/>
                <w:szCs w:val="22"/>
              </w:rPr>
              <w:t>Eur</w:t>
            </w:r>
            <w:r w:rsidRPr="006E5539">
              <w:rPr>
                <w:rFonts w:ascii="Cambria" w:hAnsi="Cambria"/>
                <w:kern w:val="2"/>
                <w:sz w:val="22"/>
                <w:szCs w:val="22"/>
              </w:rPr>
              <w:t>, (</w:t>
            </w:r>
            <w:r w:rsidR="006E5539" w:rsidRPr="006E5539">
              <w:rPr>
                <w:rFonts w:ascii="Cambria" w:hAnsi="Cambria"/>
                <w:kern w:val="2"/>
                <w:sz w:val="22"/>
                <w:szCs w:val="22"/>
              </w:rPr>
              <w:t>aštuoniasdešimt du tūkstančiai septyni šimtai šeši eurai 40 ct</w:t>
            </w:r>
            <w:r w:rsidRPr="006E5539">
              <w:rPr>
                <w:rFonts w:ascii="Cambria" w:hAnsi="Cambria"/>
                <w:kern w:val="2"/>
                <w:sz w:val="22"/>
                <w:szCs w:val="22"/>
              </w:rPr>
              <w:t>) Eur su PVM.</w:t>
            </w:r>
          </w:p>
          <w:p w14:paraId="30CBCBFB" w14:textId="77777777" w:rsidR="006E5539" w:rsidRDefault="006E5539" w:rsidP="00775C8F">
            <w:pPr>
              <w:jc w:val="both"/>
              <w:rPr>
                <w:rFonts w:ascii="Cambria" w:hAnsi="Cambria"/>
                <w:kern w:val="2"/>
                <w:sz w:val="22"/>
                <w:szCs w:val="22"/>
              </w:rPr>
            </w:pPr>
          </w:p>
          <w:p w14:paraId="2BD35F69" w14:textId="3025A170" w:rsidR="006E5539" w:rsidRPr="006E5539" w:rsidRDefault="006E5539" w:rsidP="006E5539">
            <w:pPr>
              <w:jc w:val="both"/>
              <w:rPr>
                <w:rFonts w:ascii="Cambria" w:hAnsi="Cambria"/>
                <w:b/>
                <w:kern w:val="2"/>
                <w:sz w:val="22"/>
                <w:szCs w:val="22"/>
              </w:rPr>
            </w:pPr>
            <w:r w:rsidRPr="006E5539">
              <w:rPr>
                <w:rFonts w:ascii="Cambria" w:hAnsi="Cambria"/>
                <w:b/>
                <w:kern w:val="2"/>
                <w:sz w:val="22"/>
                <w:szCs w:val="22"/>
              </w:rPr>
              <w:t>I</w:t>
            </w:r>
            <w:r w:rsidRPr="006E5539">
              <w:rPr>
                <w:rFonts w:ascii="Cambria" w:hAnsi="Cambria"/>
                <w:b/>
                <w:kern w:val="2"/>
                <w:sz w:val="22"/>
                <w:szCs w:val="22"/>
              </w:rPr>
              <w:t xml:space="preserve">I pirkimo dalis. </w:t>
            </w:r>
          </w:p>
          <w:p w14:paraId="490DC6AD" w14:textId="2BFF207B" w:rsidR="006E5539" w:rsidRPr="006E5539" w:rsidRDefault="006E5539" w:rsidP="006E5539">
            <w:pPr>
              <w:jc w:val="both"/>
              <w:rPr>
                <w:rFonts w:ascii="Cambria" w:hAnsi="Cambria"/>
                <w:kern w:val="2"/>
                <w:sz w:val="22"/>
                <w:szCs w:val="22"/>
              </w:rPr>
            </w:pPr>
            <w:r w:rsidRPr="006E5539">
              <w:rPr>
                <w:rFonts w:ascii="Cambria" w:hAnsi="Cambria"/>
                <w:kern w:val="2"/>
                <w:sz w:val="22"/>
                <w:szCs w:val="22"/>
              </w:rPr>
              <w:t xml:space="preserve">Pradinės Sutarties vertė yra </w:t>
            </w:r>
            <w:r>
              <w:rPr>
                <w:rFonts w:ascii="Cambria" w:hAnsi="Cambria"/>
                <w:b/>
                <w:kern w:val="2"/>
                <w:sz w:val="22"/>
                <w:szCs w:val="22"/>
              </w:rPr>
              <w:t>14 780</w:t>
            </w:r>
            <w:r>
              <w:rPr>
                <w:rFonts w:ascii="Cambria" w:hAnsi="Cambria"/>
                <w:b/>
                <w:kern w:val="2"/>
                <w:sz w:val="22"/>
                <w:szCs w:val="22"/>
              </w:rPr>
              <w:t>,00</w:t>
            </w:r>
            <w:r w:rsidRPr="006E5539">
              <w:rPr>
                <w:rFonts w:ascii="Cambria" w:hAnsi="Cambria"/>
                <w:b/>
                <w:kern w:val="2"/>
                <w:sz w:val="22"/>
                <w:szCs w:val="22"/>
              </w:rPr>
              <w:t xml:space="preserve"> Eur</w:t>
            </w:r>
            <w:r w:rsidRPr="006E5539">
              <w:rPr>
                <w:rFonts w:ascii="Cambria" w:hAnsi="Cambria"/>
                <w:kern w:val="2"/>
                <w:sz w:val="22"/>
                <w:szCs w:val="22"/>
              </w:rPr>
              <w:t>, (</w:t>
            </w:r>
            <w:r>
              <w:rPr>
                <w:rFonts w:ascii="Cambria" w:hAnsi="Cambria"/>
                <w:kern w:val="2"/>
                <w:sz w:val="22"/>
                <w:szCs w:val="22"/>
              </w:rPr>
              <w:t>k</w:t>
            </w:r>
            <w:r w:rsidRPr="006E5539">
              <w:rPr>
                <w:rFonts w:ascii="Cambria" w:hAnsi="Cambria"/>
                <w:kern w:val="2"/>
                <w:sz w:val="22"/>
                <w:szCs w:val="22"/>
              </w:rPr>
              <w:t>eturiolika tūkstančių septyni šimtai aštuoniasdešimt eurų 00 ct</w:t>
            </w:r>
            <w:r w:rsidRPr="006E5539">
              <w:rPr>
                <w:rFonts w:ascii="Cambria" w:hAnsi="Cambria"/>
                <w:kern w:val="2"/>
                <w:sz w:val="22"/>
                <w:szCs w:val="22"/>
              </w:rPr>
              <w:t xml:space="preserve">) be pridėtinės vertės mokesčio (toliau – PVM). </w:t>
            </w:r>
          </w:p>
          <w:p w14:paraId="308BBDE7" w14:textId="3FE0B07F" w:rsidR="006E5539" w:rsidRPr="006E5539" w:rsidRDefault="006E5539" w:rsidP="006E5539">
            <w:pPr>
              <w:jc w:val="both"/>
              <w:rPr>
                <w:rFonts w:ascii="Cambria" w:hAnsi="Cambria"/>
                <w:kern w:val="2"/>
                <w:sz w:val="22"/>
                <w:szCs w:val="22"/>
              </w:rPr>
            </w:pPr>
            <w:r w:rsidRPr="006E5539">
              <w:rPr>
                <w:rFonts w:ascii="Cambria" w:hAnsi="Cambria"/>
                <w:kern w:val="2"/>
                <w:sz w:val="22"/>
                <w:szCs w:val="22"/>
              </w:rPr>
              <w:t xml:space="preserve">PVM sudaro </w:t>
            </w:r>
            <w:r>
              <w:rPr>
                <w:rFonts w:ascii="Cambria" w:hAnsi="Cambria"/>
                <w:b/>
                <w:kern w:val="2"/>
                <w:sz w:val="22"/>
                <w:szCs w:val="22"/>
              </w:rPr>
              <w:t>739,00</w:t>
            </w:r>
            <w:r w:rsidRPr="006E5539">
              <w:rPr>
                <w:rFonts w:ascii="Cambria" w:hAnsi="Cambria"/>
                <w:b/>
                <w:kern w:val="2"/>
                <w:sz w:val="22"/>
                <w:szCs w:val="22"/>
              </w:rPr>
              <w:t xml:space="preserve"> Eur</w:t>
            </w:r>
            <w:r w:rsidRPr="006E5539">
              <w:rPr>
                <w:rFonts w:ascii="Cambria" w:hAnsi="Cambria"/>
                <w:kern w:val="2"/>
                <w:sz w:val="22"/>
                <w:szCs w:val="22"/>
              </w:rPr>
              <w:t>, (</w:t>
            </w:r>
            <w:r>
              <w:rPr>
                <w:rFonts w:ascii="Cambria" w:hAnsi="Cambria"/>
                <w:kern w:val="2"/>
                <w:sz w:val="22"/>
                <w:szCs w:val="22"/>
              </w:rPr>
              <w:t>s</w:t>
            </w:r>
            <w:r w:rsidRPr="006E5539">
              <w:rPr>
                <w:rFonts w:ascii="Cambria" w:hAnsi="Cambria"/>
                <w:kern w:val="2"/>
                <w:sz w:val="22"/>
                <w:szCs w:val="22"/>
              </w:rPr>
              <w:t>eptyni šimtai trisdešimt devyni eurai 00 ct</w:t>
            </w:r>
            <w:r w:rsidRPr="006E5539">
              <w:rPr>
                <w:rFonts w:ascii="Cambria" w:hAnsi="Cambria"/>
                <w:kern w:val="2"/>
                <w:sz w:val="22"/>
                <w:szCs w:val="22"/>
              </w:rPr>
              <w:t>).</w:t>
            </w:r>
          </w:p>
          <w:p w14:paraId="7C0125B3" w14:textId="4B5624D0" w:rsidR="006E5539" w:rsidRDefault="006E5539" w:rsidP="006E5539">
            <w:pPr>
              <w:jc w:val="both"/>
              <w:rPr>
                <w:rFonts w:ascii="Cambria" w:hAnsi="Cambria"/>
                <w:kern w:val="2"/>
                <w:sz w:val="22"/>
                <w:szCs w:val="22"/>
              </w:rPr>
            </w:pPr>
            <w:r w:rsidRPr="006E5539">
              <w:rPr>
                <w:rFonts w:ascii="Cambria" w:hAnsi="Cambria"/>
                <w:kern w:val="2"/>
                <w:sz w:val="22"/>
                <w:szCs w:val="22"/>
              </w:rPr>
              <w:t xml:space="preserve">Sutarties kaina yra </w:t>
            </w:r>
            <w:r w:rsidRPr="006E5539">
              <w:rPr>
                <w:rFonts w:ascii="Cambria" w:hAnsi="Cambria"/>
                <w:b/>
                <w:kern w:val="2"/>
                <w:sz w:val="22"/>
                <w:szCs w:val="22"/>
              </w:rPr>
              <w:t>15</w:t>
            </w:r>
            <w:r>
              <w:rPr>
                <w:rFonts w:ascii="Cambria" w:hAnsi="Cambria"/>
                <w:b/>
                <w:kern w:val="2"/>
                <w:sz w:val="22"/>
                <w:szCs w:val="22"/>
              </w:rPr>
              <w:t xml:space="preserve"> </w:t>
            </w:r>
            <w:r w:rsidRPr="006E5539">
              <w:rPr>
                <w:rFonts w:ascii="Cambria" w:hAnsi="Cambria"/>
                <w:b/>
                <w:kern w:val="2"/>
                <w:sz w:val="22"/>
                <w:szCs w:val="22"/>
              </w:rPr>
              <w:t>519</w:t>
            </w:r>
            <w:r w:rsidRPr="006E5539">
              <w:rPr>
                <w:rFonts w:ascii="Cambria" w:hAnsi="Cambria"/>
                <w:b/>
                <w:kern w:val="2"/>
                <w:sz w:val="22"/>
                <w:szCs w:val="22"/>
              </w:rPr>
              <w:t>,</w:t>
            </w:r>
            <w:r>
              <w:rPr>
                <w:rFonts w:ascii="Cambria" w:hAnsi="Cambria"/>
                <w:b/>
                <w:kern w:val="2"/>
                <w:sz w:val="22"/>
                <w:szCs w:val="22"/>
              </w:rPr>
              <w:t>0</w:t>
            </w:r>
            <w:r w:rsidRPr="006E5539">
              <w:rPr>
                <w:rFonts w:ascii="Cambria" w:hAnsi="Cambria"/>
                <w:b/>
                <w:kern w:val="2"/>
                <w:sz w:val="22"/>
                <w:szCs w:val="22"/>
              </w:rPr>
              <w:t>0 Eur</w:t>
            </w:r>
            <w:r w:rsidRPr="006E5539">
              <w:rPr>
                <w:rFonts w:ascii="Cambria" w:hAnsi="Cambria"/>
                <w:kern w:val="2"/>
                <w:sz w:val="22"/>
                <w:szCs w:val="22"/>
              </w:rPr>
              <w:t>, (</w:t>
            </w:r>
            <w:r>
              <w:rPr>
                <w:rFonts w:ascii="Cambria" w:hAnsi="Cambria"/>
                <w:kern w:val="2"/>
                <w:sz w:val="22"/>
                <w:szCs w:val="22"/>
              </w:rPr>
              <w:t>p</w:t>
            </w:r>
            <w:r w:rsidRPr="006E5539">
              <w:rPr>
                <w:rFonts w:ascii="Cambria" w:hAnsi="Cambria"/>
                <w:kern w:val="2"/>
                <w:sz w:val="22"/>
                <w:szCs w:val="22"/>
              </w:rPr>
              <w:t>enkiolika tūkstančių penki šimtai devyniolika eurų 00 ct</w:t>
            </w:r>
            <w:r w:rsidRPr="006E5539">
              <w:rPr>
                <w:rFonts w:ascii="Cambria" w:hAnsi="Cambria"/>
                <w:kern w:val="2"/>
                <w:sz w:val="22"/>
                <w:szCs w:val="22"/>
              </w:rPr>
              <w:t>) Eur su PVM.</w:t>
            </w:r>
          </w:p>
          <w:p w14:paraId="77FFCFCA" w14:textId="77777777" w:rsidR="006E5539" w:rsidRPr="006E5539" w:rsidRDefault="006E5539" w:rsidP="00775C8F">
            <w:pPr>
              <w:jc w:val="both"/>
              <w:rPr>
                <w:rFonts w:ascii="Cambria" w:hAnsi="Cambria"/>
                <w:kern w:val="2"/>
                <w:sz w:val="22"/>
                <w:szCs w:val="22"/>
              </w:rPr>
            </w:pPr>
          </w:p>
          <w:p w14:paraId="0D8762A3" w14:textId="184AA82D" w:rsidR="005E1BE0" w:rsidRPr="006E5539" w:rsidRDefault="005E1BE0" w:rsidP="00775C8F">
            <w:pPr>
              <w:jc w:val="both"/>
              <w:rPr>
                <w:rFonts w:ascii="Cambria" w:hAnsi="Cambria"/>
                <w:kern w:val="2"/>
                <w:sz w:val="22"/>
                <w:szCs w:val="22"/>
              </w:rPr>
            </w:pPr>
            <w:r w:rsidRPr="006E5539">
              <w:rPr>
                <w:rFonts w:ascii="Cambria" w:hAnsi="Cambria"/>
                <w:kern w:val="2"/>
                <w:sz w:val="22"/>
                <w:szCs w:val="22"/>
              </w:rPr>
              <w:t xml:space="preserve">Šioje Sutartyje Pradinės Sutarties vertė yra lygi </w:t>
            </w:r>
            <w:r w:rsidRPr="006E5539">
              <w:rPr>
                <w:rFonts w:ascii="Cambria" w:hAnsi="Cambria"/>
                <w:b/>
                <w:kern w:val="2"/>
                <w:sz w:val="22"/>
                <w:szCs w:val="22"/>
              </w:rPr>
              <w:t>maksimaliai pirkimui skirtai lėšų sumai be PVM</w:t>
            </w:r>
            <w:r w:rsidRPr="006E5539">
              <w:rPr>
                <w:rFonts w:ascii="Cambria" w:hAnsi="Cambria"/>
                <w:kern w:val="2"/>
                <w:sz w:val="22"/>
                <w:szCs w:val="22"/>
              </w:rPr>
              <w:t xml:space="preserve"> pirkimo dokumentuose ir Sutartyje nurodytų Prekių įsigijimui Tiekėjo pasiūlyme nurodytais įkainiais be PVM. Pirkėjas perka Prekes pagal poreikį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nurodytais įkainiais, neviršijant bendros Sutarties kainos.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atskirose eilutėse nurodytas Prekių kiekis gali būti keičiamas (didėti ar mažėti).</w:t>
            </w:r>
          </w:p>
          <w:p w14:paraId="3E819AD1" w14:textId="1B87522A" w:rsidR="00753252" w:rsidRPr="006E5539" w:rsidRDefault="00775C8F" w:rsidP="00775C8F">
            <w:pPr>
              <w:jc w:val="both"/>
              <w:rPr>
                <w:rFonts w:ascii="Cambria" w:hAnsi="Cambria"/>
                <w:color w:val="000000"/>
                <w:kern w:val="2"/>
                <w:sz w:val="22"/>
                <w:szCs w:val="22"/>
              </w:rPr>
            </w:pPr>
            <w:r w:rsidRPr="006E5539">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55170A" w:rsidRPr="006E5539">
              <w:rPr>
                <w:rFonts w:ascii="Cambria" w:hAnsi="Cambria"/>
                <w:kern w:val="2"/>
                <w:sz w:val="22"/>
                <w:szCs w:val="22"/>
              </w:rPr>
              <w:t xml:space="preserve"> </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6813C89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r w:rsidR="001B46DE">
              <w:rPr>
                <w:rFonts w:ascii="Cambria" w:hAnsi="Cambria"/>
                <w:kern w:val="2"/>
                <w:sz w:val="22"/>
                <w:szCs w:val="22"/>
              </w:rPr>
              <w:t xml:space="preserve"> </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CC58E38"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5.3.3. </w:t>
            </w:r>
            <w:r w:rsidR="001B71C8" w:rsidRPr="001B71C8">
              <w:rPr>
                <w:rFonts w:ascii="Cambria" w:hAnsi="Cambria"/>
                <w:kern w:val="2"/>
                <w:sz w:val="22"/>
                <w:szCs w:val="22"/>
              </w:rPr>
              <w:t>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1B71C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BE6893" w:rsidRDefault="001B71C8" w:rsidP="001B71C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2D294F9" w14:textId="77777777" w:rsidR="001B71C8" w:rsidRPr="00BE6893" w:rsidRDefault="001B71C8" w:rsidP="001B71C8">
            <w:pPr>
              <w:rPr>
                <w:rFonts w:ascii="Cambria" w:hAnsi="Cambria"/>
                <w:color w:val="4472C4"/>
                <w:kern w:val="2"/>
                <w:sz w:val="22"/>
                <w:szCs w:val="22"/>
              </w:rPr>
            </w:pPr>
          </w:p>
          <w:p w14:paraId="1002BE87" w14:textId="3D396D7C" w:rsidR="001B71C8" w:rsidRPr="006B7CE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BE6893" w:rsidRDefault="001B71C8" w:rsidP="001B71C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5BE50BB9"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BE6893" w:rsidRDefault="0058457E"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BE6893">
              <w:rPr>
                <w:rFonts w:ascii="Cambria" w:hAnsi="Cambria"/>
                <w:kern w:val="2"/>
                <w:sz w:val="22"/>
                <w:szCs w:val="22"/>
              </w:rPr>
              <w:t>, kur a – kaina / įkainis (Eur be PVM)) (jei peržiūra jau buvo atlikta, tai po paskutinio perskaičiavimo) </w:t>
            </w:r>
          </w:p>
          <w:p w14:paraId="2A068EFD"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58A84824"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37E29052" w14:textId="77777777" w:rsidR="001B71C8" w:rsidRPr="00BE689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09C75CB4"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lastRenderedPageBreak/>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BE6893" w:rsidRDefault="001B71C8" w:rsidP="001B71C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4C0E0D3A"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6E1773B4" w:rsidR="001B71C8" w:rsidRPr="006B7CE3" w:rsidRDefault="001B71C8" w:rsidP="001B71C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55CE0371" w:rsidR="00C44973" w:rsidRPr="006B7CE3" w:rsidRDefault="00E13196" w:rsidP="00101893">
            <w:pPr>
              <w:jc w:val="both"/>
              <w:rPr>
                <w:rFonts w:ascii="Cambria" w:hAnsi="Cambria"/>
                <w:kern w:val="2"/>
                <w:sz w:val="22"/>
                <w:szCs w:val="22"/>
              </w:rPr>
            </w:pPr>
            <w:r>
              <w:rPr>
                <w:rFonts w:ascii="Cambria" w:hAnsi="Cambria"/>
                <w:kern w:val="2"/>
                <w:sz w:val="22"/>
                <w:szCs w:val="22"/>
              </w:rPr>
              <w:t xml:space="preserve">6.1.1. </w:t>
            </w:r>
            <w:r w:rsidRPr="00E13196">
              <w:rPr>
                <w:rFonts w:ascii="Cambria" w:hAnsi="Cambria"/>
                <w:kern w:val="2"/>
                <w:sz w:val="22"/>
                <w:szCs w:val="22"/>
              </w:rPr>
              <w:t xml:space="preserve">Tiekėjas, pateikęs įrangą panaudos būdu, privalo savo sąskaita ją įdiegti, apmokyti vartotojus, užtikrinti jos techninę priežiūrą pagal gamintojo rekomendacijas  ir techninės būklės tikrinimą (jei toks reikalingas vadovaujantis teisės aktų reikalavimais ir/ar gamintojo </w:t>
            </w:r>
            <w:r w:rsidRPr="00E13196">
              <w:rPr>
                <w:rFonts w:ascii="Cambria" w:hAnsi="Cambria"/>
                <w:kern w:val="2"/>
                <w:sz w:val="22"/>
                <w:szCs w:val="22"/>
              </w:rPr>
              <w:lastRenderedPageBreak/>
              <w:t>rekomendacijomis), galimų gedimų šalinimą/remontą bei kitaip užtikrinti nenutrūkstamą įrangos veikimą ir tinkamą funkcionavimą visą panaudos sutarties galiojimo terminą</w:t>
            </w:r>
            <w:r w:rsidR="00C44973" w:rsidRPr="006B7CE3">
              <w:rPr>
                <w:rFonts w:ascii="Cambria" w:hAnsi="Cambria"/>
                <w:b/>
                <w:kern w:val="2"/>
                <w:sz w:val="22"/>
                <w:szCs w:val="22"/>
              </w:rPr>
              <w:t>.</w:t>
            </w:r>
            <w:r w:rsidR="00C44973" w:rsidRPr="006B7CE3">
              <w:rPr>
                <w:rFonts w:ascii="Cambria" w:hAnsi="Cambria"/>
                <w:kern w:val="2"/>
                <w:sz w:val="22"/>
                <w:szCs w:val="22"/>
              </w:rPr>
              <w:t xml:space="preserve"> </w:t>
            </w:r>
          </w:p>
          <w:p w14:paraId="1AD73BAD" w14:textId="5B66F2D8" w:rsidR="00753252" w:rsidRDefault="00E13196" w:rsidP="00101893">
            <w:pPr>
              <w:jc w:val="both"/>
              <w:rPr>
                <w:rFonts w:ascii="Cambria" w:hAnsi="Cambria"/>
                <w:b/>
                <w:color w:val="808080" w:themeColor="background1" w:themeShade="80"/>
                <w:kern w:val="2"/>
                <w:sz w:val="22"/>
                <w:szCs w:val="22"/>
              </w:rPr>
            </w:pPr>
            <w:r>
              <w:rPr>
                <w:rFonts w:ascii="Cambria" w:hAnsi="Cambria"/>
                <w:kern w:val="2"/>
                <w:sz w:val="22"/>
                <w:szCs w:val="22"/>
              </w:rPr>
              <w:t xml:space="preserve">6.1.2. </w:t>
            </w:r>
            <w:r w:rsidR="00C44973" w:rsidRPr="006B7CE3">
              <w:rPr>
                <w:rFonts w:ascii="Cambria" w:hAnsi="Cambria"/>
                <w:kern w:val="2"/>
                <w:sz w:val="22"/>
                <w:szCs w:val="22"/>
              </w:rPr>
              <w:t xml:space="preserve">Garantinis terminas, skaičiuojamas nuo panaudos perdavimo–priėmimo akto pasirašymo dienos. </w:t>
            </w:r>
            <w:r w:rsidR="00C44973" w:rsidRPr="006B7CE3">
              <w:rPr>
                <w:rFonts w:ascii="Cambria" w:hAnsi="Cambria"/>
                <w:b/>
                <w:color w:val="808080" w:themeColor="background1" w:themeShade="80"/>
                <w:kern w:val="2"/>
                <w:sz w:val="22"/>
                <w:szCs w:val="22"/>
              </w:rPr>
              <w:t xml:space="preserve"> </w:t>
            </w:r>
          </w:p>
          <w:p w14:paraId="22122598" w14:textId="177F3EC9" w:rsidR="001E0E4E" w:rsidRPr="006B7CE3" w:rsidRDefault="00E13196" w:rsidP="00101893">
            <w:pPr>
              <w:jc w:val="both"/>
              <w:rPr>
                <w:rFonts w:ascii="Cambria" w:hAnsi="Cambria"/>
                <w:kern w:val="2"/>
                <w:sz w:val="22"/>
                <w:szCs w:val="22"/>
              </w:rPr>
            </w:pPr>
            <w:r>
              <w:rPr>
                <w:rFonts w:ascii="Cambria" w:hAnsi="Cambria"/>
                <w:kern w:val="2"/>
                <w:sz w:val="22"/>
                <w:szCs w:val="22"/>
              </w:rPr>
              <w:t xml:space="preserve">6.1.3. </w:t>
            </w:r>
            <w:r w:rsidR="001E0E4E" w:rsidRPr="006B7CE3">
              <w:rPr>
                <w:rFonts w:ascii="Cambria" w:hAnsi="Cambria"/>
                <w:kern w:val="2"/>
                <w:sz w:val="22"/>
                <w:szCs w:val="22"/>
              </w:rPr>
              <w:t xml:space="preserve">Tiekėjas įsipareigoja tiekti reagentus, kurių galiojimas būtų ne trumpesnis kaip </w:t>
            </w:r>
            <w:r w:rsidR="00CD7FAF" w:rsidRPr="00CD7FAF">
              <w:rPr>
                <w:rFonts w:ascii="Cambria" w:hAnsi="Cambria"/>
                <w:b/>
                <w:kern w:val="2"/>
                <w:sz w:val="22"/>
                <w:szCs w:val="22"/>
              </w:rPr>
              <w:t>12</w:t>
            </w:r>
            <w:r w:rsidR="001E0E4E" w:rsidRPr="006B7CE3">
              <w:rPr>
                <w:rFonts w:ascii="Cambria" w:hAnsi="Cambria"/>
                <w:b/>
                <w:kern w:val="2"/>
                <w:sz w:val="22"/>
                <w:szCs w:val="22"/>
              </w:rPr>
              <w:t xml:space="preserve"> (</w:t>
            </w:r>
            <w:r w:rsidR="00CD7FAF">
              <w:rPr>
                <w:rFonts w:ascii="Cambria" w:hAnsi="Cambria"/>
                <w:b/>
                <w:kern w:val="2"/>
                <w:sz w:val="22"/>
                <w:szCs w:val="22"/>
              </w:rPr>
              <w:t>dvylika</w:t>
            </w:r>
            <w:r w:rsidR="001E0E4E" w:rsidRPr="006B7CE3">
              <w:rPr>
                <w:rFonts w:ascii="Cambria" w:hAnsi="Cambria"/>
                <w:b/>
                <w:kern w:val="2"/>
                <w:sz w:val="22"/>
                <w:szCs w:val="22"/>
              </w:rPr>
              <w:t>) mėn.</w:t>
            </w:r>
            <w:r w:rsidR="00E276C6">
              <w:rPr>
                <w:rFonts w:ascii="Cambria" w:hAnsi="Cambria"/>
                <w:b/>
                <w:kern w:val="2"/>
                <w:sz w:val="22"/>
                <w:szCs w:val="22"/>
              </w:rPr>
              <w:t xml:space="preserve"> </w:t>
            </w:r>
            <w:r w:rsidR="001E0E4E"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7C8BE887" w:rsidR="00753252" w:rsidRPr="006B7CE3" w:rsidRDefault="00E13196" w:rsidP="001B46DE">
            <w:pPr>
              <w:jc w:val="both"/>
              <w:rPr>
                <w:rFonts w:ascii="Cambria" w:hAnsi="Cambria"/>
                <w:kern w:val="2"/>
                <w:sz w:val="22"/>
                <w:szCs w:val="22"/>
              </w:rPr>
            </w:pPr>
            <w:r w:rsidRPr="00E13196">
              <w:rPr>
                <w:rFonts w:ascii="Cambria" w:hAnsi="Cambria"/>
                <w:kern w:val="2"/>
                <w:sz w:val="22"/>
                <w:szCs w:val="22"/>
              </w:rPr>
              <w:t xml:space="preserve">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E13196">
              <w:rPr>
                <w:rFonts w:ascii="Cambria" w:hAnsi="Cambria"/>
                <w:kern w:val="2"/>
                <w:sz w:val="22"/>
                <w:szCs w:val="22"/>
              </w:rPr>
              <w:t>savalaikiškai</w:t>
            </w:r>
            <w:proofErr w:type="spellEnd"/>
            <w:r w:rsidRPr="00E13196">
              <w:rPr>
                <w:rFonts w:ascii="Cambria" w:hAnsi="Cambria"/>
                <w:kern w:val="2"/>
                <w:sz w:val="22"/>
                <w:szCs w:val="22"/>
              </w:rPr>
              <w:t xml:space="preserve"> atlikti tyrimus</w:t>
            </w:r>
            <w:r>
              <w:rPr>
                <w:rFonts w:ascii="Cambria" w:hAnsi="Cambria"/>
                <w:kern w:val="2"/>
                <w:sz w:val="22"/>
                <w:szCs w:val="22"/>
              </w:rPr>
              <w:t>.</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6B7CE3">
              <w:rPr>
                <w:rFonts w:ascii="Cambria" w:hAnsi="Cambria"/>
                <w:sz w:val="22"/>
                <w:szCs w:val="22"/>
                <w:lang w:val="lt"/>
              </w:rPr>
              <w:lastRenderedPageBreak/>
              <w:t>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9.9. Tiekėjui taikoma bauda dėl Pirkėjo simbolių, pavadinimo ir ženklo reklamoje ar rinkodaroje naudojimo reikalavimų nesilaikymo bei draudimo naudotis </w:t>
            </w:r>
            <w:r w:rsidRPr="006B7CE3">
              <w:rPr>
                <w:rFonts w:ascii="Cambria" w:hAnsi="Cambria"/>
                <w:b/>
                <w:bCs/>
                <w:kern w:val="2"/>
                <w:sz w:val="22"/>
                <w:szCs w:val="22"/>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lastRenderedPageBreak/>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1CB2133"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E13196">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E13196">
              <w:rPr>
                <w:rFonts w:ascii="Cambria" w:hAnsi="Cambria"/>
                <w:b/>
                <w:color w:val="000000"/>
                <w:kern w:val="2"/>
                <w:sz w:val="22"/>
                <w:szCs w:val="22"/>
              </w:rPr>
              <w:t>trisdešimt šeši</w:t>
            </w:r>
            <w:r w:rsidR="00E27FB8" w:rsidRPr="006B7CE3">
              <w:rPr>
                <w:rFonts w:ascii="Cambria" w:hAnsi="Cambria"/>
                <w:b/>
                <w:color w:val="000000"/>
                <w:kern w:val="2"/>
                <w:sz w:val="22"/>
                <w:szCs w:val="22"/>
              </w:rPr>
              <w:t>) mėnesi</w:t>
            </w:r>
            <w:r w:rsidR="00E13196">
              <w:rPr>
                <w:rFonts w:ascii="Cambria" w:hAnsi="Cambria"/>
                <w:b/>
                <w:color w:val="000000"/>
                <w:kern w:val="2"/>
                <w:sz w:val="22"/>
                <w:szCs w:val="22"/>
              </w:rPr>
              <w:t>ai</w:t>
            </w:r>
            <w:r w:rsidR="00E27FB8" w:rsidRPr="006B7CE3">
              <w:rPr>
                <w:rFonts w:ascii="Cambria" w:hAnsi="Cambria"/>
                <w:b/>
                <w:color w:val="000000"/>
                <w:kern w:val="2"/>
                <w:sz w:val="22"/>
                <w:szCs w:val="22"/>
              </w:rPr>
              <w:t>.</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1B46DE" w:rsidRDefault="00182C20">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753252" w:rsidRPr="001B46DE" w:rsidRDefault="003B0F57" w:rsidP="00970326">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25CA091F" w14:textId="77777777" w:rsidR="00E13196" w:rsidRDefault="00E13196">
            <w:pPr>
              <w:jc w:val="center"/>
              <w:rPr>
                <w:rFonts w:ascii="Cambria" w:hAnsi="Cambria"/>
                <w:kern w:val="2"/>
                <w:sz w:val="22"/>
                <w:szCs w:val="22"/>
              </w:rPr>
            </w:pPr>
            <w:r w:rsidRPr="00E13196">
              <w:rPr>
                <w:rFonts w:ascii="Cambria" w:hAnsi="Cambria"/>
                <w:kern w:val="2"/>
                <w:sz w:val="22"/>
                <w:szCs w:val="22"/>
              </w:rPr>
              <w:t xml:space="preserve">Generalinis direktorius </w:t>
            </w:r>
          </w:p>
          <w:p w14:paraId="3F5EBA6D" w14:textId="7124A48F" w:rsidR="00753252" w:rsidRPr="006B7CE3" w:rsidRDefault="00E13196">
            <w:pPr>
              <w:jc w:val="center"/>
              <w:rPr>
                <w:rFonts w:ascii="Cambria" w:hAnsi="Cambria"/>
                <w:kern w:val="2"/>
                <w:sz w:val="22"/>
                <w:szCs w:val="22"/>
              </w:rPr>
            </w:pPr>
            <w:r w:rsidRPr="00E13196">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6C94FB1A" w14:textId="2A7202D1" w:rsidR="00A13DB3" w:rsidRDefault="00A13DB3">
      <w:pPr>
        <w:rPr>
          <w:rFonts w:ascii="Cambria" w:hAnsi="Cambria"/>
          <w:sz w:val="22"/>
          <w:szCs w:val="22"/>
        </w:rPr>
      </w:pPr>
    </w:p>
    <w:p w14:paraId="72E2D4D4" w14:textId="030BBF1B" w:rsidR="00A13DB3" w:rsidRDefault="00A13DB3">
      <w:pPr>
        <w:rPr>
          <w:rFonts w:ascii="Cambria" w:hAnsi="Cambria"/>
          <w:sz w:val="22"/>
          <w:szCs w:val="22"/>
        </w:rPr>
      </w:pPr>
    </w:p>
    <w:p w14:paraId="74AF2C79" w14:textId="7F4A0A9A" w:rsidR="00A13DB3" w:rsidRDefault="00A13DB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bookmarkStart w:id="0" w:name="_GoBack"/>
      <w:bookmarkEnd w:id="0"/>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neatlygintinai instaliuoti visą reikiamą programinę įrangą ir kitaip paruošti Turtą naudoti Lietuvos sveikatos </w:t>
      </w:r>
      <w:r w:rsidRPr="00464B7D">
        <w:rPr>
          <w:rFonts w:ascii="Cambria" w:hAnsi="Cambria"/>
          <w:sz w:val="22"/>
          <w:szCs w:val="22"/>
        </w:rPr>
        <w:t>mokslų universiteto ligoninei Kauno klinikoms;</w:t>
      </w:r>
    </w:p>
    <w:p w14:paraId="642B52D0"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pateikti Turto vartotojo vadovą (instrukciją) lietuvių kalba (jeigu Techninėje specifikacijoje nenurodyta kitaip);</w:t>
      </w:r>
    </w:p>
    <w:p w14:paraId="6D14EC79"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savo lėšomis apmokyti Panaudos gavėjo darbuotojus naudotis Turtu ir nuolat teikti jiems konsultacijas; </w:t>
      </w:r>
    </w:p>
    <w:p w14:paraId="3C7E5CF1" w14:textId="098CAF87" w:rsidR="002D632C" w:rsidRPr="00E13196"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E13196">
        <w:rPr>
          <w:rFonts w:ascii="Cambria" w:hAnsi="Cambria"/>
          <w:sz w:val="22"/>
          <w:szCs w:val="22"/>
        </w:rPr>
        <w:t xml:space="preserve">Panaudos davėjas </w:t>
      </w:r>
      <w:r w:rsidR="00A13DB3" w:rsidRPr="00E13196">
        <w:rPr>
          <w:rFonts w:ascii="Cambria" w:hAnsi="Cambria"/>
          <w:sz w:val="22"/>
          <w:szCs w:val="22"/>
        </w:rPr>
        <w:t xml:space="preserve">turi užtikrinti Turto aparatūrinės ir programinės dalies techninį aptarnavimą sutarties galiojimo laikotarpiu. Panaudos davėjui </w:t>
      </w:r>
      <w:r w:rsidR="00E13196" w:rsidRPr="00E13196">
        <w:rPr>
          <w:rFonts w:ascii="Cambria" w:hAnsi="Cambria" w:cstheme="minorHAnsi"/>
          <w:sz w:val="22"/>
          <w:szCs w:val="22"/>
        </w:rPr>
        <w:t xml:space="preserve">gavus pranešimą apie </w:t>
      </w:r>
      <w:r w:rsidR="00E13196">
        <w:rPr>
          <w:rFonts w:ascii="Cambria" w:hAnsi="Cambria" w:cstheme="minorHAnsi"/>
          <w:sz w:val="22"/>
          <w:szCs w:val="22"/>
        </w:rPr>
        <w:t>Turto</w:t>
      </w:r>
      <w:r w:rsidR="00E13196" w:rsidRPr="00E13196">
        <w:rPr>
          <w:rFonts w:ascii="Cambria" w:hAnsi="Cambria" w:cstheme="minorHAnsi"/>
          <w:sz w:val="22"/>
          <w:szCs w:val="22"/>
        </w:rPr>
        <w:t xml:space="preserve"> gedimą,  į Kauno klinikas per 24 val. turi atvykti reikiamą kvalifikaciją turintis darbuotojas ir visiškai pašalinti gedimą, o nesant galimybės pašalinti gedimą per 72 val. </w:t>
      </w:r>
      <w:r w:rsidR="00E13196">
        <w:rPr>
          <w:rFonts w:ascii="Cambria" w:hAnsi="Cambria" w:cstheme="minorHAnsi"/>
          <w:sz w:val="22"/>
          <w:szCs w:val="22"/>
        </w:rPr>
        <w:t>Panaudos davėjas</w:t>
      </w:r>
      <w:r w:rsidR="00E13196" w:rsidRPr="00E13196">
        <w:rPr>
          <w:rFonts w:ascii="Cambria" w:hAnsi="Cambria" w:cstheme="minorHAnsi"/>
          <w:sz w:val="22"/>
          <w:szCs w:val="22"/>
        </w:rPr>
        <w:t xml:space="preserve"> privalo sugedus</w:t>
      </w:r>
      <w:r w:rsidR="00E13196">
        <w:rPr>
          <w:rFonts w:ascii="Cambria" w:hAnsi="Cambria" w:cstheme="minorHAnsi"/>
          <w:sz w:val="22"/>
          <w:szCs w:val="22"/>
        </w:rPr>
        <w:t>į</w:t>
      </w:r>
      <w:r w:rsidR="00E13196" w:rsidRPr="00E13196">
        <w:rPr>
          <w:rFonts w:ascii="Cambria" w:hAnsi="Cambria" w:cstheme="minorHAnsi"/>
          <w:sz w:val="22"/>
          <w:szCs w:val="22"/>
        </w:rPr>
        <w:t xml:space="preserve"> (netinkamai veikian</w:t>
      </w:r>
      <w:r w:rsidR="00E13196">
        <w:rPr>
          <w:rFonts w:ascii="Cambria" w:hAnsi="Cambria" w:cstheme="minorHAnsi"/>
          <w:sz w:val="22"/>
          <w:szCs w:val="22"/>
        </w:rPr>
        <w:t>tį</w:t>
      </w:r>
      <w:r w:rsidR="00E13196" w:rsidRPr="00E13196">
        <w:rPr>
          <w:rFonts w:ascii="Cambria" w:hAnsi="Cambria" w:cstheme="minorHAnsi"/>
          <w:sz w:val="22"/>
          <w:szCs w:val="22"/>
        </w:rPr>
        <w:t xml:space="preserve">) </w:t>
      </w:r>
      <w:r w:rsidR="00E13196">
        <w:rPr>
          <w:rFonts w:ascii="Cambria" w:hAnsi="Cambria" w:cstheme="minorHAnsi"/>
          <w:sz w:val="22"/>
          <w:szCs w:val="22"/>
        </w:rPr>
        <w:t>Turtą</w:t>
      </w:r>
      <w:r w:rsidR="00E13196" w:rsidRPr="00E13196">
        <w:rPr>
          <w:rFonts w:ascii="Cambria" w:hAnsi="Cambria" w:cstheme="minorHAnsi"/>
          <w:sz w:val="22"/>
          <w:szCs w:val="22"/>
        </w:rPr>
        <w:t xml:space="preserve"> laikinai pakeisti lygiaver</w:t>
      </w:r>
      <w:r w:rsidR="00E13196">
        <w:rPr>
          <w:rFonts w:ascii="Cambria" w:hAnsi="Cambria" w:cstheme="minorHAnsi"/>
          <w:sz w:val="22"/>
          <w:szCs w:val="22"/>
        </w:rPr>
        <w:t>čiu</w:t>
      </w:r>
      <w:r w:rsidR="00E13196" w:rsidRPr="00E13196">
        <w:rPr>
          <w:rFonts w:ascii="Cambria" w:hAnsi="Cambria" w:cstheme="minorHAnsi"/>
          <w:sz w:val="22"/>
          <w:szCs w:val="22"/>
        </w:rPr>
        <w:t xml:space="preserve"> arba kitokiu būdu sudaryti sąlygas kokybiškai ir </w:t>
      </w:r>
      <w:proofErr w:type="spellStart"/>
      <w:r w:rsidR="00E13196" w:rsidRPr="00E13196">
        <w:rPr>
          <w:rFonts w:ascii="Cambria" w:hAnsi="Cambria" w:cstheme="minorHAnsi"/>
          <w:sz w:val="22"/>
          <w:szCs w:val="22"/>
        </w:rPr>
        <w:t>savalaikiškai</w:t>
      </w:r>
      <w:proofErr w:type="spellEnd"/>
      <w:r w:rsidR="00E13196" w:rsidRPr="00E13196">
        <w:rPr>
          <w:rFonts w:ascii="Cambria" w:hAnsi="Cambria" w:cstheme="minorHAnsi"/>
          <w:sz w:val="22"/>
          <w:szCs w:val="22"/>
        </w:rPr>
        <w:t xml:space="preserve"> atlikti tyrimus</w:t>
      </w:r>
      <w:r w:rsidR="000B000B" w:rsidRPr="00E13196">
        <w:rPr>
          <w:rFonts w:ascii="Cambria" w:hAnsi="Cambria"/>
          <w:sz w:val="22"/>
          <w:szCs w:val="22"/>
        </w:rPr>
        <w:t>.</w:t>
      </w:r>
    </w:p>
    <w:p w14:paraId="6F49FA97" w14:textId="77777777" w:rsidR="001B46DE" w:rsidRPr="00E13196"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lastRenderedPageBreak/>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22061C2C"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E13196">
        <w:rPr>
          <w:rFonts w:ascii="Cambria" w:eastAsia="Times New Roman" w:hAnsi="Cambria" w:cs="Times New Roman"/>
          <w:b/>
          <w:lang w:val="lt-LT"/>
        </w:rPr>
        <w:t>36</w:t>
      </w:r>
      <w:r w:rsidRPr="006B7CE3">
        <w:rPr>
          <w:rFonts w:ascii="Cambria" w:hAnsi="Cambria"/>
          <w:b/>
          <w:lang w:val="lt-LT" w:eastAsia="lt-LT"/>
        </w:rPr>
        <w:t xml:space="preserve"> (</w:t>
      </w:r>
      <w:r w:rsidR="00E13196">
        <w:rPr>
          <w:rFonts w:ascii="Cambria" w:hAnsi="Cambria"/>
          <w:b/>
          <w:lang w:val="lt-LT" w:eastAsia="lt-LT"/>
        </w:rPr>
        <w:t>trisdešimt šešis</w:t>
      </w:r>
      <w:r w:rsidRPr="006B7CE3">
        <w:rPr>
          <w:rFonts w:ascii="Cambria" w:hAnsi="Cambria"/>
          <w:b/>
          <w:lang w:val="lt-LT" w:eastAsia="lt-LT"/>
        </w:rPr>
        <w:t>) mėnesi</w:t>
      </w:r>
      <w:r w:rsidR="00E13196">
        <w:rPr>
          <w:rFonts w:ascii="Cambria" w:hAnsi="Cambria"/>
          <w:b/>
          <w:lang w:val="lt-LT" w:eastAsia="lt-LT"/>
        </w:rPr>
        <w:t>us</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BC74ADE"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54956D32"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A72B7" w14:textId="77777777" w:rsidR="00D545E9" w:rsidRDefault="00D545E9">
      <w:r>
        <w:separator/>
      </w:r>
    </w:p>
  </w:endnote>
  <w:endnote w:type="continuationSeparator" w:id="0">
    <w:p w14:paraId="68C4605A" w14:textId="77777777" w:rsidR="00D545E9" w:rsidRDefault="00D5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58457E" w:rsidRDefault="0058457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58457E" w:rsidRDefault="0058457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58457E" w:rsidRDefault="0058457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E945C" w14:textId="77777777" w:rsidR="00D545E9" w:rsidRDefault="00D545E9">
      <w:r>
        <w:separator/>
      </w:r>
    </w:p>
  </w:footnote>
  <w:footnote w:type="continuationSeparator" w:id="0">
    <w:p w14:paraId="6E218A5F" w14:textId="77777777" w:rsidR="00D545E9" w:rsidRDefault="00D5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58457E" w:rsidRDefault="0058457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58457E" w:rsidRDefault="0058457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58457E" w:rsidRDefault="0058457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73893"/>
    <w:rsid w:val="000B000B"/>
    <w:rsid w:val="000C0D0A"/>
    <w:rsid w:val="000C63B8"/>
    <w:rsid w:val="000D5E51"/>
    <w:rsid w:val="000E6F4B"/>
    <w:rsid w:val="00101893"/>
    <w:rsid w:val="00112792"/>
    <w:rsid w:val="0012395B"/>
    <w:rsid w:val="0015459F"/>
    <w:rsid w:val="00162911"/>
    <w:rsid w:val="001671B4"/>
    <w:rsid w:val="00182C20"/>
    <w:rsid w:val="00196E89"/>
    <w:rsid w:val="001B46DE"/>
    <w:rsid w:val="001B71C8"/>
    <w:rsid w:val="001E0E4E"/>
    <w:rsid w:val="001F3BF7"/>
    <w:rsid w:val="002525EF"/>
    <w:rsid w:val="00265FCE"/>
    <w:rsid w:val="002755BD"/>
    <w:rsid w:val="002A5AAF"/>
    <w:rsid w:val="002D632C"/>
    <w:rsid w:val="002F0B5F"/>
    <w:rsid w:val="003644B9"/>
    <w:rsid w:val="003921D0"/>
    <w:rsid w:val="003B0D09"/>
    <w:rsid w:val="003B0F57"/>
    <w:rsid w:val="003E1AFB"/>
    <w:rsid w:val="00435434"/>
    <w:rsid w:val="00462129"/>
    <w:rsid w:val="00464B7D"/>
    <w:rsid w:val="0047013A"/>
    <w:rsid w:val="00470289"/>
    <w:rsid w:val="00470339"/>
    <w:rsid w:val="00492272"/>
    <w:rsid w:val="005265AE"/>
    <w:rsid w:val="0055170A"/>
    <w:rsid w:val="00581330"/>
    <w:rsid w:val="0058457E"/>
    <w:rsid w:val="005A23D8"/>
    <w:rsid w:val="005E1BE0"/>
    <w:rsid w:val="00611F32"/>
    <w:rsid w:val="00613B7F"/>
    <w:rsid w:val="00672DC8"/>
    <w:rsid w:val="00682208"/>
    <w:rsid w:val="006A029D"/>
    <w:rsid w:val="006B7CE3"/>
    <w:rsid w:val="006E5539"/>
    <w:rsid w:val="006F425C"/>
    <w:rsid w:val="00731731"/>
    <w:rsid w:val="00753252"/>
    <w:rsid w:val="00765982"/>
    <w:rsid w:val="00773679"/>
    <w:rsid w:val="00775C8F"/>
    <w:rsid w:val="007E31DC"/>
    <w:rsid w:val="007E5C9B"/>
    <w:rsid w:val="007F24F8"/>
    <w:rsid w:val="007F7C9E"/>
    <w:rsid w:val="0088411A"/>
    <w:rsid w:val="008C450D"/>
    <w:rsid w:val="008E7C74"/>
    <w:rsid w:val="00913C3D"/>
    <w:rsid w:val="00957A39"/>
    <w:rsid w:val="009619B3"/>
    <w:rsid w:val="009634E5"/>
    <w:rsid w:val="00970326"/>
    <w:rsid w:val="009A2C07"/>
    <w:rsid w:val="009A38E9"/>
    <w:rsid w:val="009A4C98"/>
    <w:rsid w:val="009D69D3"/>
    <w:rsid w:val="009E3A43"/>
    <w:rsid w:val="00A13DB3"/>
    <w:rsid w:val="00A73E04"/>
    <w:rsid w:val="00AB2F53"/>
    <w:rsid w:val="00AE60A7"/>
    <w:rsid w:val="00B837E5"/>
    <w:rsid w:val="00B8655F"/>
    <w:rsid w:val="00B86E07"/>
    <w:rsid w:val="00BF7C8E"/>
    <w:rsid w:val="00C33335"/>
    <w:rsid w:val="00C35BB8"/>
    <w:rsid w:val="00C44973"/>
    <w:rsid w:val="00C76239"/>
    <w:rsid w:val="00C76C77"/>
    <w:rsid w:val="00CA4ED2"/>
    <w:rsid w:val="00CB03FD"/>
    <w:rsid w:val="00CB3DA8"/>
    <w:rsid w:val="00CB3DDE"/>
    <w:rsid w:val="00CD7FAF"/>
    <w:rsid w:val="00CF344E"/>
    <w:rsid w:val="00D545E9"/>
    <w:rsid w:val="00D66827"/>
    <w:rsid w:val="00D66BA3"/>
    <w:rsid w:val="00D72C56"/>
    <w:rsid w:val="00D90295"/>
    <w:rsid w:val="00DE7627"/>
    <w:rsid w:val="00DF7ACC"/>
    <w:rsid w:val="00E13196"/>
    <w:rsid w:val="00E17CC3"/>
    <w:rsid w:val="00E213E9"/>
    <w:rsid w:val="00E276C6"/>
    <w:rsid w:val="00E27FB8"/>
    <w:rsid w:val="00E4526E"/>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22672</Words>
  <Characters>12924</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35</cp:revision>
  <dcterms:created xsi:type="dcterms:W3CDTF">2025-05-14T11:21:00Z</dcterms:created>
  <dcterms:modified xsi:type="dcterms:W3CDTF">2026-01-12T08:03:00Z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