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CAF" w14:textId="77777777" w:rsidR="00A73695" w:rsidRPr="00A73695" w:rsidRDefault="00A73695" w:rsidP="00A73695">
      <w:pPr>
        <w:spacing w:after="0" w:line="320" w:lineRule="atLeast"/>
        <w:jc w:val="center"/>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kern w:val="0"/>
          <w:lang w:eastAsia="lt-LT"/>
          <w14:ligatures w14:val="none"/>
        </w:rPr>
        <w:t>Nuolatinės viešųjų pirkimų komisijos 2026-01-13 protokolo Nr. 6 priedas</w:t>
      </w:r>
    </w:p>
    <w:p w14:paraId="33762D9C" w14:textId="77777777" w:rsidR="00A73695" w:rsidRPr="00A73695" w:rsidRDefault="00A73695" w:rsidP="00A73695">
      <w:pPr>
        <w:spacing w:after="0" w:line="320" w:lineRule="atLeast"/>
        <w:ind w:firstLine="851"/>
        <w:jc w:val="center"/>
        <w:rPr>
          <w:rFonts w:ascii="Times New Roman" w:eastAsia="Times New Roman" w:hAnsi="Times New Roman" w:cs="Times New Roman"/>
          <w:noProof/>
          <w:kern w:val="0"/>
          <w:lang w:eastAsia="lt-LT"/>
          <w14:ligatures w14:val="none"/>
        </w:rPr>
      </w:pPr>
    </w:p>
    <w:p w14:paraId="57C09336" w14:textId="77777777" w:rsidR="00A73695" w:rsidRPr="00A73695" w:rsidRDefault="00A73695" w:rsidP="00A73695">
      <w:pPr>
        <w:spacing w:after="0" w:line="320" w:lineRule="atLeast"/>
        <w:ind w:firstLine="851"/>
        <w:jc w:val="center"/>
        <w:rPr>
          <w:rFonts w:ascii="Times New Roman" w:eastAsia="Times New Roman" w:hAnsi="Times New Roman" w:cs="Times New Roman"/>
          <w:noProof/>
          <w:kern w:val="0"/>
          <w:lang w:eastAsia="lt-LT"/>
          <w14:ligatures w14:val="none"/>
        </w:rPr>
      </w:pPr>
      <w:r w:rsidRPr="00A73695">
        <w:rPr>
          <w:rFonts w:ascii="Times New Roman" w:eastAsia="Times New Roman" w:hAnsi="Times New Roman" w:cs="Times New Roman"/>
          <w:noProof/>
          <w:kern w:val="0"/>
          <w:lang w:eastAsia="lt-LT"/>
          <w14:ligatures w14:val="none"/>
        </w:rPr>
        <w:t>Parengta pagal Kauno rajono savivaldybės administracijos Nuolatinės viešųjų pirkimų komisijos 2026-01-13 protokolą Nr. 6</w:t>
      </w:r>
    </w:p>
    <w:tbl>
      <w:tblPr>
        <w:tblW w:w="9675" w:type="dxa"/>
        <w:tblLayout w:type="fixed"/>
        <w:tblLook w:val="04A0" w:firstRow="1" w:lastRow="0" w:firstColumn="1" w:lastColumn="0" w:noHBand="0" w:noVBand="1"/>
      </w:tblPr>
      <w:tblGrid>
        <w:gridCol w:w="4787"/>
        <w:gridCol w:w="360"/>
        <w:gridCol w:w="347"/>
        <w:gridCol w:w="1842"/>
        <w:gridCol w:w="2339"/>
      </w:tblGrid>
      <w:tr w:rsidR="00A73695" w:rsidRPr="00A73695" w14:paraId="745E2781" w14:textId="77777777">
        <w:trPr>
          <w:trHeight w:val="1040"/>
        </w:trPr>
        <w:tc>
          <w:tcPr>
            <w:tcW w:w="4788" w:type="dxa"/>
          </w:tcPr>
          <w:p w14:paraId="11DC5AC8"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lang w:eastAsia="ru-RU"/>
                <w14:ligatures w14:val="none"/>
              </w:rPr>
            </w:pPr>
          </w:p>
          <w:p w14:paraId="4D936E2B"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lang w:eastAsia="ru-RU"/>
                <w14:ligatures w14:val="none"/>
              </w:rPr>
            </w:pPr>
          </w:p>
          <w:p w14:paraId="2BF63459"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lang w:eastAsia="ru-RU"/>
                <w14:ligatures w14:val="none"/>
              </w:rPr>
            </w:pPr>
            <w:r w:rsidRPr="00A73695">
              <w:rPr>
                <w:rFonts w:ascii="Times New Roman" w:eastAsia="Times New Roman" w:hAnsi="Times New Roman" w:cs="Times New Roman"/>
                <w:kern w:val="0"/>
                <w:lang w:eastAsia="ru-RU"/>
                <w14:ligatures w14:val="none"/>
              </w:rPr>
              <w:t>Tiekėjams</w:t>
            </w:r>
          </w:p>
          <w:p w14:paraId="1F43142C"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i/>
                <w:iCs/>
                <w:kern w:val="0"/>
                <w:lang w:eastAsia="ru-RU"/>
                <w14:ligatures w14:val="none"/>
              </w:rPr>
            </w:pPr>
            <w:r w:rsidRPr="00A73695">
              <w:rPr>
                <w:rFonts w:ascii="Times New Roman" w:eastAsia="Times New Roman" w:hAnsi="Times New Roman" w:cs="Times New Roman"/>
                <w:i/>
                <w:iCs/>
                <w:kern w:val="0"/>
                <w:lang w:eastAsia="ru-RU"/>
                <w14:ligatures w14:val="none"/>
              </w:rPr>
              <w:t>Siunčiama CVP IS elektroninėmis priemonėmis</w:t>
            </w:r>
          </w:p>
          <w:p w14:paraId="6B69ADA7" w14:textId="77777777" w:rsidR="00A73695" w:rsidRPr="00A73695" w:rsidRDefault="00A73695" w:rsidP="00A73695">
            <w:pPr>
              <w:tabs>
                <w:tab w:val="left" w:pos="708"/>
                <w:tab w:val="center" w:pos="4153"/>
                <w:tab w:val="right" w:pos="8306"/>
              </w:tabs>
              <w:spacing w:after="0" w:line="320" w:lineRule="atLeast"/>
              <w:jc w:val="both"/>
              <w:rPr>
                <w:rFonts w:ascii="Times New Roman" w:eastAsia="Times New Roman" w:hAnsi="Times New Roman" w:cs="Times New Roman"/>
                <w:kern w:val="0"/>
                <w14:ligatures w14:val="none"/>
              </w:rPr>
            </w:pPr>
          </w:p>
          <w:p w14:paraId="5037DF6C" w14:textId="77777777" w:rsidR="00A73695" w:rsidRPr="00A73695" w:rsidRDefault="00A73695" w:rsidP="00A73695">
            <w:pPr>
              <w:tabs>
                <w:tab w:val="left" w:pos="708"/>
                <w:tab w:val="center" w:pos="4153"/>
                <w:tab w:val="right" w:pos="8306"/>
              </w:tabs>
              <w:spacing w:after="0" w:line="320" w:lineRule="atLeast"/>
              <w:jc w:val="both"/>
              <w:rPr>
                <w:rFonts w:ascii="Times New Roman" w:eastAsia="Times New Roman" w:hAnsi="Times New Roman" w:cs="Times New Roman"/>
                <w:kern w:val="0"/>
                <w14:ligatures w14:val="none"/>
              </w:rPr>
            </w:pPr>
          </w:p>
        </w:tc>
        <w:tc>
          <w:tcPr>
            <w:tcW w:w="360" w:type="dxa"/>
          </w:tcPr>
          <w:p w14:paraId="0A83008A"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14:ligatures w14:val="none"/>
              </w:rPr>
            </w:pPr>
          </w:p>
        </w:tc>
        <w:tc>
          <w:tcPr>
            <w:tcW w:w="347" w:type="dxa"/>
          </w:tcPr>
          <w:p w14:paraId="5EB85A7D" w14:textId="77777777" w:rsidR="00A73695" w:rsidRPr="00A73695" w:rsidRDefault="00A73695" w:rsidP="00A73695">
            <w:pPr>
              <w:tabs>
                <w:tab w:val="center" w:pos="4153"/>
                <w:tab w:val="right" w:pos="8306"/>
              </w:tabs>
              <w:spacing w:after="0" w:line="320" w:lineRule="atLeast"/>
              <w:jc w:val="right"/>
              <w:rPr>
                <w:rFonts w:ascii="Times New Roman" w:eastAsia="Times New Roman" w:hAnsi="Times New Roman" w:cs="Times New Roman"/>
                <w:kern w:val="0"/>
                <w14:ligatures w14:val="none"/>
              </w:rPr>
            </w:pPr>
          </w:p>
        </w:tc>
        <w:tc>
          <w:tcPr>
            <w:tcW w:w="1843" w:type="dxa"/>
          </w:tcPr>
          <w:p w14:paraId="61745BA1"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14:ligatures w14:val="none"/>
              </w:rPr>
            </w:pPr>
          </w:p>
          <w:p w14:paraId="47EC10BF"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14:ligatures w14:val="none"/>
              </w:rPr>
            </w:pPr>
          </w:p>
          <w:p w14:paraId="464B4062"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14:ligatures w14:val="none"/>
              </w:rPr>
            </w:pPr>
            <w:r w:rsidRPr="00A73695">
              <w:rPr>
                <w:rFonts w:ascii="Times New Roman" w:eastAsia="Times New Roman" w:hAnsi="Times New Roman" w:cs="Times New Roman"/>
                <w:kern w:val="0"/>
                <w14:ligatures w14:val="none"/>
              </w:rPr>
              <w:t xml:space="preserve">        2026-01-13</w:t>
            </w:r>
          </w:p>
          <w:p w14:paraId="4FF1D701"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14:ligatures w14:val="none"/>
              </w:rPr>
            </w:pPr>
          </w:p>
        </w:tc>
        <w:tc>
          <w:tcPr>
            <w:tcW w:w="2340" w:type="dxa"/>
          </w:tcPr>
          <w:p w14:paraId="0BD20E51"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sz w:val="20"/>
                <w:szCs w:val="20"/>
                <w14:ligatures w14:val="none"/>
              </w:rPr>
            </w:pPr>
          </w:p>
          <w:p w14:paraId="147C01CF" w14:textId="77777777" w:rsidR="00A73695" w:rsidRPr="00A73695" w:rsidRDefault="00A73695" w:rsidP="00A73695">
            <w:pPr>
              <w:tabs>
                <w:tab w:val="center" w:pos="4153"/>
                <w:tab w:val="right" w:pos="8306"/>
              </w:tabs>
              <w:spacing w:after="0" w:line="320" w:lineRule="atLeast"/>
              <w:rPr>
                <w:rFonts w:ascii="Times New Roman" w:eastAsia="Times New Roman" w:hAnsi="Times New Roman" w:cs="Times New Roman"/>
                <w:kern w:val="0"/>
                <w:sz w:val="20"/>
                <w:szCs w:val="20"/>
                <w14:ligatures w14:val="none"/>
              </w:rPr>
            </w:pPr>
          </w:p>
        </w:tc>
      </w:tr>
    </w:tbl>
    <w:p w14:paraId="5B1E80BD" w14:textId="77777777" w:rsidR="00A73695" w:rsidRPr="00A73695" w:rsidRDefault="00A73695" w:rsidP="00A73695">
      <w:pPr>
        <w:spacing w:after="0" w:line="320" w:lineRule="atLeast"/>
        <w:rPr>
          <w:rFonts w:ascii="Times New Roman" w:eastAsia="Times New Roman" w:hAnsi="Times New Roman" w:cs="Times New Roman"/>
          <w:b/>
          <w:noProof/>
          <w:kern w:val="0"/>
          <w:lang w:eastAsia="lt-LT"/>
          <w14:ligatures w14:val="none"/>
        </w:rPr>
      </w:pPr>
      <w:r w:rsidRPr="00A73695">
        <w:rPr>
          <w:rFonts w:ascii="Times New Roman" w:eastAsia="Times New Roman" w:hAnsi="Times New Roman" w:cs="Times New Roman"/>
          <w:b/>
          <w:kern w:val="0"/>
          <w:lang w:eastAsia="lt-LT"/>
          <w14:ligatures w14:val="none"/>
        </w:rPr>
        <w:t xml:space="preserve">DĖL </w:t>
      </w:r>
      <w:r w:rsidRPr="00A73695">
        <w:rPr>
          <w:rFonts w:ascii="Times New Roman" w:eastAsia="Times New Roman" w:hAnsi="Times New Roman" w:cs="Times New Roman"/>
          <w:b/>
          <w:noProof/>
          <w:kern w:val="0"/>
          <w:lang w:eastAsia="lt-LT"/>
          <w14:ligatures w14:val="none"/>
        </w:rPr>
        <w:t>ATSAKYMO Į TIEKĖJŲ KLAUSIMUS</w:t>
      </w:r>
    </w:p>
    <w:p w14:paraId="3C3DBCAF" w14:textId="77777777" w:rsidR="00A73695" w:rsidRPr="00A73695" w:rsidRDefault="00A73695" w:rsidP="00A73695">
      <w:pPr>
        <w:spacing w:after="0" w:line="320" w:lineRule="atLeast"/>
        <w:rPr>
          <w:rFonts w:ascii="Times New Roman" w:eastAsia="Times New Roman" w:hAnsi="Times New Roman" w:cs="Times New Roman"/>
          <w:noProof/>
          <w:kern w:val="0"/>
          <w:lang w:eastAsia="lt-LT"/>
          <w14:ligatures w14:val="none"/>
        </w:rPr>
      </w:pPr>
    </w:p>
    <w:p w14:paraId="277C603D" w14:textId="77777777" w:rsidR="00A73695" w:rsidRPr="00A73695" w:rsidRDefault="00A73695" w:rsidP="00A73695">
      <w:pPr>
        <w:spacing w:after="0" w:line="320" w:lineRule="atLeast"/>
        <w:ind w:firstLine="851"/>
        <w:jc w:val="both"/>
        <w:rPr>
          <w:rFonts w:ascii="Times New Roman" w:eastAsia="Times New Roman" w:hAnsi="Times New Roman" w:cs="Times New Roman"/>
          <w:noProof/>
          <w:kern w:val="0"/>
          <w:lang w:eastAsia="lt-LT"/>
          <w14:ligatures w14:val="none"/>
        </w:rPr>
      </w:pPr>
      <w:r w:rsidRPr="00A73695">
        <w:rPr>
          <w:rFonts w:ascii="Times New Roman" w:eastAsia="Times New Roman" w:hAnsi="Times New Roman" w:cs="Times New Roman"/>
          <w:noProof/>
          <w:kern w:val="0"/>
          <w:lang w:eastAsia="lt-LT"/>
          <w14:ligatures w14:val="none"/>
        </w:rPr>
        <w:t>Kauno rajono savivaldybės administracijos Nuolatinė viešųjų pirkimų komisija (toliau – Komisija) vykdo supaprastinto atviro konkurso „Alyvų gatvės, Garliavos sen., Kauno r. sav., rekonstravimo darbų viešasis pirkimas“ (toliau – Pirkimas), Pirkimo Nr./ID 5991401, procedūras.</w:t>
      </w:r>
    </w:p>
    <w:p w14:paraId="6984D5C1" w14:textId="77777777" w:rsidR="00A73695" w:rsidRPr="00A73695" w:rsidRDefault="00A73695" w:rsidP="00A73695">
      <w:pPr>
        <w:spacing w:after="0" w:line="320" w:lineRule="atLeast"/>
        <w:ind w:firstLine="851"/>
        <w:jc w:val="both"/>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kern w:val="0"/>
          <w:lang w:eastAsia="lt-LT"/>
          <w14:ligatures w14:val="none"/>
        </w:rPr>
        <w:t>Komisija pateikia atsakymą į CVP IS elektroninėmis priemonėmis gautus tiekėjų klausimus (tapačius), susijusius su darbų kiekių žiniaraščių pildymu:</w:t>
      </w:r>
    </w:p>
    <w:p w14:paraId="280945E6" w14:textId="77777777" w:rsidR="00A73695" w:rsidRPr="00A73695" w:rsidRDefault="00A73695" w:rsidP="00A73695">
      <w:pPr>
        <w:spacing w:after="0" w:line="320" w:lineRule="atLeast"/>
        <w:ind w:firstLine="851"/>
        <w:jc w:val="both"/>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b/>
          <w:bCs/>
          <w:kern w:val="0"/>
          <w:lang w:eastAsia="lt-LT"/>
          <w14:ligatures w14:val="none"/>
        </w:rPr>
        <w:t>Tiekėjų klausimas</w:t>
      </w:r>
      <w:r w:rsidRPr="00A73695">
        <w:rPr>
          <w:rFonts w:ascii="Times New Roman" w:eastAsia="Times New Roman" w:hAnsi="Times New Roman" w:cs="Times New Roman"/>
          <w:kern w:val="0"/>
          <w:lang w:eastAsia="lt-LT"/>
          <w14:ligatures w14:val="none"/>
        </w:rPr>
        <w:t>: Darbų kiekių žiniaraštyje „Vieneto kaina“ pilkoje zonoje bandant įvesti skaičius po kablelio neleidžia jų padaryti dviejų skaitmenų po kablelio, t. y. būtent vedant po kablelio nulius, pvz. 5,00 suapvalina iki 5, vedant 5,20 suapvalina iki 5,2, kitaip sakant nerodo nulių ar vieno iš jų.</w:t>
      </w:r>
    </w:p>
    <w:p w14:paraId="06CB5AE8" w14:textId="77777777" w:rsidR="00A73695" w:rsidRPr="00A73695" w:rsidRDefault="00A73695" w:rsidP="00A73695">
      <w:pPr>
        <w:spacing w:after="0" w:line="320" w:lineRule="atLeast"/>
        <w:ind w:firstLine="851"/>
        <w:jc w:val="both"/>
        <w:rPr>
          <w:rFonts w:ascii="Times New Roman" w:eastAsia="Times New Roman" w:hAnsi="Times New Roman" w:cs="Times New Roman"/>
          <w:noProof/>
          <w:kern w:val="0"/>
          <w:lang w:eastAsia="lt-LT"/>
          <w14:ligatures w14:val="none"/>
        </w:rPr>
      </w:pPr>
      <w:r w:rsidRPr="00A73695">
        <w:rPr>
          <w:rFonts w:ascii="Times New Roman" w:eastAsia="Times New Roman" w:hAnsi="Times New Roman" w:cs="Times New Roman"/>
          <w:b/>
          <w:bCs/>
          <w:noProof/>
          <w:kern w:val="0"/>
          <w:lang w:eastAsia="lt-LT"/>
          <w14:ligatures w14:val="none"/>
        </w:rPr>
        <w:t>Komisijos atsakymas</w:t>
      </w:r>
      <w:r w:rsidRPr="00A73695">
        <w:rPr>
          <w:rFonts w:ascii="Times New Roman" w:eastAsia="Times New Roman" w:hAnsi="Times New Roman" w:cs="Times New Roman"/>
          <w:noProof/>
          <w:kern w:val="0"/>
          <w:lang w:eastAsia="lt-LT"/>
          <w14:ligatures w14:val="none"/>
        </w:rPr>
        <w:t xml:space="preserve">: </w:t>
      </w:r>
      <w:bookmarkStart w:id="0" w:name="_Hlk219204175"/>
      <w:r w:rsidRPr="00A73695">
        <w:rPr>
          <w:rFonts w:ascii="Times New Roman" w:eastAsia="Times New Roman" w:hAnsi="Times New Roman" w:cs="Times New Roman"/>
          <w:noProof/>
          <w:kern w:val="0"/>
          <w:lang w:eastAsia="lt-LT"/>
          <w14:ligatures w14:val="none"/>
        </w:rPr>
        <w:t xml:space="preserve">Tokiu atveju bus laikoma, kad įkainis pateiktas tinkamai, kadangi „5,2“ bus vienareikšmiškai interpretuojama kaip „5,20“, „5“ bus interpretuojama kaip „5,00“ ir pan. (tiesiog nulis (-iai) nerodomi), matematiškai tai yra teisinga. Šiuo atveju esmė yra, kad įkainiai nebūtų pateikiami daugiau kaip dviem skaitmenimis po kablelio (kaip reikalaujama Pirkimo dokumentuose). Trūkstami nuliai nekeičia pasiūlymo esmės (tik formalus ir neesminis neatitikimas) ir, vadovaujantis proporcingumo principu, dėl to tiekėjo pasiūlymai nebus atmetami. </w:t>
      </w:r>
    </w:p>
    <w:bookmarkEnd w:id="0"/>
    <w:p w14:paraId="426B1B4C" w14:textId="77777777" w:rsidR="00A73695" w:rsidRPr="00A73695" w:rsidRDefault="00A73695" w:rsidP="00A73695">
      <w:pPr>
        <w:spacing w:after="0" w:line="320" w:lineRule="atLeast"/>
        <w:jc w:val="both"/>
        <w:rPr>
          <w:rFonts w:ascii="Times New Roman" w:eastAsia="Times New Roman" w:hAnsi="Times New Roman" w:cs="Times New Roman"/>
          <w:kern w:val="0"/>
          <w:lang w:eastAsia="lt-LT"/>
          <w14:ligatures w14:val="none"/>
        </w:rPr>
      </w:pPr>
    </w:p>
    <w:p w14:paraId="2203021C" w14:textId="77777777" w:rsidR="00A73695" w:rsidRPr="00A73695" w:rsidRDefault="00A73695" w:rsidP="00A73695">
      <w:pPr>
        <w:spacing w:after="0" w:line="320" w:lineRule="atLeast"/>
        <w:ind w:firstLine="709"/>
        <w:jc w:val="both"/>
        <w:rPr>
          <w:rFonts w:ascii="Times New Roman" w:eastAsia="Times New Roman" w:hAnsi="Times New Roman" w:cs="Times New Roman"/>
          <w:i/>
          <w:iCs/>
          <w:color w:val="000000"/>
          <w:kern w:val="0"/>
          <w:lang w:eastAsia="lt-LT"/>
          <w14:ligatures w14:val="none"/>
        </w:rPr>
      </w:pPr>
      <w:r w:rsidRPr="00A73695">
        <w:rPr>
          <w:rFonts w:ascii="Times New Roman" w:eastAsia="Times New Roman" w:hAnsi="Times New Roman" w:cs="Times New Roman"/>
          <w:i/>
          <w:iCs/>
          <w:color w:val="000000"/>
          <w:kern w:val="0"/>
          <w:lang w:eastAsia="lt-LT"/>
          <w14:ligatures w14:val="none"/>
        </w:rPr>
        <w:t>Šis Pirkimo dokumentų paaiškinimas/patikslinimas yra neatskiriama Pirkimo dokumentų dalis.</w:t>
      </w:r>
    </w:p>
    <w:p w14:paraId="6874BB4B" w14:textId="77777777" w:rsidR="00A73695" w:rsidRPr="00A73695" w:rsidRDefault="00A73695" w:rsidP="00A73695">
      <w:pPr>
        <w:spacing w:after="0" w:line="320" w:lineRule="atLeast"/>
        <w:ind w:firstLine="709"/>
        <w:jc w:val="both"/>
        <w:rPr>
          <w:rFonts w:ascii="Times New Roman" w:eastAsia="Times New Roman" w:hAnsi="Times New Roman" w:cs="Times New Roman"/>
          <w:i/>
          <w:iCs/>
          <w:color w:val="000000"/>
          <w:kern w:val="0"/>
          <w:lang w:eastAsia="lt-LT"/>
          <w14:ligatures w14:val="none"/>
        </w:rPr>
      </w:pPr>
    </w:p>
    <w:p w14:paraId="61422541" w14:textId="77777777" w:rsidR="00A73695" w:rsidRPr="00A73695" w:rsidRDefault="00A73695" w:rsidP="00A73695">
      <w:pPr>
        <w:spacing w:after="0" w:line="320" w:lineRule="atLeast"/>
        <w:ind w:firstLine="709"/>
        <w:jc w:val="both"/>
        <w:rPr>
          <w:rFonts w:ascii="Times New Roman" w:eastAsia="Times New Roman" w:hAnsi="Times New Roman" w:cs="Times New Roman"/>
          <w:color w:val="000000"/>
          <w:kern w:val="0"/>
          <w:lang w:eastAsia="lt-LT"/>
          <w14:ligatures w14:val="none"/>
        </w:rPr>
      </w:pPr>
      <w:r w:rsidRPr="00A73695">
        <w:rPr>
          <w:rFonts w:ascii="Times New Roman" w:eastAsia="Times New Roman" w:hAnsi="Times New Roman" w:cs="Times New Roman"/>
          <w:color w:val="000000"/>
          <w:kern w:val="0"/>
          <w:lang w:eastAsia="lt-LT"/>
          <w14:ligatures w14:val="none"/>
        </w:rPr>
        <w:t>Nuolatinė viešųjų pirkimų komisija</w:t>
      </w:r>
    </w:p>
    <w:p w14:paraId="419C15DD" w14:textId="77777777" w:rsidR="00A73695" w:rsidRPr="00A73695" w:rsidRDefault="00A73695" w:rsidP="00A73695">
      <w:pPr>
        <w:spacing w:after="0" w:line="320" w:lineRule="atLeast"/>
        <w:ind w:firstLine="709"/>
        <w:jc w:val="both"/>
        <w:rPr>
          <w:rFonts w:ascii="Times New Roman" w:eastAsia="Times New Roman" w:hAnsi="Times New Roman" w:cs="Times New Roman"/>
          <w:color w:val="000000"/>
          <w:kern w:val="0"/>
          <w:lang w:eastAsia="lt-LT"/>
          <w14:ligatures w14:val="none"/>
        </w:rPr>
      </w:pPr>
    </w:p>
    <w:p w14:paraId="1BFFA4AA" w14:textId="77777777" w:rsidR="00A73695" w:rsidRPr="00A73695" w:rsidRDefault="00A73695" w:rsidP="00A73695">
      <w:pPr>
        <w:spacing w:after="0" w:line="320" w:lineRule="atLeast"/>
        <w:jc w:val="both"/>
        <w:rPr>
          <w:rFonts w:ascii="Times New Roman" w:eastAsia="Times New Roman" w:hAnsi="Times New Roman" w:cs="Times New Roman"/>
          <w:color w:val="000000"/>
          <w:kern w:val="0"/>
          <w:lang w:eastAsia="lt-LT"/>
          <w14:ligatures w14:val="none"/>
        </w:rPr>
      </w:pPr>
    </w:p>
    <w:p w14:paraId="395CDE62" w14:textId="77777777" w:rsidR="00A73695" w:rsidRDefault="00A73695" w:rsidP="00A73695">
      <w:pPr>
        <w:spacing w:after="0" w:line="320" w:lineRule="atLeast"/>
        <w:jc w:val="both"/>
        <w:rPr>
          <w:rFonts w:ascii="Times New Roman" w:eastAsia="Times New Roman" w:hAnsi="Times New Roman" w:cs="Times New Roman"/>
          <w:color w:val="000000"/>
          <w:kern w:val="0"/>
          <w:lang w:eastAsia="lt-LT"/>
          <w14:ligatures w14:val="none"/>
        </w:rPr>
      </w:pPr>
    </w:p>
    <w:p w14:paraId="169ECA34" w14:textId="77777777" w:rsidR="00A73695" w:rsidRDefault="00A73695" w:rsidP="00A73695">
      <w:pPr>
        <w:spacing w:after="0" w:line="320" w:lineRule="atLeast"/>
        <w:jc w:val="both"/>
        <w:rPr>
          <w:rFonts w:ascii="Times New Roman" w:eastAsia="Times New Roman" w:hAnsi="Times New Roman" w:cs="Times New Roman"/>
          <w:color w:val="000000"/>
          <w:kern w:val="0"/>
          <w:lang w:eastAsia="lt-LT"/>
          <w14:ligatures w14:val="none"/>
        </w:rPr>
      </w:pPr>
    </w:p>
    <w:p w14:paraId="32F7C653" w14:textId="77777777" w:rsidR="00A73695" w:rsidRPr="00A73695" w:rsidRDefault="00A73695" w:rsidP="00A73695">
      <w:pPr>
        <w:spacing w:after="0" w:line="320" w:lineRule="atLeast"/>
        <w:jc w:val="both"/>
        <w:rPr>
          <w:rFonts w:ascii="Times New Roman" w:eastAsia="Times New Roman" w:hAnsi="Times New Roman" w:cs="Times New Roman"/>
          <w:color w:val="000000"/>
          <w:kern w:val="0"/>
          <w:lang w:eastAsia="lt-LT"/>
          <w14:ligatures w14:val="none"/>
        </w:rPr>
      </w:pPr>
    </w:p>
    <w:p w14:paraId="3ACC1A29" w14:textId="77777777" w:rsidR="00A73695" w:rsidRPr="00A73695" w:rsidRDefault="00A73695" w:rsidP="00A73695">
      <w:pPr>
        <w:spacing w:after="0" w:line="320" w:lineRule="atLeast"/>
        <w:jc w:val="both"/>
        <w:rPr>
          <w:rFonts w:ascii="Times New Roman" w:eastAsia="Times New Roman" w:hAnsi="Times New Roman" w:cs="Times New Roman"/>
          <w:b/>
          <w:kern w:val="0"/>
          <w:lang w:eastAsia="lt-LT"/>
          <w14:ligatures w14:val="none"/>
        </w:rPr>
      </w:pPr>
    </w:p>
    <w:p w14:paraId="43147874" w14:textId="77777777" w:rsidR="00A73695" w:rsidRPr="00A73695" w:rsidRDefault="00A73695" w:rsidP="00A73695">
      <w:pPr>
        <w:spacing w:after="0" w:line="320" w:lineRule="atLeast"/>
        <w:ind w:firstLine="709"/>
        <w:jc w:val="both"/>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kern w:val="0"/>
          <w:lang w:eastAsia="lt-LT"/>
          <w14:ligatures w14:val="none"/>
        </w:rPr>
        <w:t>Viešųjų pirkimų skyriaus vyr. specialistė</w:t>
      </w:r>
    </w:p>
    <w:p w14:paraId="035DC0A7" w14:textId="77777777" w:rsidR="00A73695" w:rsidRPr="00A73695" w:rsidRDefault="00A73695" w:rsidP="00A73695">
      <w:pPr>
        <w:spacing w:after="0" w:line="320" w:lineRule="atLeast"/>
        <w:ind w:firstLine="709"/>
        <w:jc w:val="both"/>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kern w:val="0"/>
          <w:lang w:eastAsia="lt-LT"/>
          <w14:ligatures w14:val="none"/>
        </w:rPr>
        <w:t>Dovilė Kėkštienė</w:t>
      </w:r>
    </w:p>
    <w:p w14:paraId="3EB47739" w14:textId="77777777" w:rsidR="00A73695" w:rsidRPr="00A73695" w:rsidRDefault="00A73695" w:rsidP="00A73695">
      <w:pPr>
        <w:spacing w:after="0" w:line="320" w:lineRule="atLeast"/>
        <w:ind w:firstLine="709"/>
        <w:jc w:val="both"/>
        <w:rPr>
          <w:rFonts w:ascii="Times New Roman" w:eastAsia="Times New Roman" w:hAnsi="Times New Roman" w:cs="Times New Roman"/>
          <w:kern w:val="0"/>
          <w:lang w:eastAsia="lt-LT"/>
          <w14:ligatures w14:val="none"/>
        </w:rPr>
      </w:pPr>
      <w:r w:rsidRPr="00A73695">
        <w:rPr>
          <w:rFonts w:ascii="Times New Roman" w:eastAsia="Times New Roman" w:hAnsi="Times New Roman" w:cs="Times New Roman"/>
          <w:kern w:val="0"/>
          <w:lang w:eastAsia="lt-LT"/>
          <w14:ligatures w14:val="none"/>
        </w:rPr>
        <w:t xml:space="preserve">Tel. +370 37 30 55 53, el. p. </w:t>
      </w:r>
      <w:hyperlink r:id="rId4" w:history="1">
        <w:r w:rsidRPr="00A73695">
          <w:rPr>
            <w:rFonts w:ascii="Times New Roman" w:eastAsia="Times New Roman" w:hAnsi="Times New Roman" w:cs="Times New Roman"/>
            <w:color w:val="0000FF"/>
            <w:kern w:val="0"/>
            <w:u w:val="single"/>
            <w:lang w:eastAsia="lt-LT"/>
            <w14:ligatures w14:val="none"/>
          </w:rPr>
          <w:t>dovile.kekstiene</w:t>
        </w:r>
        <w:r w:rsidRPr="00A73695">
          <w:rPr>
            <w:rFonts w:ascii="Times New Roman" w:eastAsia="Times New Roman" w:hAnsi="Times New Roman" w:cs="Times New Roman"/>
            <w:color w:val="0000FF"/>
            <w:kern w:val="0"/>
            <w:u w:val="single"/>
            <w:lang w:val="en-US" w:eastAsia="lt-LT"/>
            <w14:ligatures w14:val="none"/>
          </w:rPr>
          <w:t>@krs.lt</w:t>
        </w:r>
      </w:hyperlink>
    </w:p>
    <w:p w14:paraId="2E8B2F70" w14:textId="77777777" w:rsidR="00A73232" w:rsidRDefault="00A73232"/>
    <w:sectPr w:rsidR="00A732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32"/>
    <w:rsid w:val="00A73232"/>
    <w:rsid w:val="00A73695"/>
    <w:rsid w:val="00D80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4571"/>
  <w15:chartTrackingRefBased/>
  <w15:docId w15:val="{FE40040C-DFD1-4895-9762-E0EA3047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3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3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323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323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323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32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32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32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32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32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32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32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32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32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32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32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32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32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32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32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32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32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3232"/>
    <w:rPr>
      <w:i/>
      <w:iCs/>
      <w:color w:val="404040" w:themeColor="text1" w:themeTint="BF"/>
    </w:rPr>
  </w:style>
  <w:style w:type="paragraph" w:styleId="Sraopastraipa">
    <w:name w:val="List Paragraph"/>
    <w:basedOn w:val="prastasis"/>
    <w:uiPriority w:val="34"/>
    <w:qFormat/>
    <w:rsid w:val="00A73232"/>
    <w:pPr>
      <w:ind w:left="720"/>
      <w:contextualSpacing/>
    </w:pPr>
  </w:style>
  <w:style w:type="character" w:styleId="Rykuspabraukimas">
    <w:name w:val="Intense Emphasis"/>
    <w:basedOn w:val="Numatytasispastraiposriftas"/>
    <w:uiPriority w:val="21"/>
    <w:qFormat/>
    <w:rsid w:val="00A73232"/>
    <w:rPr>
      <w:i/>
      <w:iCs/>
      <w:color w:val="2F5496" w:themeColor="accent1" w:themeShade="BF"/>
    </w:rPr>
  </w:style>
  <w:style w:type="paragraph" w:styleId="Iskirtacitata">
    <w:name w:val="Intense Quote"/>
    <w:basedOn w:val="prastasis"/>
    <w:next w:val="prastasis"/>
    <w:link w:val="IskirtacitataDiagrama"/>
    <w:uiPriority w:val="30"/>
    <w:qFormat/>
    <w:rsid w:val="00A73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3232"/>
    <w:rPr>
      <w:i/>
      <w:iCs/>
      <w:color w:val="2F5496" w:themeColor="accent1" w:themeShade="BF"/>
    </w:rPr>
  </w:style>
  <w:style w:type="character" w:styleId="Rykinuoroda">
    <w:name w:val="Intense Reference"/>
    <w:basedOn w:val="Numatytasispastraiposriftas"/>
    <w:uiPriority w:val="32"/>
    <w:qFormat/>
    <w:rsid w:val="00A73232"/>
    <w:rPr>
      <w:b/>
      <w:bCs/>
      <w:smallCaps/>
      <w:color w:val="2F5496" w:themeColor="accent1" w:themeShade="BF"/>
      <w:spacing w:val="5"/>
    </w:rPr>
  </w:style>
  <w:style w:type="character" w:styleId="Hipersaitas">
    <w:name w:val="Hyperlink"/>
    <w:basedOn w:val="Numatytasispastraiposriftas"/>
    <w:uiPriority w:val="99"/>
    <w:unhideWhenUsed/>
    <w:rsid w:val="00A73695"/>
    <w:rPr>
      <w:color w:val="0563C1" w:themeColor="hyperlink"/>
      <w:u w:val="single"/>
    </w:rPr>
  </w:style>
  <w:style w:type="character" w:styleId="Neapdorotaspaminjimas">
    <w:name w:val="Unresolved Mention"/>
    <w:basedOn w:val="Numatytasispastraiposriftas"/>
    <w:uiPriority w:val="99"/>
    <w:semiHidden/>
    <w:unhideWhenUsed/>
    <w:rsid w:val="00A7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vile.kekstiene@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Words>
  <Characters>688</Characters>
  <Application>Microsoft Office Word</Application>
  <DocSecurity>0</DocSecurity>
  <Lines>5</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2</cp:revision>
  <dcterms:created xsi:type="dcterms:W3CDTF">2026-01-13T12:04:00Z</dcterms:created>
  <dcterms:modified xsi:type="dcterms:W3CDTF">2026-01-13T12:04:00Z</dcterms:modified>
</cp:coreProperties>
</file>