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5BE3" w14:textId="77777777" w:rsidR="00817D3E" w:rsidRDefault="00817D3E">
      <w:pPr>
        <w:pStyle w:val="Standard"/>
        <w:jc w:val="center"/>
        <w:rPr>
          <w:rFonts w:ascii="Times New Roman" w:hAnsi="Times New Roman" w:cs="Times New Roman"/>
          <w:b/>
          <w:caps/>
        </w:rPr>
      </w:pPr>
    </w:p>
    <w:p w14:paraId="53A1BD59" w14:textId="77777777" w:rsidR="00817D3E" w:rsidRDefault="00066E2B">
      <w:pPr>
        <w:pStyle w:val="Standard"/>
        <w:jc w:val="center"/>
        <w:rPr>
          <w:rFonts w:hint="eastAsia"/>
        </w:rPr>
      </w:pPr>
      <w:r>
        <w:rPr>
          <w:rFonts w:ascii="Times New Roman" w:hAnsi="Times New Roman" w:cs="Times New Roman"/>
          <w:b/>
          <w:caps/>
        </w:rPr>
        <w:t>SPECIALIOSIOS sąlygos</w:t>
      </w:r>
    </w:p>
    <w:p w14:paraId="7EE9EDC6" w14:textId="77777777" w:rsidR="00817D3E" w:rsidRDefault="00817D3E">
      <w:pPr>
        <w:pStyle w:val="Standard"/>
        <w:jc w:val="center"/>
        <w:rPr>
          <w:rFonts w:ascii="Times New Roman" w:hAnsi="Times New Roman" w:cs="Times New Roman"/>
          <w:b/>
          <w:caps/>
        </w:rPr>
      </w:pPr>
    </w:p>
    <w:tbl>
      <w:tblPr>
        <w:tblW w:w="9634" w:type="dxa"/>
        <w:tblInd w:w="5" w:type="dxa"/>
        <w:tblLayout w:type="fixed"/>
        <w:tblCellMar>
          <w:left w:w="10" w:type="dxa"/>
          <w:right w:w="10" w:type="dxa"/>
        </w:tblCellMar>
        <w:tblLook w:val="0000" w:firstRow="0" w:lastRow="0" w:firstColumn="0" w:lastColumn="0" w:noHBand="0" w:noVBand="0"/>
      </w:tblPr>
      <w:tblGrid>
        <w:gridCol w:w="2612"/>
        <w:gridCol w:w="115"/>
        <w:gridCol w:w="218"/>
        <w:gridCol w:w="1816"/>
        <w:gridCol w:w="1114"/>
        <w:gridCol w:w="854"/>
        <w:gridCol w:w="2905"/>
      </w:tblGrid>
      <w:tr w:rsidR="00817D3E" w14:paraId="1CA9E12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BB17" w14:textId="77777777" w:rsidR="00817D3E" w:rsidRDefault="00066E2B">
            <w:pPr>
              <w:pStyle w:val="Standard"/>
              <w:jc w:val="both"/>
              <w:rPr>
                <w:rFonts w:hint="eastAsia"/>
              </w:rPr>
            </w:pPr>
            <w:r>
              <w:rPr>
                <w:rFonts w:ascii="Times New Roman" w:hAnsi="Times New Roman" w:cs="Times New Roman"/>
                <w:b/>
                <w:bCs/>
                <w:lang w:val="lt-LT"/>
              </w:rPr>
              <w:t>Sutarties pavadinimas:</w:t>
            </w:r>
          </w:p>
        </w:tc>
        <w:tc>
          <w:tcPr>
            <w:tcW w:w="7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4C6D" w14:textId="70834281" w:rsidR="00817D3E" w:rsidRDefault="000B54C6">
            <w:pPr>
              <w:pStyle w:val="Standard"/>
              <w:jc w:val="both"/>
              <w:rPr>
                <w:rFonts w:hint="eastAsia"/>
              </w:rPr>
            </w:pPr>
            <w:r w:rsidRPr="000B54C6">
              <w:rPr>
                <w:rFonts w:ascii="Times New Roman" w:hAnsi="Times New Roman" w:cs="Times New Roman"/>
                <w:b/>
                <w:bCs/>
                <w:lang w:val="lt-LT"/>
              </w:rPr>
              <w:t>KVALIFIKACIJOS TOBULINIMO PROGRAM</w:t>
            </w:r>
            <w:r w:rsidRPr="000B54C6">
              <w:rPr>
                <w:rFonts w:ascii="Times New Roman" w:hAnsi="Times New Roman" w:cs="Times New Roman" w:hint="cs"/>
                <w:b/>
                <w:bCs/>
                <w:lang w:val="lt-LT"/>
              </w:rPr>
              <w:t>Ų</w:t>
            </w:r>
            <w:r w:rsidRPr="000B54C6">
              <w:rPr>
                <w:rFonts w:ascii="Times New Roman" w:hAnsi="Times New Roman" w:cs="Times New Roman"/>
                <w:b/>
                <w:bCs/>
                <w:lang w:val="lt-LT"/>
              </w:rPr>
              <w:t xml:space="preserve"> PARENGIMO IR </w:t>
            </w:r>
            <w:r w:rsidRPr="000B54C6">
              <w:rPr>
                <w:rFonts w:ascii="Times New Roman" w:hAnsi="Times New Roman" w:cs="Times New Roman" w:hint="cs"/>
                <w:b/>
                <w:bCs/>
                <w:lang w:val="lt-LT"/>
              </w:rPr>
              <w:t>Į</w:t>
            </w:r>
            <w:r w:rsidRPr="000B54C6">
              <w:rPr>
                <w:rFonts w:ascii="Times New Roman" w:hAnsi="Times New Roman" w:cs="Times New Roman"/>
                <w:b/>
                <w:bCs/>
                <w:lang w:val="lt-LT"/>
              </w:rPr>
              <w:t>GYVENDINIMO PASLAUGOS</w:t>
            </w:r>
          </w:p>
        </w:tc>
      </w:tr>
      <w:tr w:rsidR="00817D3E" w14:paraId="588C2DEE"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F3EE" w14:textId="77777777" w:rsidR="00817D3E" w:rsidRDefault="00066E2B">
            <w:pPr>
              <w:pStyle w:val="Standard"/>
              <w:jc w:val="both"/>
              <w:rPr>
                <w:rFonts w:hint="eastAsia"/>
              </w:rPr>
            </w:pPr>
            <w:r>
              <w:rPr>
                <w:rFonts w:ascii="Times New Roman" w:hAnsi="Times New Roman" w:cs="Times New Roman"/>
                <w:b/>
                <w:bCs/>
                <w:lang w:val="lt-LT"/>
              </w:rPr>
              <w:t>Sutarties data:</w:t>
            </w:r>
          </w:p>
        </w:tc>
        <w:tc>
          <w:tcPr>
            <w:tcW w:w="21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CBFA" w14:textId="77777777" w:rsidR="00817D3E" w:rsidRDefault="00817D3E">
            <w:pPr>
              <w:pStyle w:val="Standard"/>
              <w:jc w:val="both"/>
              <w:rPr>
                <w:rFonts w:ascii="Times New Roman" w:hAnsi="Times New Roman" w:cs="Times New Roman"/>
                <w:lang w:val="lt-LT"/>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6F97C" w14:textId="77777777" w:rsidR="00817D3E" w:rsidRDefault="00066E2B">
            <w:pPr>
              <w:pStyle w:val="Standard"/>
              <w:jc w:val="both"/>
              <w:rPr>
                <w:rFonts w:hint="eastAsia"/>
              </w:rPr>
            </w:pPr>
            <w:r>
              <w:rPr>
                <w:rFonts w:ascii="Times New Roman" w:hAnsi="Times New Roman" w:cs="Times New Roman"/>
                <w:b/>
                <w:bCs/>
                <w:lang w:val="lt-LT"/>
              </w:rPr>
              <w:t>Sutarties numeris:</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DBE5A" w14:textId="77777777" w:rsidR="00817D3E" w:rsidRDefault="00817D3E">
            <w:pPr>
              <w:pStyle w:val="Standard"/>
              <w:jc w:val="both"/>
              <w:rPr>
                <w:rFonts w:ascii="Times New Roman" w:hAnsi="Times New Roman" w:cs="Times New Roman"/>
                <w:lang w:val="lt-LT"/>
              </w:rPr>
            </w:pPr>
          </w:p>
        </w:tc>
      </w:tr>
      <w:tr w:rsidR="00817D3E" w14:paraId="6A28AC73"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D5E3" w14:textId="77777777" w:rsidR="00817D3E" w:rsidRDefault="00066E2B">
            <w:pPr>
              <w:pStyle w:val="Standard"/>
              <w:jc w:val="both"/>
              <w:rPr>
                <w:rFonts w:hint="eastAsia"/>
              </w:rPr>
            </w:pPr>
            <w:r>
              <w:rPr>
                <w:rFonts w:ascii="Times New Roman" w:hAnsi="Times New Roman" w:cs="Times New Roman"/>
                <w:b/>
                <w:bCs/>
                <w:lang w:val="lt-LT"/>
              </w:rPr>
              <w:t>Bendrosios sutarties sąlygos skelbiamos:</w:t>
            </w:r>
          </w:p>
        </w:tc>
        <w:tc>
          <w:tcPr>
            <w:tcW w:w="7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2873" w14:textId="77777777" w:rsidR="00817D3E" w:rsidRDefault="003621B9">
            <w:pPr>
              <w:pStyle w:val="Textbody"/>
              <w:tabs>
                <w:tab w:val="left" w:pos="709"/>
                <w:tab w:val="left" w:pos="1345"/>
              </w:tabs>
              <w:spacing w:after="0" w:line="240" w:lineRule="auto"/>
              <w:rPr>
                <w:rFonts w:hint="eastAsia"/>
              </w:rPr>
            </w:pPr>
            <w:hyperlink r:id="rId10" w:history="1">
              <w:r w:rsidR="00066E2B">
                <w:rPr>
                  <w:rStyle w:val="Internetlink"/>
                  <w:rFonts w:ascii="Times New Roman" w:hAnsi="Times New Roman" w:cs="Times New Roman"/>
                  <w:lang w:val="lt-LT"/>
                </w:rPr>
                <w:t>https://www.nsa.smm.lt/wp-content/uploads/2024/03/Viesojo-pirkimo-paslaugu-sutartis_BS.pdf</w:t>
              </w:r>
            </w:hyperlink>
          </w:p>
        </w:tc>
      </w:tr>
      <w:tr w:rsidR="00817D3E" w14:paraId="025BC7D7"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AE77" w14:textId="77777777" w:rsidR="00817D3E" w:rsidRDefault="00066E2B">
            <w:pPr>
              <w:pStyle w:val="Standard"/>
              <w:jc w:val="both"/>
              <w:rPr>
                <w:rFonts w:hint="eastAsia"/>
              </w:rPr>
            </w:pPr>
            <w:r>
              <w:rPr>
                <w:rFonts w:ascii="Times New Roman" w:hAnsi="Times New Roman" w:cs="Times New Roman"/>
                <w:b/>
                <w:bCs/>
                <w:lang w:val="lt-LT"/>
              </w:rPr>
              <w:t>Pirkimo pavadinimas:</w:t>
            </w:r>
          </w:p>
        </w:tc>
        <w:tc>
          <w:tcPr>
            <w:tcW w:w="7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DA48" w14:textId="77777777" w:rsidR="00817D3E" w:rsidRDefault="00066E2B">
            <w:pPr>
              <w:pStyle w:val="Standard"/>
              <w:jc w:val="both"/>
              <w:rPr>
                <w:rFonts w:ascii="Times New Roman" w:hAnsi="Times New Roman" w:cs="Times New Roman"/>
                <w:lang w:val="lt-LT"/>
              </w:rPr>
            </w:pPr>
            <w:r>
              <w:rPr>
                <w:rFonts w:ascii="Times New Roman" w:hAnsi="Times New Roman" w:cs="Times New Roman"/>
                <w:lang w:val="lt-LT"/>
              </w:rPr>
              <w:t>Kvalifikacijos tobulinimo programų parengimas ir mokymų vykdymas</w:t>
            </w:r>
          </w:p>
        </w:tc>
      </w:tr>
      <w:tr w:rsidR="00817D3E" w14:paraId="06FD8244"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21C1" w14:textId="77777777" w:rsidR="00817D3E" w:rsidRDefault="00066E2B">
            <w:pPr>
              <w:pStyle w:val="Standard"/>
              <w:jc w:val="both"/>
              <w:rPr>
                <w:rFonts w:hint="eastAsia"/>
              </w:rPr>
            </w:pPr>
            <w:r>
              <w:rPr>
                <w:rFonts w:ascii="Times New Roman" w:hAnsi="Times New Roman" w:cs="Times New Roman"/>
                <w:b/>
                <w:bCs/>
                <w:lang w:val="lt-LT"/>
              </w:rPr>
              <w:t>Pirkimo būdas:</w:t>
            </w:r>
          </w:p>
        </w:tc>
        <w:tc>
          <w:tcPr>
            <w:tcW w:w="7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A7C2" w14:textId="77777777" w:rsidR="00817D3E" w:rsidRDefault="00066E2B">
            <w:pPr>
              <w:pStyle w:val="Standard"/>
              <w:jc w:val="both"/>
              <w:rPr>
                <w:rFonts w:hint="eastAsia"/>
              </w:rPr>
            </w:pPr>
            <w:r>
              <w:rPr>
                <w:rFonts w:ascii="Times New Roman" w:hAnsi="Times New Roman" w:cs="Times New Roman"/>
                <w:lang w:val="lt-LT"/>
              </w:rPr>
              <w:t>Supaprastintas atviras konkursas</w:t>
            </w:r>
          </w:p>
        </w:tc>
      </w:tr>
      <w:tr w:rsidR="00817D3E" w14:paraId="0311F63C"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1470" w14:textId="77777777" w:rsidR="00817D3E" w:rsidRDefault="00066E2B">
            <w:pPr>
              <w:pStyle w:val="Standard"/>
              <w:jc w:val="both"/>
              <w:rPr>
                <w:rFonts w:hint="eastAsia"/>
              </w:rPr>
            </w:pPr>
            <w:r>
              <w:rPr>
                <w:rFonts w:ascii="Times New Roman" w:hAnsi="Times New Roman" w:cs="Times New Roman"/>
                <w:b/>
                <w:bCs/>
                <w:lang w:val="lt-LT"/>
              </w:rPr>
              <w:t>Pirkimo numeris:</w:t>
            </w:r>
          </w:p>
        </w:tc>
        <w:tc>
          <w:tcPr>
            <w:tcW w:w="21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BED31" w14:textId="77777777" w:rsidR="00817D3E" w:rsidRDefault="00817D3E">
            <w:pPr>
              <w:pStyle w:val="Standard"/>
              <w:jc w:val="both"/>
              <w:rPr>
                <w:rFonts w:ascii="Times New Roman" w:hAnsi="Times New Roman" w:cs="Times New Roman"/>
                <w:lang w:val="lt-LT"/>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6F34" w14:textId="77777777" w:rsidR="00817D3E" w:rsidRDefault="00066E2B">
            <w:pPr>
              <w:pStyle w:val="Standard"/>
              <w:jc w:val="both"/>
              <w:rPr>
                <w:rFonts w:hint="eastAsia"/>
              </w:rPr>
            </w:pPr>
            <w:r>
              <w:rPr>
                <w:rFonts w:ascii="Times New Roman" w:hAnsi="Times New Roman" w:cs="Times New Roman"/>
                <w:b/>
                <w:bCs/>
                <w:lang w:val="lt-LT"/>
              </w:rPr>
              <w:t>BVPŽ kodas (-ai):</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20837" w14:textId="77777777" w:rsidR="00817D3E" w:rsidRDefault="00066E2B">
            <w:pPr>
              <w:pStyle w:val="Standard"/>
              <w:jc w:val="both"/>
              <w:rPr>
                <w:rFonts w:hint="eastAsia"/>
              </w:rPr>
            </w:pPr>
            <w:r>
              <w:rPr>
                <w:rFonts w:ascii="Times New Roman" w:hAnsi="Times New Roman" w:cs="Times New Roman"/>
                <w:lang w:val="lt-LT"/>
              </w:rPr>
              <w:t>80590000-6</w:t>
            </w:r>
          </w:p>
        </w:tc>
      </w:tr>
      <w:tr w:rsidR="00817D3E" w14:paraId="015147C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FFD83" w14:textId="77777777" w:rsidR="00817D3E" w:rsidRDefault="00066E2B">
            <w:pPr>
              <w:pStyle w:val="Standard"/>
              <w:jc w:val="both"/>
              <w:rPr>
                <w:rFonts w:hint="eastAsia"/>
              </w:rPr>
            </w:pPr>
            <w:r>
              <w:rPr>
                <w:rFonts w:ascii="Times New Roman" w:hAnsi="Times New Roman" w:cs="Times New Roman"/>
                <w:b/>
                <w:bCs/>
                <w:lang w:val="lt-LT"/>
              </w:rPr>
              <w:t>Pirkimo dalis / dalys:</w:t>
            </w:r>
          </w:p>
        </w:tc>
        <w:tc>
          <w:tcPr>
            <w:tcW w:w="7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D80C1" w14:textId="77777777" w:rsidR="00817D3E" w:rsidRDefault="00066E2B">
            <w:pPr>
              <w:pStyle w:val="Standard"/>
              <w:jc w:val="both"/>
              <w:rPr>
                <w:rFonts w:hint="eastAsia"/>
              </w:rPr>
            </w:pPr>
            <w:r>
              <w:rPr>
                <w:rFonts w:ascii="Times New Roman" w:hAnsi="Times New Roman" w:cs="Times New Roman"/>
                <w:lang w:val="lt-LT"/>
              </w:rPr>
              <w:t xml:space="preserve">I, II pirkimo objekto dalys </w:t>
            </w:r>
            <w:r>
              <w:rPr>
                <w:rFonts w:ascii="Times New Roman" w:hAnsi="Times New Roman" w:cs="Times New Roman"/>
                <w:i/>
                <w:lang w:val="lt-LT"/>
              </w:rPr>
              <w:t>(pasirašant sutartį, nurodyti dėl kurios pirkimo objekto dalies sudaroma sutartis)</w:t>
            </w:r>
          </w:p>
        </w:tc>
      </w:tr>
      <w:tr w:rsidR="00817D3E" w14:paraId="2AEF8AD5" w14:textId="77777777">
        <w:tc>
          <w:tcPr>
            <w:tcW w:w="96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7036" w14:textId="77777777" w:rsidR="00817D3E" w:rsidRDefault="00066E2B">
            <w:pPr>
              <w:pStyle w:val="Heading1"/>
              <w:spacing w:before="0" w:after="0"/>
            </w:pPr>
            <w:r>
              <w:rPr>
                <w:rFonts w:ascii="Times New Roman" w:hAnsi="Times New Roman"/>
                <w:b/>
                <w:bCs/>
                <w:sz w:val="24"/>
                <w:szCs w:val="24"/>
                <w:lang w:val="lt-LT"/>
              </w:rPr>
              <w:t>SUTARTIES ŠALYS</w:t>
            </w:r>
          </w:p>
        </w:tc>
      </w:tr>
      <w:tr w:rsidR="00817D3E" w14:paraId="14294137" w14:textId="77777777">
        <w:tc>
          <w:tcPr>
            <w:tcW w:w="27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C9BC" w14:textId="77777777" w:rsidR="00817D3E" w:rsidRDefault="00817D3E">
            <w:pPr>
              <w:pStyle w:val="Standard"/>
              <w:rPr>
                <w:rFonts w:ascii="Times New Roman" w:hAnsi="Times New Roman" w:cs="Times New Roman"/>
                <w:b/>
                <w:bCs/>
                <w:lang w:val="lt-LT"/>
              </w:rPr>
            </w:pPr>
          </w:p>
          <w:p w14:paraId="202103E8" w14:textId="77777777" w:rsidR="00817D3E" w:rsidRDefault="00817D3E">
            <w:pPr>
              <w:pStyle w:val="Standard"/>
              <w:rPr>
                <w:rFonts w:ascii="Times New Roman" w:hAnsi="Times New Roman" w:cs="Times New Roman"/>
                <w:b/>
                <w:bCs/>
                <w:lang w:val="lt-LT"/>
              </w:rPr>
            </w:pPr>
          </w:p>
          <w:p w14:paraId="2D9FABE8" w14:textId="77777777" w:rsidR="00817D3E" w:rsidRDefault="00817D3E">
            <w:pPr>
              <w:pStyle w:val="Standard"/>
              <w:rPr>
                <w:rFonts w:ascii="Times New Roman" w:hAnsi="Times New Roman" w:cs="Times New Roman"/>
                <w:b/>
                <w:bCs/>
                <w:lang w:val="lt-LT"/>
              </w:rPr>
            </w:pPr>
          </w:p>
          <w:p w14:paraId="6192A7D7" w14:textId="77777777" w:rsidR="00817D3E" w:rsidRDefault="00817D3E">
            <w:pPr>
              <w:pStyle w:val="Standard"/>
              <w:rPr>
                <w:rFonts w:ascii="Times New Roman" w:hAnsi="Times New Roman" w:cs="Times New Roman"/>
                <w:b/>
                <w:bCs/>
                <w:lang w:val="lt-LT"/>
              </w:rPr>
            </w:pPr>
          </w:p>
          <w:p w14:paraId="523DC4A9" w14:textId="77777777" w:rsidR="00817D3E" w:rsidRDefault="00066E2B">
            <w:pPr>
              <w:pStyle w:val="Heading2"/>
              <w:spacing w:before="0"/>
              <w:ind w:left="576" w:hanging="576"/>
            </w:pPr>
            <w:r>
              <w:rPr>
                <w:rFonts w:ascii="Times New Roman" w:hAnsi="Times New Roman"/>
                <w:color w:val="auto"/>
                <w:sz w:val="24"/>
                <w:szCs w:val="24"/>
                <w:lang w:val="lt-LT"/>
              </w:rPr>
              <w:t>1.1. Pirkėjas</w:t>
            </w: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E7444" w14:textId="77777777" w:rsidR="00817D3E" w:rsidRDefault="00066E2B">
            <w:pPr>
              <w:pStyle w:val="Heading3"/>
              <w:spacing w:before="0"/>
              <w:ind w:left="720" w:hanging="720"/>
            </w:pPr>
            <w:r>
              <w:rPr>
                <w:rFonts w:ascii="Times New Roman" w:hAnsi="Times New Roman"/>
                <w:color w:val="auto"/>
                <w:sz w:val="24"/>
                <w:szCs w:val="24"/>
                <w:lang w:val="lt-LT"/>
              </w:rPr>
              <w:t>1.1.1. Pavadinimas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2BA0" w14:textId="77777777" w:rsidR="00817D3E" w:rsidRDefault="00066E2B">
            <w:pPr>
              <w:pStyle w:val="Standard"/>
              <w:jc w:val="center"/>
              <w:rPr>
                <w:rFonts w:hint="eastAsia"/>
              </w:rPr>
            </w:pPr>
            <w:r>
              <w:rPr>
                <w:rFonts w:ascii="Times New Roman" w:hAnsi="Times New Roman" w:cs="Times New Roman"/>
                <w:lang w:val="lt-LT"/>
              </w:rPr>
              <w:t>Nacionalinė švietimo agentūra</w:t>
            </w:r>
          </w:p>
        </w:tc>
      </w:tr>
      <w:tr w:rsidR="00817D3E" w14:paraId="149DEE57"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79547"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68468" w14:textId="77777777" w:rsidR="00817D3E" w:rsidRDefault="00066E2B">
            <w:pPr>
              <w:pStyle w:val="Heading3"/>
              <w:spacing w:before="0"/>
              <w:ind w:left="720" w:hanging="720"/>
            </w:pPr>
            <w:r>
              <w:rPr>
                <w:rFonts w:ascii="Times New Roman" w:hAnsi="Times New Roman"/>
                <w:color w:val="auto"/>
                <w:sz w:val="24"/>
                <w:szCs w:val="24"/>
                <w:lang w:val="lt-LT"/>
              </w:rPr>
              <w:t>1.1.2. Juridinio asmens kodas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26BC9" w14:textId="77777777" w:rsidR="00817D3E" w:rsidRDefault="00066E2B">
            <w:pPr>
              <w:pStyle w:val="Standard"/>
              <w:jc w:val="center"/>
              <w:rPr>
                <w:rFonts w:hint="eastAsia"/>
              </w:rPr>
            </w:pPr>
            <w:r>
              <w:rPr>
                <w:rFonts w:ascii="Times New Roman" w:hAnsi="Times New Roman" w:cs="Times New Roman"/>
                <w:lang w:val="lt-LT"/>
              </w:rPr>
              <w:t>305238040</w:t>
            </w:r>
          </w:p>
        </w:tc>
      </w:tr>
      <w:tr w:rsidR="00817D3E" w14:paraId="45077002"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D3DCD"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88BCF" w14:textId="77777777" w:rsidR="00817D3E" w:rsidRDefault="00066E2B">
            <w:pPr>
              <w:pStyle w:val="Heading3"/>
              <w:spacing w:before="0"/>
              <w:ind w:left="720" w:hanging="720"/>
            </w:pPr>
            <w:r>
              <w:rPr>
                <w:rFonts w:ascii="Times New Roman" w:hAnsi="Times New Roman"/>
                <w:color w:val="auto"/>
                <w:sz w:val="24"/>
                <w:szCs w:val="24"/>
                <w:lang w:val="lt-LT"/>
              </w:rPr>
              <w:t>1.1.3. Adresas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4FBB" w14:textId="77777777" w:rsidR="00817D3E" w:rsidRDefault="00066E2B">
            <w:pPr>
              <w:pStyle w:val="Standard"/>
              <w:jc w:val="center"/>
              <w:rPr>
                <w:rFonts w:hint="eastAsia"/>
              </w:rPr>
            </w:pPr>
            <w:r>
              <w:rPr>
                <w:rFonts w:ascii="Times New Roman" w:hAnsi="Times New Roman" w:cs="Times New Roman"/>
                <w:lang w:val="lt-LT"/>
              </w:rPr>
              <w:t>K. Kalinausko g. 7, LT-03107 Vilnius</w:t>
            </w:r>
          </w:p>
        </w:tc>
      </w:tr>
      <w:tr w:rsidR="00817D3E" w14:paraId="4FCA7122"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0C39C"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B12" w14:textId="77777777" w:rsidR="00817D3E" w:rsidRDefault="00066E2B">
            <w:pPr>
              <w:pStyle w:val="Heading3"/>
              <w:spacing w:before="0"/>
              <w:ind w:left="720" w:hanging="720"/>
            </w:pPr>
            <w:r>
              <w:rPr>
                <w:rFonts w:ascii="Times New Roman" w:hAnsi="Times New Roman"/>
                <w:color w:val="auto"/>
                <w:sz w:val="24"/>
                <w:szCs w:val="24"/>
                <w:lang w:val="lt-LT"/>
              </w:rPr>
              <w:t>1.1.4. PVM mokėtojo kodas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E6B62" w14:textId="77777777" w:rsidR="00817D3E" w:rsidRDefault="00066E2B">
            <w:pPr>
              <w:pStyle w:val="Standard"/>
              <w:jc w:val="center"/>
              <w:rPr>
                <w:rFonts w:hint="eastAsia"/>
              </w:rPr>
            </w:pPr>
            <w:r>
              <w:rPr>
                <w:rFonts w:ascii="Times New Roman" w:hAnsi="Times New Roman" w:cs="Times New Roman"/>
                <w:lang w:val="lt-LT"/>
              </w:rPr>
              <w:t>Ne PVM mokėtoja</w:t>
            </w:r>
          </w:p>
        </w:tc>
      </w:tr>
      <w:tr w:rsidR="00817D3E" w14:paraId="141AA0C2"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2F9B9"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2F5EB" w14:textId="77777777" w:rsidR="00817D3E" w:rsidRDefault="00066E2B">
            <w:pPr>
              <w:pStyle w:val="Heading3"/>
              <w:spacing w:before="0"/>
              <w:ind w:left="720" w:hanging="720"/>
            </w:pPr>
            <w:r>
              <w:rPr>
                <w:rFonts w:ascii="Times New Roman" w:hAnsi="Times New Roman"/>
                <w:color w:val="auto"/>
                <w:sz w:val="24"/>
                <w:szCs w:val="24"/>
                <w:lang w:val="lt-LT"/>
              </w:rPr>
              <w:t>1.1.5. Atsiskaitomoji sąskaita</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E553" w14:textId="77777777" w:rsidR="00817D3E" w:rsidRDefault="00066E2B">
            <w:pPr>
              <w:pStyle w:val="Standard"/>
              <w:jc w:val="center"/>
              <w:rPr>
                <w:rFonts w:hint="eastAsia"/>
              </w:rPr>
            </w:pPr>
            <w:r>
              <w:rPr>
                <w:rFonts w:ascii="Times New Roman" w:hAnsi="Times New Roman" w:cs="Times New Roman"/>
                <w:color w:val="000000"/>
                <w:lang w:val="lt-LT"/>
              </w:rPr>
              <w:t>LT694040063610001631</w:t>
            </w:r>
          </w:p>
        </w:tc>
      </w:tr>
      <w:tr w:rsidR="00817D3E" w14:paraId="6CD6EC09"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5F2C3"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1D32" w14:textId="77777777" w:rsidR="00817D3E" w:rsidRDefault="00066E2B">
            <w:pPr>
              <w:pStyle w:val="Heading3"/>
              <w:spacing w:before="0"/>
              <w:ind w:left="720" w:hanging="720"/>
            </w:pPr>
            <w:r>
              <w:rPr>
                <w:rFonts w:ascii="Times New Roman" w:hAnsi="Times New Roman"/>
                <w:color w:val="auto"/>
                <w:sz w:val="24"/>
                <w:szCs w:val="24"/>
                <w:lang w:val="lt-LT"/>
              </w:rPr>
              <w:t>1.1.6. Bankas, banko kodas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F8C2" w14:textId="77777777" w:rsidR="00817D3E" w:rsidRDefault="00066E2B">
            <w:pPr>
              <w:pStyle w:val="Standard"/>
              <w:tabs>
                <w:tab w:val="left" w:pos="1230"/>
              </w:tabs>
              <w:jc w:val="center"/>
              <w:rPr>
                <w:rFonts w:hint="eastAsia"/>
              </w:rPr>
            </w:pPr>
            <w:r>
              <w:rPr>
                <w:rFonts w:ascii="Times New Roman" w:hAnsi="Times New Roman" w:cs="Times New Roman"/>
                <w:color w:val="000000"/>
                <w:lang w:val="lt-LT"/>
              </w:rPr>
              <w:t>Lietuvos Respublikos finansų ministerija</w:t>
            </w:r>
          </w:p>
        </w:tc>
      </w:tr>
      <w:tr w:rsidR="00817D3E" w14:paraId="4237AC0E"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1301"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7B90C" w14:textId="77777777" w:rsidR="00817D3E" w:rsidRDefault="00066E2B">
            <w:pPr>
              <w:pStyle w:val="Heading3"/>
              <w:spacing w:before="0"/>
              <w:ind w:left="720" w:hanging="720"/>
            </w:pPr>
            <w:r>
              <w:rPr>
                <w:rFonts w:ascii="Times New Roman" w:hAnsi="Times New Roman"/>
                <w:color w:val="auto"/>
                <w:sz w:val="24"/>
                <w:szCs w:val="24"/>
                <w:lang w:val="lt-LT"/>
              </w:rPr>
              <w:t>1.1.7. Telefonas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2D73B" w14:textId="77777777" w:rsidR="00817D3E" w:rsidRDefault="00066E2B">
            <w:pPr>
              <w:pStyle w:val="Standard"/>
              <w:jc w:val="center"/>
              <w:rPr>
                <w:rFonts w:hint="eastAsia"/>
              </w:rPr>
            </w:pPr>
            <w:r>
              <w:rPr>
                <w:rFonts w:ascii="Times New Roman" w:hAnsi="Times New Roman" w:cs="Times New Roman"/>
                <w:lang w:val="lt-LT"/>
              </w:rPr>
              <w:t>+370 658 18504</w:t>
            </w:r>
          </w:p>
        </w:tc>
      </w:tr>
      <w:tr w:rsidR="00817D3E" w14:paraId="3CAB5D0D"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062B6"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C0DA" w14:textId="77777777" w:rsidR="00817D3E" w:rsidRDefault="00066E2B">
            <w:pPr>
              <w:pStyle w:val="Heading3"/>
              <w:spacing w:before="0"/>
              <w:ind w:left="720" w:hanging="720"/>
            </w:pPr>
            <w:r>
              <w:rPr>
                <w:rFonts w:ascii="Times New Roman" w:hAnsi="Times New Roman"/>
                <w:color w:val="auto"/>
                <w:sz w:val="24"/>
                <w:szCs w:val="24"/>
                <w:lang w:val="lt-LT"/>
              </w:rPr>
              <w:t>1.1.8. El. paštas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E31DA" w14:textId="77777777" w:rsidR="00817D3E" w:rsidRDefault="00066E2B">
            <w:pPr>
              <w:pStyle w:val="Standard"/>
              <w:jc w:val="center"/>
              <w:rPr>
                <w:rFonts w:hint="eastAsia"/>
              </w:rPr>
            </w:pPr>
            <w:r>
              <w:rPr>
                <w:rFonts w:ascii="Times New Roman" w:hAnsi="Times New Roman" w:cs="Times New Roman"/>
                <w:lang w:val="lt-LT"/>
              </w:rPr>
              <w:t>info@nsa.smm.lt</w:t>
            </w:r>
          </w:p>
        </w:tc>
      </w:tr>
      <w:tr w:rsidR="00817D3E" w14:paraId="022F924B"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81EF"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68DF" w14:textId="77777777" w:rsidR="00817D3E" w:rsidRDefault="00066E2B">
            <w:pPr>
              <w:pStyle w:val="Heading3"/>
              <w:spacing w:before="0"/>
              <w:ind w:left="720" w:hanging="720"/>
            </w:pPr>
            <w:r>
              <w:rPr>
                <w:rFonts w:ascii="Times New Roman" w:hAnsi="Times New Roman"/>
                <w:color w:val="auto"/>
                <w:sz w:val="24"/>
                <w:szCs w:val="24"/>
                <w:lang w:val="lt-LT"/>
              </w:rPr>
              <w:t>1.1.9. Šalies atstovas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9EB95" w14:textId="77777777" w:rsidR="00817D3E" w:rsidRDefault="00817D3E">
            <w:pPr>
              <w:pStyle w:val="Standard"/>
              <w:jc w:val="center"/>
              <w:rPr>
                <w:rFonts w:ascii="Times New Roman" w:hAnsi="Times New Roman" w:cs="Times New Roman"/>
                <w:lang w:val="lt-LT"/>
              </w:rPr>
            </w:pPr>
          </w:p>
        </w:tc>
      </w:tr>
      <w:tr w:rsidR="00817D3E" w14:paraId="3FEF4089"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BEE95"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CB1D5" w14:textId="77777777" w:rsidR="00817D3E" w:rsidRDefault="00066E2B">
            <w:pPr>
              <w:pStyle w:val="Heading3"/>
              <w:spacing w:before="0"/>
              <w:ind w:left="720" w:hanging="720"/>
            </w:pPr>
            <w:r>
              <w:rPr>
                <w:rFonts w:ascii="Times New Roman" w:hAnsi="Times New Roman"/>
                <w:color w:val="auto"/>
                <w:sz w:val="24"/>
                <w:szCs w:val="24"/>
                <w:lang w:val="lt-LT"/>
              </w:rPr>
              <w:t>1.1.10. Atstovavimo pagrindas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11EB" w14:textId="77777777" w:rsidR="00817D3E" w:rsidRDefault="00817D3E">
            <w:pPr>
              <w:pStyle w:val="Standard"/>
              <w:jc w:val="both"/>
              <w:rPr>
                <w:rFonts w:ascii="Times New Roman" w:hAnsi="Times New Roman" w:cs="Times New Roman"/>
                <w:lang w:val="lt-LT"/>
              </w:rPr>
            </w:pPr>
          </w:p>
        </w:tc>
      </w:tr>
      <w:tr w:rsidR="00817D3E" w14:paraId="712B22DA" w14:textId="77777777">
        <w:tc>
          <w:tcPr>
            <w:tcW w:w="27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8B47" w14:textId="77777777" w:rsidR="00817D3E" w:rsidRDefault="00817D3E">
            <w:pPr>
              <w:pStyle w:val="Standard"/>
              <w:rPr>
                <w:rFonts w:ascii="Times New Roman" w:hAnsi="Times New Roman" w:cs="Times New Roman"/>
                <w:b/>
                <w:bCs/>
                <w:lang w:val="lt-LT"/>
              </w:rPr>
            </w:pPr>
          </w:p>
          <w:p w14:paraId="7C6B15E1" w14:textId="77777777" w:rsidR="00817D3E" w:rsidRDefault="00817D3E">
            <w:pPr>
              <w:pStyle w:val="Standard"/>
              <w:rPr>
                <w:rFonts w:ascii="Times New Roman" w:hAnsi="Times New Roman" w:cs="Times New Roman"/>
                <w:b/>
                <w:bCs/>
                <w:lang w:val="lt-LT"/>
              </w:rPr>
            </w:pPr>
          </w:p>
          <w:p w14:paraId="333358F1" w14:textId="77777777" w:rsidR="00817D3E" w:rsidRDefault="00817D3E">
            <w:pPr>
              <w:pStyle w:val="Standard"/>
              <w:rPr>
                <w:rFonts w:ascii="Times New Roman" w:hAnsi="Times New Roman" w:cs="Times New Roman"/>
                <w:b/>
                <w:bCs/>
                <w:lang w:val="lt-LT"/>
              </w:rPr>
            </w:pPr>
          </w:p>
          <w:p w14:paraId="53E7E74C" w14:textId="77777777" w:rsidR="00817D3E" w:rsidRDefault="00066E2B">
            <w:pPr>
              <w:pStyle w:val="Heading2"/>
              <w:spacing w:before="0"/>
              <w:ind w:left="576" w:hanging="576"/>
            </w:pPr>
            <w:r>
              <w:rPr>
                <w:rFonts w:ascii="Times New Roman" w:hAnsi="Times New Roman"/>
                <w:color w:val="auto"/>
                <w:sz w:val="24"/>
                <w:szCs w:val="24"/>
                <w:lang w:val="lt-LT"/>
              </w:rPr>
              <w:t>1.2. Tiekėjas</w:t>
            </w:r>
          </w:p>
          <w:p w14:paraId="02A12EF9" w14:textId="77777777" w:rsidR="00817D3E" w:rsidRDefault="00066E2B">
            <w:pPr>
              <w:pStyle w:val="Standard"/>
              <w:rPr>
                <w:rFonts w:hint="eastAsia"/>
              </w:rPr>
            </w:pPr>
            <w:r>
              <w:rPr>
                <w:rFonts w:ascii="Times New Roman" w:hAnsi="Times New Roman" w:cs="Times New Roman"/>
                <w:i/>
                <w:iCs/>
                <w:lang w:val="lt-LT"/>
              </w:rPr>
              <w:t>(jei Tiekėjas yra fizinis asmuo, skiltys atitinkamai pakoreguojamos)</w:t>
            </w:r>
          </w:p>
          <w:p w14:paraId="7C93AA32" w14:textId="77777777" w:rsidR="00817D3E" w:rsidRDefault="00817D3E">
            <w:pPr>
              <w:pStyle w:val="Standard"/>
              <w:rPr>
                <w:rFonts w:ascii="Times New Roman" w:hAnsi="Times New Roman" w:cs="Times New Roman"/>
                <w:b/>
                <w:bCs/>
                <w:lang w:val="lt-LT"/>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32A8" w14:textId="77777777" w:rsidR="00817D3E" w:rsidRDefault="00066E2B">
            <w:pPr>
              <w:pStyle w:val="Heading3"/>
              <w:spacing w:before="0"/>
              <w:ind w:left="720" w:hanging="720"/>
            </w:pPr>
            <w:r>
              <w:rPr>
                <w:rFonts w:ascii="Times New Roman" w:hAnsi="Times New Roman"/>
                <w:color w:val="auto"/>
                <w:sz w:val="24"/>
                <w:szCs w:val="24"/>
                <w:lang w:val="lt-LT"/>
              </w:rPr>
              <w:t>1.2.1. Pavadinimas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3691" w14:textId="77777777" w:rsidR="00817D3E" w:rsidRDefault="00817D3E">
            <w:pPr>
              <w:pStyle w:val="Standard"/>
              <w:jc w:val="center"/>
              <w:rPr>
                <w:rFonts w:ascii="Times New Roman" w:hAnsi="Times New Roman" w:cs="Times New Roman"/>
                <w:lang w:val="lt-LT"/>
              </w:rPr>
            </w:pPr>
          </w:p>
        </w:tc>
      </w:tr>
      <w:tr w:rsidR="00817D3E" w14:paraId="5D623E3C"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FEA8"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3771" w14:textId="77777777" w:rsidR="00817D3E" w:rsidRDefault="00066E2B">
            <w:pPr>
              <w:pStyle w:val="Heading3"/>
              <w:spacing w:before="0"/>
              <w:jc w:val="both"/>
            </w:pPr>
            <w:r>
              <w:rPr>
                <w:rFonts w:ascii="Times New Roman" w:hAnsi="Times New Roman"/>
                <w:color w:val="auto"/>
                <w:sz w:val="24"/>
                <w:szCs w:val="24"/>
                <w:lang w:val="lt-LT"/>
              </w:rPr>
              <w:t>1.2.2. Juridinio asmens kodas / Fizinio asmens gimimo data</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DBDAB" w14:textId="77777777" w:rsidR="00817D3E" w:rsidRDefault="00817D3E">
            <w:pPr>
              <w:pStyle w:val="Standard"/>
              <w:jc w:val="center"/>
              <w:rPr>
                <w:rFonts w:ascii="Times New Roman" w:hAnsi="Times New Roman" w:cs="Times New Roman"/>
                <w:lang w:val="lt-LT"/>
              </w:rPr>
            </w:pPr>
          </w:p>
        </w:tc>
      </w:tr>
      <w:tr w:rsidR="00817D3E" w14:paraId="33425E0D"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5A0B"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D0E18" w14:textId="77777777" w:rsidR="00817D3E" w:rsidRDefault="00066E2B">
            <w:pPr>
              <w:pStyle w:val="Heading3"/>
              <w:spacing w:before="0"/>
              <w:ind w:left="720" w:hanging="720"/>
            </w:pPr>
            <w:r>
              <w:rPr>
                <w:rFonts w:ascii="Times New Roman" w:hAnsi="Times New Roman"/>
                <w:color w:val="auto"/>
                <w:sz w:val="24"/>
                <w:szCs w:val="24"/>
                <w:lang w:val="lt-LT"/>
              </w:rPr>
              <w:t>1.2.3. Adresas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28E1A" w14:textId="77777777" w:rsidR="00817D3E" w:rsidRDefault="00817D3E">
            <w:pPr>
              <w:pStyle w:val="Standard"/>
              <w:jc w:val="center"/>
              <w:rPr>
                <w:rFonts w:ascii="Times New Roman" w:hAnsi="Times New Roman" w:cs="Times New Roman"/>
                <w:lang w:val="lt-LT"/>
              </w:rPr>
            </w:pPr>
          </w:p>
        </w:tc>
      </w:tr>
      <w:tr w:rsidR="00817D3E" w14:paraId="56EEBC78"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F410"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5CD67" w14:textId="77777777" w:rsidR="00817D3E" w:rsidRDefault="00066E2B">
            <w:pPr>
              <w:pStyle w:val="Heading3"/>
              <w:spacing w:before="0"/>
              <w:ind w:left="720" w:hanging="720"/>
            </w:pPr>
            <w:r>
              <w:rPr>
                <w:rFonts w:ascii="Times New Roman" w:hAnsi="Times New Roman"/>
                <w:color w:val="auto"/>
                <w:sz w:val="24"/>
                <w:szCs w:val="24"/>
                <w:lang w:val="lt-LT"/>
              </w:rPr>
              <w:t>1.2.4. PVM mokėtojo kodas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595BF" w14:textId="77777777" w:rsidR="00817D3E" w:rsidRDefault="00817D3E">
            <w:pPr>
              <w:pStyle w:val="Standard"/>
              <w:jc w:val="center"/>
              <w:rPr>
                <w:rFonts w:ascii="Times New Roman" w:hAnsi="Times New Roman" w:cs="Times New Roman"/>
                <w:lang w:val="lt-LT"/>
              </w:rPr>
            </w:pPr>
          </w:p>
        </w:tc>
      </w:tr>
      <w:tr w:rsidR="00817D3E" w14:paraId="371233EE"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A5"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3F6BE" w14:textId="77777777" w:rsidR="00817D3E" w:rsidRDefault="00066E2B">
            <w:pPr>
              <w:pStyle w:val="Heading3"/>
              <w:spacing w:before="0"/>
              <w:ind w:left="720" w:hanging="720"/>
            </w:pPr>
            <w:r>
              <w:rPr>
                <w:rFonts w:ascii="Times New Roman" w:hAnsi="Times New Roman"/>
                <w:color w:val="auto"/>
                <w:sz w:val="24"/>
                <w:szCs w:val="24"/>
                <w:lang w:val="lt-LT"/>
              </w:rPr>
              <w:t>1.2.5. Atsiskaitomoji sąskaita</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B7D4" w14:textId="77777777" w:rsidR="00817D3E" w:rsidRDefault="00817D3E">
            <w:pPr>
              <w:pStyle w:val="Standard"/>
              <w:jc w:val="center"/>
              <w:rPr>
                <w:rFonts w:ascii="Times New Roman" w:hAnsi="Times New Roman" w:cs="Times New Roman"/>
                <w:lang w:val="lt-LT"/>
              </w:rPr>
            </w:pPr>
          </w:p>
        </w:tc>
      </w:tr>
      <w:tr w:rsidR="00817D3E" w14:paraId="12074BE8"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0B39"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E7AC6" w14:textId="77777777" w:rsidR="00817D3E" w:rsidRDefault="00066E2B">
            <w:pPr>
              <w:pStyle w:val="Heading3"/>
              <w:spacing w:before="0"/>
              <w:ind w:left="720" w:hanging="720"/>
            </w:pPr>
            <w:r>
              <w:rPr>
                <w:rFonts w:ascii="Times New Roman" w:hAnsi="Times New Roman"/>
                <w:color w:val="auto"/>
                <w:sz w:val="24"/>
                <w:szCs w:val="24"/>
                <w:lang w:val="lt-LT"/>
              </w:rPr>
              <w:t>1.2.6. Bankas, banko kodas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8DB71" w14:textId="77777777" w:rsidR="00817D3E" w:rsidRDefault="00817D3E">
            <w:pPr>
              <w:pStyle w:val="Standard"/>
              <w:jc w:val="center"/>
              <w:rPr>
                <w:rFonts w:ascii="Times New Roman" w:hAnsi="Times New Roman" w:cs="Times New Roman"/>
                <w:lang w:val="lt-LT"/>
              </w:rPr>
            </w:pPr>
          </w:p>
        </w:tc>
      </w:tr>
      <w:tr w:rsidR="00817D3E" w14:paraId="76A930CC"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AC31"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5B463" w14:textId="77777777" w:rsidR="00817D3E" w:rsidRDefault="00066E2B">
            <w:pPr>
              <w:pStyle w:val="Heading3"/>
              <w:spacing w:before="0"/>
              <w:ind w:left="720" w:hanging="720"/>
            </w:pPr>
            <w:r>
              <w:rPr>
                <w:rFonts w:ascii="Times New Roman" w:hAnsi="Times New Roman"/>
                <w:color w:val="auto"/>
                <w:sz w:val="24"/>
                <w:szCs w:val="24"/>
                <w:lang w:val="lt-LT"/>
              </w:rPr>
              <w:t>1.2.7. Telefonas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F29B" w14:textId="77777777" w:rsidR="00817D3E" w:rsidRDefault="00817D3E">
            <w:pPr>
              <w:pStyle w:val="Standard"/>
              <w:jc w:val="center"/>
              <w:rPr>
                <w:rFonts w:ascii="Times New Roman" w:hAnsi="Times New Roman" w:cs="Times New Roman"/>
                <w:lang w:val="lt-LT"/>
              </w:rPr>
            </w:pPr>
          </w:p>
        </w:tc>
      </w:tr>
      <w:tr w:rsidR="00817D3E" w14:paraId="58988541"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1F220"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2A4BE" w14:textId="77777777" w:rsidR="00817D3E" w:rsidRDefault="00066E2B">
            <w:pPr>
              <w:pStyle w:val="Heading3"/>
              <w:spacing w:before="0"/>
              <w:ind w:left="720" w:hanging="720"/>
            </w:pPr>
            <w:r>
              <w:rPr>
                <w:rFonts w:ascii="Times New Roman" w:hAnsi="Times New Roman"/>
                <w:color w:val="auto"/>
                <w:sz w:val="24"/>
                <w:szCs w:val="24"/>
                <w:lang w:val="lt-LT"/>
              </w:rPr>
              <w:t>1.2.8. El. paštas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6F52D" w14:textId="77777777" w:rsidR="00817D3E" w:rsidRDefault="00817D3E">
            <w:pPr>
              <w:pStyle w:val="Standard"/>
              <w:jc w:val="center"/>
              <w:rPr>
                <w:rFonts w:ascii="Times New Roman" w:hAnsi="Times New Roman" w:cs="Times New Roman"/>
                <w:lang w:val="lt-LT"/>
              </w:rPr>
            </w:pPr>
          </w:p>
        </w:tc>
      </w:tr>
      <w:tr w:rsidR="00817D3E" w14:paraId="356EC69B"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CFA82"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3CA5" w14:textId="77777777" w:rsidR="00817D3E" w:rsidRDefault="00066E2B">
            <w:pPr>
              <w:pStyle w:val="Heading3"/>
              <w:spacing w:before="0"/>
              <w:ind w:left="720" w:hanging="720"/>
            </w:pPr>
            <w:r>
              <w:rPr>
                <w:rFonts w:ascii="Times New Roman" w:hAnsi="Times New Roman"/>
                <w:color w:val="auto"/>
                <w:sz w:val="24"/>
                <w:szCs w:val="24"/>
                <w:lang w:val="lt-LT"/>
              </w:rPr>
              <w:t>1.2.9. Šalies atstovas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63AD" w14:textId="77777777" w:rsidR="00817D3E" w:rsidRDefault="00817D3E">
            <w:pPr>
              <w:pStyle w:val="Standard"/>
              <w:jc w:val="center"/>
              <w:rPr>
                <w:rFonts w:ascii="Times New Roman" w:hAnsi="Times New Roman" w:cs="Times New Roman"/>
                <w:lang w:val="lt-LT"/>
              </w:rPr>
            </w:pPr>
          </w:p>
        </w:tc>
      </w:tr>
      <w:tr w:rsidR="00817D3E" w14:paraId="70D3184B" w14:textId="77777777">
        <w:tc>
          <w:tcPr>
            <w:tcW w:w="27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EB37" w14:textId="77777777" w:rsidR="00817D3E" w:rsidRDefault="00817D3E">
            <w:pPr>
              <w:rPr>
                <w:rFonts w:hint="eastAsia"/>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DA50D" w14:textId="77777777" w:rsidR="00817D3E" w:rsidRDefault="00066E2B">
            <w:pPr>
              <w:pStyle w:val="Heading3"/>
              <w:spacing w:before="0"/>
              <w:ind w:left="720" w:hanging="720"/>
            </w:pPr>
            <w:r>
              <w:rPr>
                <w:rFonts w:ascii="Times New Roman" w:hAnsi="Times New Roman"/>
                <w:color w:val="auto"/>
                <w:sz w:val="24"/>
                <w:szCs w:val="24"/>
                <w:lang w:val="lt-LT"/>
              </w:rPr>
              <w:t>1.2.10. Atstovavimo pagrindas</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1B82C" w14:textId="77777777" w:rsidR="00817D3E" w:rsidRDefault="00817D3E">
            <w:pPr>
              <w:pStyle w:val="Standard"/>
              <w:jc w:val="center"/>
              <w:rPr>
                <w:rFonts w:ascii="Times New Roman" w:hAnsi="Times New Roman" w:cs="Times New Roman"/>
                <w:lang w:val="lt-LT"/>
              </w:rPr>
            </w:pPr>
          </w:p>
        </w:tc>
      </w:tr>
      <w:tr w:rsidR="00817D3E" w14:paraId="60D7E0E3" w14:textId="77777777">
        <w:trPr>
          <w:trHeight w:val="300"/>
        </w:trPr>
        <w:tc>
          <w:tcPr>
            <w:tcW w:w="96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7EACE" w14:textId="77777777" w:rsidR="00817D3E" w:rsidRDefault="00066E2B">
            <w:pPr>
              <w:pStyle w:val="Heading1"/>
              <w:spacing w:before="0" w:after="0"/>
            </w:pPr>
            <w:r>
              <w:rPr>
                <w:rFonts w:ascii="Times New Roman" w:hAnsi="Times New Roman"/>
                <w:b/>
                <w:bCs/>
                <w:sz w:val="24"/>
                <w:szCs w:val="24"/>
                <w:lang w:val="lt-LT"/>
              </w:rPr>
              <w:lastRenderedPageBreak/>
              <w:t>ATSAKINGI ASMENYS</w:t>
            </w:r>
          </w:p>
        </w:tc>
      </w:tr>
      <w:tr w:rsidR="00817D3E" w14:paraId="3D203A48" w14:textId="77777777">
        <w:trPr>
          <w:trHeight w:val="300"/>
        </w:trPr>
        <w:tc>
          <w:tcPr>
            <w:tcW w:w="2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4EA3" w14:textId="77777777" w:rsidR="00817D3E" w:rsidRDefault="00066E2B">
            <w:pPr>
              <w:pStyle w:val="Heading2"/>
              <w:spacing w:before="0"/>
            </w:pPr>
            <w:r>
              <w:rPr>
                <w:rFonts w:ascii="Times New Roman" w:hAnsi="Times New Roman"/>
                <w:color w:val="auto"/>
                <w:sz w:val="24"/>
                <w:szCs w:val="24"/>
                <w:lang w:val="lt-LT"/>
              </w:rPr>
              <w:t>2.1. Pirkėjo kontaktinis (-</w:t>
            </w:r>
            <w:proofErr w:type="spellStart"/>
            <w:r>
              <w:rPr>
                <w:rFonts w:ascii="Times New Roman" w:hAnsi="Times New Roman"/>
                <w:color w:val="auto"/>
                <w:sz w:val="24"/>
                <w:szCs w:val="24"/>
                <w:lang w:val="lt-LT"/>
              </w:rPr>
              <w:t>iai</w:t>
            </w:r>
            <w:proofErr w:type="spellEnd"/>
            <w:r>
              <w:rPr>
                <w:rFonts w:ascii="Times New Roman" w:hAnsi="Times New Roman"/>
                <w:color w:val="auto"/>
                <w:sz w:val="24"/>
                <w:szCs w:val="24"/>
                <w:lang w:val="lt-LT"/>
              </w:rPr>
              <w:t>) asmuo (-</w:t>
            </w:r>
            <w:proofErr w:type="spellStart"/>
            <w:r>
              <w:rPr>
                <w:rFonts w:ascii="Times New Roman" w:hAnsi="Times New Roman"/>
                <w:color w:val="auto"/>
                <w:sz w:val="24"/>
                <w:szCs w:val="24"/>
                <w:lang w:val="lt-LT"/>
              </w:rPr>
              <w:t>ys</w:t>
            </w:r>
            <w:proofErr w:type="spellEnd"/>
            <w:r>
              <w:rPr>
                <w:rFonts w:ascii="Times New Roman" w:hAnsi="Times New Roman"/>
                <w:color w:val="auto"/>
                <w:sz w:val="24"/>
                <w:szCs w:val="24"/>
                <w:lang w:val="lt-LT"/>
              </w:rPr>
              <w:t>), atsakingas (-i) už Sutarties vykdymą</w:t>
            </w:r>
          </w:p>
        </w:tc>
        <w:tc>
          <w:tcPr>
            <w:tcW w:w="66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ABD0" w14:textId="77777777" w:rsidR="00817D3E" w:rsidRDefault="00066E2B">
            <w:pPr>
              <w:pStyle w:val="Standard"/>
              <w:rPr>
                <w:rFonts w:hint="eastAsia"/>
              </w:rPr>
            </w:pPr>
            <w:r>
              <w:rPr>
                <w:rFonts w:ascii="Times New Roman" w:hAnsi="Times New Roman" w:cs="Times New Roman"/>
                <w:i/>
                <w:iCs/>
                <w:lang w:val="lt-LT"/>
              </w:rPr>
              <w:t>(nurodomos pareigos, vardas, pavardė, tel., el. paštas.)</w:t>
            </w:r>
          </w:p>
        </w:tc>
      </w:tr>
      <w:tr w:rsidR="00817D3E" w14:paraId="2A754EB6" w14:textId="77777777">
        <w:trPr>
          <w:trHeight w:val="300"/>
        </w:trPr>
        <w:tc>
          <w:tcPr>
            <w:tcW w:w="2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AF68" w14:textId="77777777" w:rsidR="00817D3E" w:rsidRDefault="00066E2B">
            <w:pPr>
              <w:pStyle w:val="Heading2"/>
              <w:spacing w:before="0"/>
            </w:pPr>
            <w:r>
              <w:rPr>
                <w:rFonts w:ascii="Times New Roman" w:hAnsi="Times New Roman"/>
                <w:color w:val="auto"/>
                <w:sz w:val="24"/>
                <w:szCs w:val="24"/>
                <w:lang w:val="lt-LT"/>
              </w:rPr>
              <w:t>2.2. Tiekėjo kontaktinis (-</w:t>
            </w:r>
            <w:proofErr w:type="spellStart"/>
            <w:r>
              <w:rPr>
                <w:rFonts w:ascii="Times New Roman" w:hAnsi="Times New Roman"/>
                <w:color w:val="auto"/>
                <w:sz w:val="24"/>
                <w:szCs w:val="24"/>
                <w:lang w:val="lt-LT"/>
              </w:rPr>
              <w:t>iai</w:t>
            </w:r>
            <w:proofErr w:type="spellEnd"/>
            <w:r>
              <w:rPr>
                <w:rFonts w:ascii="Times New Roman" w:hAnsi="Times New Roman"/>
                <w:color w:val="auto"/>
                <w:sz w:val="24"/>
                <w:szCs w:val="24"/>
                <w:lang w:val="lt-LT"/>
              </w:rPr>
              <w:t>) asmuo (-</w:t>
            </w:r>
            <w:proofErr w:type="spellStart"/>
            <w:r>
              <w:rPr>
                <w:rFonts w:ascii="Times New Roman" w:hAnsi="Times New Roman"/>
                <w:color w:val="auto"/>
                <w:sz w:val="24"/>
                <w:szCs w:val="24"/>
                <w:lang w:val="lt-LT"/>
              </w:rPr>
              <w:t>ys</w:t>
            </w:r>
            <w:proofErr w:type="spellEnd"/>
            <w:r>
              <w:rPr>
                <w:rFonts w:ascii="Times New Roman" w:hAnsi="Times New Roman"/>
                <w:color w:val="auto"/>
                <w:sz w:val="24"/>
                <w:szCs w:val="24"/>
                <w:lang w:val="lt-LT"/>
              </w:rPr>
              <w:t>), atsakingas (-i) už Sutarties vykdymą</w:t>
            </w:r>
          </w:p>
        </w:tc>
        <w:tc>
          <w:tcPr>
            <w:tcW w:w="66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DD4B1" w14:textId="77777777" w:rsidR="00817D3E" w:rsidRDefault="00066E2B">
            <w:pPr>
              <w:pStyle w:val="Standard"/>
              <w:rPr>
                <w:rFonts w:hint="eastAsia"/>
              </w:rPr>
            </w:pPr>
            <w:r>
              <w:rPr>
                <w:rFonts w:ascii="Times New Roman" w:hAnsi="Times New Roman" w:cs="Times New Roman"/>
                <w:i/>
                <w:iCs/>
                <w:lang w:val="lt-LT"/>
              </w:rPr>
              <w:t>(nurodomos pareigos, vardas, pavardė, tel., el. paštas.)</w:t>
            </w:r>
          </w:p>
        </w:tc>
      </w:tr>
    </w:tbl>
    <w:p w14:paraId="71596FBD" w14:textId="77777777" w:rsidR="00817D3E" w:rsidRDefault="00817D3E">
      <w:pPr>
        <w:pStyle w:val="Standard"/>
        <w:rPr>
          <w:rFonts w:ascii="Times New Roman" w:hAnsi="Times New Roman" w:cs="Times New Roman"/>
          <w:lang w:val="pt-BR"/>
        </w:rPr>
      </w:pPr>
    </w:p>
    <w:p w14:paraId="0F208B6B" w14:textId="77777777" w:rsidR="00817D3E" w:rsidRDefault="00817D3E">
      <w:pPr>
        <w:pageBreakBefore/>
        <w:rPr>
          <w:rFonts w:hint="eastAsia"/>
        </w:rPr>
      </w:pPr>
    </w:p>
    <w:tbl>
      <w:tblPr>
        <w:tblW w:w="9634" w:type="dxa"/>
        <w:tblInd w:w="5" w:type="dxa"/>
        <w:tblLayout w:type="fixed"/>
        <w:tblCellMar>
          <w:left w:w="10" w:type="dxa"/>
          <w:right w:w="10" w:type="dxa"/>
        </w:tblCellMar>
        <w:tblLook w:val="0000" w:firstRow="0" w:lastRow="0" w:firstColumn="0" w:lastColumn="0" w:noHBand="0" w:noVBand="0"/>
      </w:tblPr>
      <w:tblGrid>
        <w:gridCol w:w="2943"/>
        <w:gridCol w:w="6691"/>
      </w:tblGrid>
      <w:tr w:rsidR="00817D3E" w14:paraId="52BBACBB"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12EC2" w14:textId="77777777" w:rsidR="00817D3E" w:rsidRDefault="00066E2B">
            <w:pPr>
              <w:pStyle w:val="Heading1"/>
              <w:spacing w:before="0" w:after="0"/>
            </w:pPr>
            <w:r>
              <w:rPr>
                <w:rFonts w:ascii="Times New Roman" w:hAnsi="Times New Roman"/>
                <w:b/>
                <w:bCs/>
                <w:sz w:val="24"/>
                <w:szCs w:val="24"/>
                <w:lang w:val="lt-LT"/>
              </w:rPr>
              <w:t>SUTARTIES DALYKAS</w:t>
            </w:r>
          </w:p>
        </w:tc>
      </w:tr>
      <w:tr w:rsidR="00817D3E" w14:paraId="6397E1AC"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D46" w14:textId="77777777" w:rsidR="00817D3E" w:rsidRDefault="00066E2B">
            <w:pPr>
              <w:pStyle w:val="Standard"/>
              <w:rPr>
                <w:rFonts w:hint="eastAsia"/>
              </w:rPr>
            </w:pPr>
            <w:r>
              <w:rPr>
                <w:rFonts w:ascii="Times New Roman" w:hAnsi="Times New Roman" w:cs="Times New Roman"/>
                <w:lang w:val="lt-LT"/>
              </w:rPr>
              <w:t>3.1. Sutarties dalykas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ED53D" w14:textId="77777777" w:rsidR="000B54C6" w:rsidRPr="00BA359A" w:rsidRDefault="00066E2B" w:rsidP="000B54C6">
            <w:pPr>
              <w:pStyle w:val="NoSpacing"/>
              <w:jc w:val="both"/>
              <w:rPr>
                <w:rFonts w:ascii="Times New Roman" w:eastAsia="Times New Roman" w:hAnsi="Times New Roman" w:cs="Times New Roman"/>
              </w:rPr>
            </w:pPr>
            <w:r>
              <w:rPr>
                <w:rFonts w:ascii="Times New Roman" w:hAnsi="Times New Roman" w:cs="Times New Roman"/>
                <w:lang w:val="lt-LT"/>
              </w:rPr>
              <w:t xml:space="preserve">Perkamos Paslaugos (toliau – </w:t>
            </w:r>
            <w:r>
              <w:rPr>
                <w:rFonts w:ascii="Times New Roman" w:hAnsi="Times New Roman" w:cs="Times New Roman"/>
                <w:b/>
                <w:bCs/>
                <w:lang w:val="lt-LT"/>
              </w:rPr>
              <w:t>Paslaugos</w:t>
            </w:r>
            <w:r>
              <w:rPr>
                <w:rFonts w:ascii="Times New Roman" w:hAnsi="Times New Roman" w:cs="Times New Roman"/>
                <w:lang w:val="lt-LT"/>
              </w:rPr>
              <w:t xml:space="preserve">): </w:t>
            </w:r>
            <w:proofErr w:type="spellStart"/>
            <w:r w:rsidR="000B54C6" w:rsidRPr="00BA359A">
              <w:rPr>
                <w:rFonts w:ascii="Times New Roman" w:eastAsia="Times New Roman" w:hAnsi="Times New Roman" w:cs="Times New Roman"/>
              </w:rPr>
              <w:t>kvalifikacijos</w:t>
            </w:r>
            <w:proofErr w:type="spellEnd"/>
            <w:r w:rsidR="000B54C6" w:rsidRPr="00BA359A">
              <w:rPr>
                <w:rFonts w:ascii="Times New Roman" w:eastAsia="Times New Roman" w:hAnsi="Times New Roman" w:cs="Times New Roman"/>
              </w:rPr>
              <w:t xml:space="preserve"> </w:t>
            </w:r>
            <w:proofErr w:type="spellStart"/>
            <w:r w:rsidR="000B54C6" w:rsidRPr="00BA359A">
              <w:rPr>
                <w:rFonts w:ascii="Times New Roman" w:eastAsia="Times New Roman" w:hAnsi="Times New Roman" w:cs="Times New Roman"/>
              </w:rPr>
              <w:t>tobulinimo</w:t>
            </w:r>
            <w:proofErr w:type="spellEnd"/>
            <w:r w:rsidR="000B54C6" w:rsidRPr="00BA359A">
              <w:rPr>
                <w:rFonts w:ascii="Times New Roman" w:eastAsia="Times New Roman" w:hAnsi="Times New Roman" w:cs="Times New Roman"/>
              </w:rPr>
              <w:t xml:space="preserve"> </w:t>
            </w:r>
            <w:proofErr w:type="spellStart"/>
            <w:r w:rsidR="000B54C6" w:rsidRPr="00BA359A">
              <w:rPr>
                <w:rFonts w:ascii="Times New Roman" w:eastAsia="Times New Roman" w:hAnsi="Times New Roman" w:cs="Times New Roman"/>
              </w:rPr>
              <w:t>programų</w:t>
            </w:r>
            <w:proofErr w:type="spellEnd"/>
            <w:r w:rsidR="000B54C6" w:rsidRPr="00BA359A">
              <w:rPr>
                <w:rFonts w:ascii="Times New Roman" w:eastAsia="Times New Roman" w:hAnsi="Times New Roman" w:cs="Times New Roman"/>
              </w:rPr>
              <w:t xml:space="preserve">, </w:t>
            </w:r>
            <w:proofErr w:type="spellStart"/>
            <w:r w:rsidR="000B54C6" w:rsidRPr="00BA359A">
              <w:rPr>
                <w:rFonts w:ascii="Times New Roman" w:eastAsia="Times New Roman" w:hAnsi="Times New Roman" w:cs="Times New Roman"/>
              </w:rPr>
              <w:t>skirtų</w:t>
            </w:r>
            <w:proofErr w:type="spellEnd"/>
            <w:r w:rsidR="000B54C6" w:rsidRPr="00BA359A">
              <w:rPr>
                <w:rFonts w:ascii="Times New Roman" w:eastAsia="Times New Roman" w:hAnsi="Times New Roman" w:cs="Times New Roman"/>
              </w:rPr>
              <w:t xml:space="preserve">: </w:t>
            </w:r>
          </w:p>
          <w:p w14:paraId="4A072D8C" w14:textId="77777777" w:rsidR="000B54C6" w:rsidRPr="00BA359A" w:rsidRDefault="000B54C6" w:rsidP="000B54C6">
            <w:pPr>
              <w:pStyle w:val="NoSpacing"/>
              <w:numPr>
                <w:ilvl w:val="0"/>
                <w:numId w:val="2"/>
              </w:numPr>
              <w:tabs>
                <w:tab w:val="left" w:pos="851"/>
              </w:tabs>
              <w:autoSpaceDN/>
              <w:ind w:left="0" w:firstLine="567"/>
              <w:jc w:val="both"/>
              <w:textAlignment w:val="auto"/>
              <w:rPr>
                <w:rFonts w:ascii="Times New Roman" w:eastAsia="Times New Roman" w:hAnsi="Times New Roman" w:cs="Times New Roman"/>
              </w:rPr>
            </w:pPr>
            <w:proofErr w:type="spellStart"/>
            <w:r w:rsidRPr="00BA359A">
              <w:rPr>
                <w:rFonts w:ascii="Times New Roman" w:eastAsia="Times New Roman" w:hAnsi="Times New Roman" w:cs="Times New Roman"/>
                <w:color w:val="000000"/>
              </w:rPr>
              <w:t>bendrojo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ugdymo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mokyklų</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direktorių</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pavaduotojams</w:t>
            </w:r>
            <w:proofErr w:type="spellEnd"/>
            <w:r w:rsidRPr="00BA359A">
              <w:rPr>
                <w:rFonts w:ascii="Times New Roman" w:eastAsia="Times New Roman" w:hAnsi="Times New Roman" w:cs="Times New Roman"/>
                <w:color w:val="000000"/>
              </w:rPr>
              <w:t>;</w:t>
            </w:r>
          </w:p>
          <w:p w14:paraId="106B2A08" w14:textId="77777777" w:rsidR="000B54C6" w:rsidRPr="00BA359A" w:rsidRDefault="000B54C6" w:rsidP="000B54C6">
            <w:pPr>
              <w:pStyle w:val="NoSpacing"/>
              <w:numPr>
                <w:ilvl w:val="0"/>
                <w:numId w:val="2"/>
              </w:numPr>
              <w:tabs>
                <w:tab w:val="left" w:pos="851"/>
              </w:tabs>
              <w:autoSpaceDN/>
              <w:ind w:left="0" w:firstLine="567"/>
              <w:jc w:val="both"/>
              <w:textAlignment w:val="auto"/>
              <w:rPr>
                <w:rFonts w:ascii="Times New Roman" w:eastAsia="Times New Roman" w:hAnsi="Times New Roman" w:cs="Times New Roman"/>
              </w:rPr>
            </w:pPr>
            <w:proofErr w:type="spellStart"/>
            <w:r w:rsidRPr="00BA359A">
              <w:rPr>
                <w:rFonts w:ascii="Times New Roman" w:eastAsia="Times New Roman" w:hAnsi="Times New Roman" w:cs="Times New Roman"/>
                <w:color w:val="000000"/>
              </w:rPr>
              <w:t>mokyklų</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dirbančių</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pagal</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ikimokyklinio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priešmokyklinio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bendrojo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ugdymo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vaikų</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neformaliojo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švietimo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bei</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formalųjį</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švietimą</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papildančio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ugdymo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programas</w:t>
            </w:r>
            <w:proofErr w:type="spellEnd"/>
            <w:r w:rsidRPr="00BA359A">
              <w:rPr>
                <w:rFonts w:ascii="Times New Roman" w:eastAsia="Times New Roman" w:hAnsi="Times New Roman" w:cs="Times New Roman"/>
                <w:color w:val="000000"/>
              </w:rPr>
              <w:t xml:space="preserve">) ir </w:t>
            </w:r>
            <w:proofErr w:type="spellStart"/>
            <w:r w:rsidRPr="00BA359A">
              <w:rPr>
                <w:rFonts w:ascii="Times New Roman" w:eastAsia="Times New Roman" w:hAnsi="Times New Roman" w:cs="Times New Roman"/>
                <w:color w:val="000000"/>
              </w:rPr>
              <w:t>švietimo</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pagalbos</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įstaigų</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vadovams</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direktoriams</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pavaduotojams</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ugdymui</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ugdymą</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organizuojančių</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skyrių</w:t>
            </w:r>
            <w:proofErr w:type="spellEnd"/>
            <w:r w:rsidRPr="00BA359A">
              <w:rPr>
                <w:rFonts w:ascii="Times New Roman" w:eastAsia="Times New Roman" w:hAnsi="Times New Roman" w:cs="Times New Roman"/>
                <w:color w:val="000000"/>
              </w:rPr>
              <w:t xml:space="preserve"> </w:t>
            </w:r>
            <w:proofErr w:type="spellStart"/>
            <w:r w:rsidRPr="00BA359A">
              <w:rPr>
                <w:rFonts w:ascii="Times New Roman" w:eastAsia="Times New Roman" w:hAnsi="Times New Roman" w:cs="Times New Roman"/>
                <w:color w:val="000000"/>
              </w:rPr>
              <w:t>vedėjams</w:t>
            </w:r>
            <w:proofErr w:type="spellEnd"/>
            <w:r w:rsidRPr="00BA359A">
              <w:rPr>
                <w:rFonts w:ascii="Times New Roman" w:eastAsia="Times New Roman" w:hAnsi="Times New Roman" w:cs="Times New Roman"/>
                <w:color w:val="000000"/>
              </w:rPr>
              <w:t xml:space="preserve">) </w:t>
            </w:r>
          </w:p>
          <w:p w14:paraId="7A382408" w14:textId="4E40AD30" w:rsidR="000B54C6" w:rsidRPr="00BA359A" w:rsidRDefault="000B54C6" w:rsidP="000B54C6">
            <w:pPr>
              <w:pStyle w:val="NoSpacing"/>
              <w:tabs>
                <w:tab w:val="left" w:pos="851"/>
              </w:tabs>
              <w:ind w:firstLine="567"/>
              <w:jc w:val="both"/>
              <w:rPr>
                <w:rFonts w:ascii="Times New Roman" w:eastAsia="Times New Roman" w:hAnsi="Times New Roman" w:cs="Times New Roman"/>
              </w:rPr>
            </w:pPr>
            <w:proofErr w:type="spellStart"/>
            <w:r w:rsidRPr="00BA359A">
              <w:rPr>
                <w:rFonts w:ascii="Times New Roman" w:eastAsia="Times New Roman" w:hAnsi="Times New Roman" w:cs="Times New Roman"/>
              </w:rPr>
              <w:t>parengimas</w:t>
            </w:r>
            <w:proofErr w:type="spellEnd"/>
            <w:r w:rsidRPr="00BA359A">
              <w:rPr>
                <w:rFonts w:ascii="Times New Roman" w:eastAsia="Times New Roman" w:hAnsi="Times New Roman" w:cs="Times New Roman"/>
              </w:rPr>
              <w:t xml:space="preserve"> ir </w:t>
            </w:r>
            <w:proofErr w:type="spellStart"/>
            <w:r w:rsidRPr="00BA359A">
              <w:rPr>
                <w:rFonts w:ascii="Times New Roman" w:eastAsia="Times New Roman" w:hAnsi="Times New Roman" w:cs="Times New Roman"/>
              </w:rPr>
              <w:t>įgyvendinimas</w:t>
            </w:r>
            <w:proofErr w:type="spellEnd"/>
            <w:r w:rsidRPr="00BA359A">
              <w:rPr>
                <w:rFonts w:ascii="Times New Roman" w:eastAsia="Times New Roman" w:hAnsi="Times New Roman" w:cs="Times New Roman"/>
              </w:rPr>
              <w:t>.</w:t>
            </w:r>
          </w:p>
          <w:p w14:paraId="46660F26" w14:textId="56CB50C6" w:rsidR="00817D3E" w:rsidRDefault="00066E2B">
            <w:pPr>
              <w:pStyle w:val="NoSpacing"/>
              <w:jc w:val="both"/>
              <w:rPr>
                <w:rFonts w:hint="eastAsia"/>
              </w:rPr>
            </w:pPr>
            <w:r>
              <w:rPr>
                <w:rFonts w:ascii="Times New Roman" w:hAnsi="Times New Roman" w:cs="Times New Roman"/>
                <w:lang w:val="lt-LT"/>
              </w:rPr>
              <w:t>Pirkimo objektas skaidomas į 2 dalis:</w:t>
            </w:r>
          </w:p>
          <w:p w14:paraId="545FFA86" w14:textId="307A2EE6" w:rsidR="00817D3E" w:rsidRDefault="00066E2B">
            <w:pPr>
              <w:pStyle w:val="NoSpacing"/>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I pirkimo dalis: </w:t>
            </w:r>
            <w:proofErr w:type="spellStart"/>
            <w:r w:rsidR="000B54C6" w:rsidRPr="00BA359A">
              <w:rPr>
                <w:rFonts w:ascii="Times New Roman" w:hAnsi="Times New Roman" w:cs="Times New Roman"/>
              </w:rPr>
              <w:t>Programos</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Bendrojo</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ugdymo</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mokyklų</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direktorių</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pavaduotojų</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ugdymui</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profesinio</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meistriškumo</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stiprinimas</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skirtos</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bendrojo</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ugdymo</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mokyklų</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direktorių</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pavaduotojams</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parengimo</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su</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mokomąja</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medžiaga</w:t>
            </w:r>
            <w:proofErr w:type="spellEnd"/>
            <w:r w:rsidR="000B54C6" w:rsidRPr="00BA359A">
              <w:rPr>
                <w:rFonts w:ascii="Times New Roman" w:hAnsi="Times New Roman" w:cs="Times New Roman"/>
              </w:rPr>
              <w:t xml:space="preserve"> ir </w:t>
            </w:r>
            <w:proofErr w:type="spellStart"/>
            <w:r w:rsidR="000B54C6" w:rsidRPr="00BA359A">
              <w:rPr>
                <w:rFonts w:ascii="Times New Roman" w:hAnsi="Times New Roman" w:cs="Times New Roman"/>
              </w:rPr>
              <w:t>įgyvendinimo</w:t>
            </w:r>
            <w:proofErr w:type="spellEnd"/>
            <w:r w:rsidR="000B54C6" w:rsidRPr="00BA359A">
              <w:rPr>
                <w:rFonts w:ascii="Times New Roman" w:hAnsi="Times New Roman" w:cs="Times New Roman"/>
              </w:rPr>
              <w:t xml:space="preserve"> </w:t>
            </w:r>
            <w:proofErr w:type="spellStart"/>
            <w:r w:rsidR="000B54C6" w:rsidRPr="00BA359A">
              <w:rPr>
                <w:rFonts w:ascii="Times New Roman" w:hAnsi="Times New Roman" w:cs="Times New Roman"/>
              </w:rPr>
              <w:t>paslaugos</w:t>
            </w:r>
            <w:proofErr w:type="spellEnd"/>
            <w:r>
              <w:rPr>
                <w:rFonts w:ascii="Times New Roman" w:eastAsia="Times New Roman" w:hAnsi="Times New Roman" w:cs="Times New Roman"/>
                <w:lang w:val="lt-LT"/>
              </w:rPr>
              <w:t>.</w:t>
            </w:r>
          </w:p>
          <w:p w14:paraId="5A6606DE" w14:textId="5E70C8C9" w:rsidR="000B54C6" w:rsidRDefault="000B54C6">
            <w:pPr>
              <w:pStyle w:val="NoSpacing"/>
              <w:jc w:val="both"/>
              <w:rPr>
                <w:rFonts w:hint="eastAsia"/>
              </w:rPr>
            </w:pPr>
            <w:r>
              <w:rPr>
                <w:rFonts w:ascii="Times New Roman" w:eastAsia="Times New Roman" w:hAnsi="Times New Roman" w:cs="Times New Roman"/>
                <w:lang w:val="lt-LT"/>
              </w:rPr>
              <w:t xml:space="preserve">II pirkimo dalis: </w:t>
            </w:r>
            <w:proofErr w:type="spellStart"/>
            <w:r w:rsidR="00D91E36" w:rsidRPr="00BA359A">
              <w:rPr>
                <w:rFonts w:ascii="Times New Roman" w:eastAsia="Times New Roman" w:hAnsi="Times New Roman" w:cs="Times New Roman"/>
              </w:rPr>
              <w:t>Programos</w:t>
            </w:r>
            <w:proofErr w:type="spellEnd"/>
            <w:r w:rsidR="00D91E36" w:rsidRPr="00BA359A">
              <w:rPr>
                <w:rFonts w:ascii="Times New Roman" w:eastAsia="Times New Roman" w:hAnsi="Times New Roman" w:cs="Times New Roman"/>
              </w:rPr>
              <w:t xml:space="preserve"> </w:t>
            </w:r>
            <w:r w:rsidR="00D91E36" w:rsidRPr="00BA359A">
              <w:rPr>
                <w:rFonts w:ascii="Times New Roman" w:hAnsi="Times New Roman" w:cs="Times New Roman"/>
              </w:rPr>
              <w:t>„</w:t>
            </w:r>
            <w:proofErr w:type="spellStart"/>
            <w:r w:rsidR="00D91E36" w:rsidRPr="00BA359A">
              <w:rPr>
                <w:rFonts w:ascii="Times New Roman" w:hAnsi="Times New Roman" w:cs="Times New Roman"/>
              </w:rPr>
              <w:t>Mokyklų</w:t>
            </w:r>
            <w:proofErr w:type="spellEnd"/>
            <w:r w:rsidR="00D91E36" w:rsidRPr="00BA359A">
              <w:rPr>
                <w:rFonts w:ascii="Times New Roman" w:hAnsi="Times New Roman" w:cs="Times New Roman"/>
              </w:rPr>
              <w:t xml:space="preserve"> </w:t>
            </w:r>
            <w:proofErr w:type="spellStart"/>
            <w:r w:rsidR="00D91E36" w:rsidRPr="00BA359A">
              <w:rPr>
                <w:rFonts w:ascii="Times New Roman" w:hAnsi="Times New Roman" w:cs="Times New Roman"/>
              </w:rPr>
              <w:t>veiklos</w:t>
            </w:r>
            <w:proofErr w:type="spellEnd"/>
            <w:r w:rsidR="00D91E36" w:rsidRPr="00BA359A">
              <w:rPr>
                <w:rFonts w:ascii="Times New Roman" w:hAnsi="Times New Roman" w:cs="Times New Roman"/>
              </w:rPr>
              <w:t xml:space="preserve"> </w:t>
            </w:r>
            <w:proofErr w:type="spellStart"/>
            <w:r w:rsidR="00D91E36" w:rsidRPr="00BA359A">
              <w:rPr>
                <w:rFonts w:ascii="Times New Roman" w:hAnsi="Times New Roman" w:cs="Times New Roman"/>
              </w:rPr>
              <w:t>kokybės</w:t>
            </w:r>
            <w:proofErr w:type="spellEnd"/>
            <w:r w:rsidR="00D91E36" w:rsidRPr="00BA359A">
              <w:rPr>
                <w:rFonts w:ascii="Times New Roman" w:hAnsi="Times New Roman" w:cs="Times New Roman"/>
              </w:rPr>
              <w:t xml:space="preserve"> </w:t>
            </w:r>
            <w:proofErr w:type="spellStart"/>
            <w:r w:rsidR="00D91E36" w:rsidRPr="00BA359A">
              <w:rPr>
                <w:rFonts w:ascii="Times New Roman" w:hAnsi="Times New Roman" w:cs="Times New Roman"/>
              </w:rPr>
              <w:t>įsivertinimas</w:t>
            </w:r>
            <w:proofErr w:type="spellEnd"/>
            <w:r w:rsidR="00D91E36" w:rsidRPr="00BA359A">
              <w:rPr>
                <w:rFonts w:ascii="Times New Roman" w:hAnsi="Times New Roman" w:cs="Times New Roman"/>
              </w:rPr>
              <w:t xml:space="preserve"> ir </w:t>
            </w:r>
            <w:proofErr w:type="spellStart"/>
            <w:r w:rsidR="00D91E36" w:rsidRPr="00BA359A">
              <w:rPr>
                <w:rFonts w:ascii="Times New Roman" w:hAnsi="Times New Roman" w:cs="Times New Roman"/>
              </w:rPr>
              <w:t>rezultatų</w:t>
            </w:r>
            <w:proofErr w:type="spellEnd"/>
            <w:r w:rsidR="00D91E36" w:rsidRPr="00BA359A">
              <w:rPr>
                <w:rFonts w:ascii="Times New Roman" w:hAnsi="Times New Roman" w:cs="Times New Roman"/>
              </w:rPr>
              <w:t xml:space="preserve"> </w:t>
            </w:r>
            <w:proofErr w:type="spellStart"/>
            <w:r w:rsidR="00D91E36" w:rsidRPr="00BA359A">
              <w:rPr>
                <w:rFonts w:ascii="Times New Roman" w:hAnsi="Times New Roman" w:cs="Times New Roman"/>
              </w:rPr>
              <w:t>panaudojimas</w:t>
            </w:r>
            <w:proofErr w:type="spellEnd"/>
            <w:r w:rsidR="00D91E36" w:rsidRPr="00BA359A">
              <w:rPr>
                <w:rFonts w:ascii="Times New Roman" w:hAnsi="Times New Roman" w:cs="Times New Roman"/>
              </w:rPr>
              <w:t xml:space="preserve">  </w:t>
            </w:r>
            <w:proofErr w:type="spellStart"/>
            <w:r w:rsidR="00D91E36" w:rsidRPr="00BA359A">
              <w:rPr>
                <w:rFonts w:ascii="Times New Roman" w:hAnsi="Times New Roman" w:cs="Times New Roman"/>
              </w:rPr>
              <w:t>planuojant</w:t>
            </w:r>
            <w:proofErr w:type="spellEnd"/>
            <w:r w:rsidR="00D91E36" w:rsidRPr="00BA359A">
              <w:rPr>
                <w:rFonts w:ascii="Times New Roman" w:hAnsi="Times New Roman" w:cs="Times New Roman"/>
              </w:rPr>
              <w:t xml:space="preserve"> </w:t>
            </w:r>
            <w:proofErr w:type="spellStart"/>
            <w:r w:rsidR="00D91E36" w:rsidRPr="00BA359A">
              <w:rPr>
                <w:rFonts w:ascii="Times New Roman" w:hAnsi="Times New Roman" w:cs="Times New Roman"/>
              </w:rPr>
              <w:t>tolimesnes</w:t>
            </w:r>
            <w:proofErr w:type="spellEnd"/>
            <w:r w:rsidR="00D91E36" w:rsidRPr="00BA359A">
              <w:rPr>
                <w:rFonts w:ascii="Times New Roman" w:hAnsi="Times New Roman" w:cs="Times New Roman"/>
              </w:rPr>
              <w:t xml:space="preserve"> </w:t>
            </w:r>
            <w:proofErr w:type="spellStart"/>
            <w:r w:rsidR="00D91E36" w:rsidRPr="00BA359A">
              <w:rPr>
                <w:rFonts w:ascii="Times New Roman" w:hAnsi="Times New Roman" w:cs="Times New Roman"/>
              </w:rPr>
              <w:t>veiklas</w:t>
            </w:r>
            <w:proofErr w:type="spellEnd"/>
            <w:r w:rsidR="00D91E36" w:rsidRPr="00BA359A">
              <w:rPr>
                <w:rFonts w:ascii="Times New Roman" w:hAnsi="Times New Roman" w:cs="Times New Roman"/>
              </w:rPr>
              <w:t>“</w:t>
            </w:r>
            <w:r w:rsidR="00D91E36" w:rsidRPr="00BA359A">
              <w:rPr>
                <w:rFonts w:ascii="Times New Roman" w:eastAsia="Times New Roman" w:hAnsi="Times New Roman" w:cs="Times New Roman"/>
              </w:rPr>
              <w:t xml:space="preserve">, </w:t>
            </w:r>
            <w:proofErr w:type="spellStart"/>
            <w:r w:rsidR="00D91E36" w:rsidRPr="00BA359A">
              <w:rPr>
                <w:rFonts w:ascii="Times New Roman" w:eastAsia="Times New Roman" w:hAnsi="Times New Roman" w:cs="Times New Roman"/>
              </w:rPr>
              <w:t>skirtos</w:t>
            </w:r>
            <w:proofErr w:type="spellEnd"/>
            <w:r w:rsidR="00D91E36" w:rsidRPr="00BA359A">
              <w:rPr>
                <w:rFonts w:ascii="Times New Roman" w:eastAsia="Times New Roman" w:hAnsi="Times New Roman" w:cs="Times New Roman"/>
              </w:rPr>
              <w:t xml:space="preserve"> </w:t>
            </w:r>
            <w:proofErr w:type="spellStart"/>
            <w:r w:rsidR="00D91E36" w:rsidRPr="00BA359A">
              <w:rPr>
                <w:rFonts w:ascii="Times New Roman" w:eastAsia="Times New Roman" w:hAnsi="Times New Roman" w:cs="Times New Roman"/>
                <w:color w:val="000000"/>
              </w:rPr>
              <w:t>mokyklų</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dirbančių</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pagal</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ikimokyklinio</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priešmokyklinio</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bendrojo</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ugdymo</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vaikų</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neformaliojo</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švietimo</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bei</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formalųjį</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švietimą</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papildančio</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ugdymo</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programas</w:t>
            </w:r>
            <w:proofErr w:type="spellEnd"/>
            <w:r w:rsidR="00D91E36" w:rsidRPr="00BA359A">
              <w:rPr>
                <w:rFonts w:ascii="Times New Roman" w:eastAsia="Times New Roman" w:hAnsi="Times New Roman" w:cs="Times New Roman"/>
                <w:color w:val="000000"/>
              </w:rPr>
              <w:t xml:space="preserve">) ir </w:t>
            </w:r>
            <w:proofErr w:type="spellStart"/>
            <w:r w:rsidR="00D91E36" w:rsidRPr="00BA359A">
              <w:rPr>
                <w:rFonts w:ascii="Times New Roman" w:eastAsia="Times New Roman" w:hAnsi="Times New Roman" w:cs="Times New Roman"/>
                <w:color w:val="000000"/>
              </w:rPr>
              <w:t>švietimo</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pagalbos</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įstaigų</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vadovams</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direktoriams</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pavaduotojams</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ugdymui</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ugdymą</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organizuojančių</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skyrių</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color w:val="000000"/>
              </w:rPr>
              <w:t>vedėjams</w:t>
            </w:r>
            <w:proofErr w:type="spellEnd"/>
            <w:r w:rsidR="00D91E36" w:rsidRPr="00BA359A">
              <w:rPr>
                <w:rFonts w:ascii="Times New Roman" w:eastAsia="Times New Roman" w:hAnsi="Times New Roman" w:cs="Times New Roman"/>
                <w:color w:val="000000"/>
              </w:rPr>
              <w:t xml:space="preserve">) </w:t>
            </w:r>
            <w:proofErr w:type="spellStart"/>
            <w:r w:rsidR="00D91E36" w:rsidRPr="00BA359A">
              <w:rPr>
                <w:rFonts w:ascii="Times New Roman" w:eastAsia="Times New Roman" w:hAnsi="Times New Roman" w:cs="Times New Roman"/>
              </w:rPr>
              <w:t>parengimo</w:t>
            </w:r>
            <w:proofErr w:type="spellEnd"/>
            <w:r w:rsidR="00D91E36" w:rsidRPr="00BA359A">
              <w:rPr>
                <w:rFonts w:ascii="Times New Roman" w:eastAsia="Times New Roman" w:hAnsi="Times New Roman" w:cs="Times New Roman"/>
              </w:rPr>
              <w:t xml:space="preserve"> </w:t>
            </w:r>
            <w:proofErr w:type="spellStart"/>
            <w:r w:rsidR="00D91E36" w:rsidRPr="00BA359A">
              <w:rPr>
                <w:rFonts w:ascii="Times New Roman" w:eastAsia="Times New Roman" w:hAnsi="Times New Roman" w:cs="Times New Roman"/>
              </w:rPr>
              <w:t>su</w:t>
            </w:r>
            <w:proofErr w:type="spellEnd"/>
            <w:r w:rsidR="00D91E36" w:rsidRPr="00BA359A">
              <w:rPr>
                <w:rFonts w:ascii="Times New Roman" w:eastAsia="Times New Roman" w:hAnsi="Times New Roman" w:cs="Times New Roman"/>
              </w:rPr>
              <w:t xml:space="preserve"> </w:t>
            </w:r>
            <w:proofErr w:type="spellStart"/>
            <w:r w:rsidR="00D91E36" w:rsidRPr="00BA359A">
              <w:rPr>
                <w:rFonts w:ascii="Times New Roman" w:eastAsia="Times New Roman" w:hAnsi="Times New Roman" w:cs="Times New Roman"/>
              </w:rPr>
              <w:t>mokomąja</w:t>
            </w:r>
            <w:proofErr w:type="spellEnd"/>
            <w:r w:rsidR="00D91E36" w:rsidRPr="00BA359A">
              <w:rPr>
                <w:rFonts w:ascii="Times New Roman" w:eastAsia="Times New Roman" w:hAnsi="Times New Roman" w:cs="Times New Roman"/>
              </w:rPr>
              <w:t xml:space="preserve"> </w:t>
            </w:r>
            <w:proofErr w:type="spellStart"/>
            <w:r w:rsidR="00D91E36" w:rsidRPr="00BA359A">
              <w:rPr>
                <w:rFonts w:ascii="Times New Roman" w:eastAsia="Times New Roman" w:hAnsi="Times New Roman" w:cs="Times New Roman"/>
              </w:rPr>
              <w:t>medžiaga</w:t>
            </w:r>
            <w:proofErr w:type="spellEnd"/>
            <w:r w:rsidR="00D91E36" w:rsidRPr="00BA359A">
              <w:rPr>
                <w:rFonts w:ascii="Times New Roman" w:eastAsia="Times New Roman" w:hAnsi="Times New Roman" w:cs="Times New Roman"/>
              </w:rPr>
              <w:t xml:space="preserve"> ir </w:t>
            </w:r>
            <w:proofErr w:type="spellStart"/>
            <w:r w:rsidR="00D91E36" w:rsidRPr="00BA359A">
              <w:rPr>
                <w:rFonts w:ascii="Times New Roman" w:eastAsia="Times New Roman" w:hAnsi="Times New Roman" w:cs="Times New Roman"/>
              </w:rPr>
              <w:t>įgyvendinimo</w:t>
            </w:r>
            <w:proofErr w:type="spellEnd"/>
            <w:r w:rsidR="00D91E36" w:rsidRPr="00BA359A">
              <w:rPr>
                <w:rFonts w:ascii="Times New Roman" w:eastAsia="Times New Roman" w:hAnsi="Times New Roman" w:cs="Times New Roman"/>
              </w:rPr>
              <w:t xml:space="preserve"> </w:t>
            </w:r>
            <w:proofErr w:type="spellStart"/>
            <w:r w:rsidR="00D91E36" w:rsidRPr="00BA359A">
              <w:rPr>
                <w:rFonts w:ascii="Times New Roman" w:eastAsia="Times New Roman" w:hAnsi="Times New Roman" w:cs="Times New Roman"/>
              </w:rPr>
              <w:t>paslaugos</w:t>
            </w:r>
            <w:proofErr w:type="spellEnd"/>
            <w:r w:rsidR="00D91E36" w:rsidRPr="00BA359A">
              <w:rPr>
                <w:rFonts w:ascii="Times New Roman" w:eastAsia="Times New Roman" w:hAnsi="Times New Roman" w:cs="Times New Roman"/>
              </w:rPr>
              <w:t>.</w:t>
            </w:r>
          </w:p>
          <w:p w14:paraId="011AB8BB" w14:textId="77777777" w:rsidR="00817D3E" w:rsidRDefault="00066E2B">
            <w:pPr>
              <w:pStyle w:val="Standard"/>
              <w:jc w:val="both"/>
              <w:rPr>
                <w:rFonts w:hint="eastAsia"/>
              </w:rPr>
            </w:pPr>
            <w:r>
              <w:rPr>
                <w:rFonts w:ascii="Times New Roman" w:hAnsi="Times New Roman" w:cs="Times New Roman"/>
                <w:lang w:val="lt-LT"/>
              </w:rPr>
              <w:t xml:space="preserve">Išsamus Paslaugų aprašymas ir kiti reikalavimai teikiamoms Paslaugoms nustatyti Sutarties priede Nr. 1 „Techninė specifikacija“ (toliau – </w:t>
            </w:r>
            <w:r>
              <w:rPr>
                <w:rFonts w:ascii="Times New Roman" w:hAnsi="Times New Roman" w:cs="Times New Roman"/>
                <w:b/>
                <w:bCs/>
                <w:lang w:val="lt-LT"/>
              </w:rPr>
              <w:t>Techninė specifikacija</w:t>
            </w:r>
            <w:r>
              <w:rPr>
                <w:rFonts w:ascii="Times New Roman" w:hAnsi="Times New Roman" w:cs="Times New Roman"/>
                <w:lang w:val="lt-LT"/>
              </w:rPr>
              <w:t>) ir Sutarties priede Nr. 2 „Pasiūlymas“.</w:t>
            </w:r>
          </w:p>
          <w:p w14:paraId="792D8D6F" w14:textId="77777777" w:rsidR="00817D3E" w:rsidRDefault="00817D3E">
            <w:pPr>
              <w:pStyle w:val="Standard"/>
              <w:jc w:val="both"/>
              <w:rPr>
                <w:rFonts w:ascii="Times New Roman" w:hAnsi="Times New Roman" w:cs="Times New Roman"/>
                <w:lang w:val="lt-LT"/>
              </w:rPr>
            </w:pPr>
          </w:p>
        </w:tc>
      </w:tr>
      <w:tr w:rsidR="00817D3E" w14:paraId="470F2983"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5CB9" w14:textId="77777777" w:rsidR="00817D3E" w:rsidRDefault="00066E2B">
            <w:pPr>
              <w:pStyle w:val="Standard"/>
              <w:rPr>
                <w:rFonts w:hint="eastAsia"/>
              </w:rPr>
            </w:pPr>
            <w:r>
              <w:rPr>
                <w:rFonts w:ascii="Times New Roman" w:hAnsi="Times New Roman" w:cs="Times New Roman"/>
                <w:lang w:val="lt-LT"/>
              </w:rPr>
              <w:t>3.2. Informacija apie Europos Sąjungos lėšomis finansuojamą projektą arba kitą projektą</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70BDB" w14:textId="77777777" w:rsidR="00817D3E" w:rsidRDefault="00066E2B">
            <w:pPr>
              <w:pStyle w:val="Standard"/>
              <w:jc w:val="both"/>
              <w:rPr>
                <w:rFonts w:hint="eastAsia"/>
              </w:rPr>
            </w:pPr>
            <w:r>
              <w:rPr>
                <w:rFonts w:ascii="Times New Roman" w:hAnsi="Times New Roman" w:cs="Times New Roman"/>
                <w:lang w:val="lt-LT"/>
              </w:rPr>
              <w:t>Europos Sąjungos finansuojamo projekto Nr. 10-045-P-0001, pavadinimas „Tęsk: ateik, tobulėk, prisidėk!”</w:t>
            </w:r>
          </w:p>
          <w:p w14:paraId="02FECAEC" w14:textId="77777777" w:rsidR="00817D3E" w:rsidRDefault="00817D3E">
            <w:pPr>
              <w:pStyle w:val="Standard"/>
              <w:jc w:val="both"/>
              <w:rPr>
                <w:rFonts w:ascii="Times New Roman" w:hAnsi="Times New Roman" w:cs="Times New Roman"/>
                <w:lang w:val="lt-LT"/>
              </w:rPr>
            </w:pPr>
          </w:p>
          <w:p w14:paraId="03BB649A" w14:textId="77777777" w:rsidR="00817D3E" w:rsidRDefault="00817D3E">
            <w:pPr>
              <w:pStyle w:val="Standard"/>
              <w:jc w:val="both"/>
              <w:rPr>
                <w:rFonts w:ascii="Times New Roman" w:hAnsi="Times New Roman" w:cs="Times New Roman"/>
                <w:i/>
                <w:iCs/>
                <w:lang w:val="lt-LT"/>
              </w:rPr>
            </w:pPr>
          </w:p>
        </w:tc>
      </w:tr>
      <w:tr w:rsidR="00817D3E" w14:paraId="58ABB066"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84E97" w14:textId="77777777" w:rsidR="00817D3E" w:rsidRDefault="00066E2B">
            <w:pPr>
              <w:pStyle w:val="Heading1"/>
              <w:spacing w:before="0" w:after="0"/>
            </w:pPr>
            <w:r>
              <w:rPr>
                <w:rFonts w:ascii="Times New Roman" w:hAnsi="Times New Roman"/>
                <w:b/>
                <w:bCs/>
                <w:sz w:val="24"/>
                <w:szCs w:val="24"/>
                <w:lang w:val="lt-LT"/>
              </w:rPr>
              <w:t>PASLAUGŲ SUTEIKIMO TERMINAI</w:t>
            </w:r>
          </w:p>
        </w:tc>
      </w:tr>
      <w:tr w:rsidR="00817D3E" w14:paraId="19CE57B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2613" w14:textId="77777777" w:rsidR="00817D3E" w:rsidRDefault="00066E2B">
            <w:pPr>
              <w:pStyle w:val="Standard"/>
              <w:rPr>
                <w:rFonts w:hint="eastAsia"/>
              </w:rPr>
            </w:pPr>
            <w:r>
              <w:rPr>
                <w:rFonts w:ascii="Times New Roman" w:hAnsi="Times New Roman" w:cs="Times New Roman"/>
                <w:lang w:val="lt-LT"/>
              </w:rPr>
              <w:t>4.1. Paslaugų suteikimo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8BC1" w14:textId="77777777" w:rsidR="00817D3E" w:rsidRDefault="00066E2B">
            <w:pPr>
              <w:pStyle w:val="Standard"/>
              <w:tabs>
                <w:tab w:val="left" w:pos="1418"/>
              </w:tabs>
              <w:jc w:val="both"/>
              <w:rPr>
                <w:rFonts w:hint="eastAsia"/>
              </w:rPr>
            </w:pPr>
            <w:r>
              <w:rPr>
                <w:rStyle w:val="PagrindinistekstasDiagrama"/>
                <w:rFonts w:eastAsia="Arial Unicode MS"/>
                <w:szCs w:val="24"/>
                <w:lang w:val="lt-LT"/>
              </w:rPr>
              <w:t>Paslaugų tiekėjas privalo suteikti Paslaugas per Techninėje specifikacijoje numatytus terminus</w:t>
            </w:r>
          </w:p>
        </w:tc>
      </w:tr>
      <w:tr w:rsidR="00817D3E" w14:paraId="7AB5870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6B5FC" w14:textId="77777777" w:rsidR="00817D3E" w:rsidRDefault="00066E2B">
            <w:pPr>
              <w:pStyle w:val="Standard"/>
              <w:rPr>
                <w:rFonts w:hint="eastAsia"/>
              </w:rPr>
            </w:pPr>
            <w:r>
              <w:rPr>
                <w:rFonts w:ascii="Times New Roman" w:hAnsi="Times New Roman" w:cs="Times New Roman"/>
                <w:lang w:val="lt-LT"/>
              </w:rPr>
              <w:t>4.2. Paslaugų suteikimo terminas, kai Paslaugos teikiamos etapais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3D1E" w14:textId="77777777" w:rsidR="00817D3E" w:rsidRDefault="00066E2B">
            <w:pPr>
              <w:pStyle w:val="Standard"/>
              <w:tabs>
                <w:tab w:val="left" w:pos="1418"/>
              </w:tabs>
              <w:jc w:val="both"/>
              <w:rPr>
                <w:rFonts w:hint="eastAsia"/>
              </w:rPr>
            </w:pPr>
            <w:r>
              <w:rPr>
                <w:rFonts w:ascii="Times New Roman" w:hAnsi="Times New Roman" w:cs="Times New Roman"/>
                <w:lang w:val="lt-LT"/>
              </w:rPr>
              <w:t xml:space="preserve">Detalesnė informacija pateikiama Techninės specifikacijos  </w:t>
            </w:r>
            <w:r>
              <w:rPr>
                <w:rFonts w:ascii="Times New Roman" w:hAnsi="Times New Roman" w:cs="Times New Roman"/>
                <w:lang w:val="pt-BR"/>
              </w:rPr>
              <w:t>6 skyriuje (I pirkimo dalis- 6.1 punktas; II pirkimo dalis – 6.2 punktas).</w:t>
            </w:r>
          </w:p>
        </w:tc>
      </w:tr>
      <w:tr w:rsidR="00817D3E" w14:paraId="41AA5195"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1827" w14:textId="77777777" w:rsidR="00817D3E" w:rsidRDefault="00066E2B">
            <w:pPr>
              <w:pStyle w:val="Heading1"/>
              <w:spacing w:before="0" w:after="0"/>
            </w:pPr>
            <w:r>
              <w:rPr>
                <w:rStyle w:val="Other0"/>
                <w:rFonts w:eastAsia="NSimSun"/>
                <w:b/>
                <w:bCs/>
                <w:i w:val="0"/>
                <w:iCs w:val="0"/>
                <w:sz w:val="24"/>
                <w:szCs w:val="24"/>
                <w:lang w:val="lt-LT"/>
              </w:rPr>
              <w:t>SUTARTIES KAINA</w:t>
            </w:r>
          </w:p>
        </w:tc>
      </w:tr>
      <w:tr w:rsidR="00817D3E" w14:paraId="7A365016"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8A8F" w14:textId="77777777" w:rsidR="00817D3E" w:rsidRDefault="00066E2B">
            <w:pPr>
              <w:pStyle w:val="Standard"/>
              <w:rPr>
                <w:rFonts w:hint="eastAsia"/>
              </w:rPr>
            </w:pPr>
            <w:r>
              <w:rPr>
                <w:rStyle w:val="Other0"/>
                <w:rFonts w:eastAsia="NSimSun"/>
                <w:i w:val="0"/>
                <w:iCs w:val="0"/>
                <w:lang w:val="lt-LT"/>
              </w:rPr>
              <w:t>5.1. Sutarčiai taikoma kainodara</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86A16" w14:textId="77777777" w:rsidR="00817D3E" w:rsidRDefault="00066E2B">
            <w:pPr>
              <w:pStyle w:val="Other"/>
              <w:tabs>
                <w:tab w:val="left" w:pos="1829"/>
                <w:tab w:val="left" w:pos="3130"/>
                <w:tab w:val="left" w:pos="4205"/>
              </w:tabs>
              <w:jc w:val="both"/>
            </w:pPr>
            <w:r>
              <w:rPr>
                <w:i w:val="0"/>
                <w:iCs w:val="0"/>
                <w:lang w:val="lt-LT"/>
              </w:rPr>
              <w:t>Fiksuotos kainos kainodara</w:t>
            </w:r>
          </w:p>
          <w:p w14:paraId="05CABB8B" w14:textId="77777777" w:rsidR="00817D3E" w:rsidRDefault="00817D3E">
            <w:pPr>
              <w:pStyle w:val="Other"/>
              <w:tabs>
                <w:tab w:val="left" w:pos="1829"/>
                <w:tab w:val="left" w:pos="3130"/>
                <w:tab w:val="left" w:pos="4205"/>
              </w:tabs>
              <w:jc w:val="both"/>
              <w:rPr>
                <w:i w:val="0"/>
                <w:iCs w:val="0"/>
                <w:lang w:val="lt-LT"/>
              </w:rPr>
            </w:pPr>
          </w:p>
          <w:p w14:paraId="4D89660A" w14:textId="77777777" w:rsidR="00817D3E" w:rsidRDefault="00066E2B">
            <w:pPr>
              <w:pStyle w:val="Other"/>
              <w:tabs>
                <w:tab w:val="left" w:pos="1829"/>
                <w:tab w:val="left" w:pos="3130"/>
                <w:tab w:val="left" w:pos="4205"/>
              </w:tabs>
              <w:jc w:val="both"/>
            </w:pPr>
            <w:r>
              <w:rPr>
                <w:rStyle w:val="Other0"/>
                <w:lang w:val="lt-LT"/>
              </w:rPr>
              <w:t>Kainodara nustatoma vadovaujantis Kainodaros taisyklių nustatymo metodika, patvirtinta Viešųjų pirkimų tarnybos direktoriaus 2017 m. birželio 28 d. įsakymu Nr. 1S- 95 „Dėl kainodaros taisyklių nustatymo metodikos patvirtinimo“.</w:t>
            </w:r>
          </w:p>
          <w:p w14:paraId="2B1C5D5C" w14:textId="77777777" w:rsidR="00817D3E" w:rsidRDefault="00817D3E">
            <w:pPr>
              <w:pStyle w:val="Other"/>
              <w:tabs>
                <w:tab w:val="left" w:pos="1829"/>
                <w:tab w:val="left" w:pos="3130"/>
                <w:tab w:val="left" w:pos="4205"/>
              </w:tabs>
              <w:jc w:val="both"/>
              <w:rPr>
                <w:lang w:val="lt-LT"/>
              </w:rPr>
            </w:pPr>
          </w:p>
        </w:tc>
      </w:tr>
      <w:tr w:rsidR="00817D3E" w14:paraId="422FBE9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B48A4" w14:textId="77777777" w:rsidR="00817D3E" w:rsidRDefault="00066E2B">
            <w:pPr>
              <w:pStyle w:val="Standard"/>
              <w:rPr>
                <w:rFonts w:hint="eastAsia"/>
              </w:rPr>
            </w:pPr>
            <w:r>
              <w:rPr>
                <w:rFonts w:ascii="Times New Roman" w:hAnsi="Times New Roman" w:cs="Times New Roman"/>
                <w:lang w:val="lt-LT"/>
              </w:rPr>
              <w:t xml:space="preserve">5.2. Pradinė sutarties vertė </w:t>
            </w:r>
            <w:r>
              <w:rPr>
                <w:rFonts w:ascii="Times New Roman" w:hAnsi="Times New Roman" w:cs="Times New Roman"/>
                <w:lang w:val="lt-LT"/>
              </w:rPr>
              <w:lastRenderedPageBreak/>
              <w:t>ir Sutarties kaina</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7DBE" w14:textId="77777777" w:rsidR="00817D3E" w:rsidRDefault="00066E2B">
            <w:pPr>
              <w:pStyle w:val="Other"/>
              <w:jc w:val="both"/>
            </w:pPr>
            <w:r>
              <w:rPr>
                <w:rStyle w:val="Other0"/>
                <w:lang w:val="lt-LT"/>
              </w:rPr>
              <w:lastRenderedPageBreak/>
              <w:t>Pradinės sutarties vertė yra [nurodoma suma</w:t>
            </w:r>
            <w:r>
              <w:rPr>
                <w:rStyle w:val="PagrindinistekstasDiagrama"/>
                <w:szCs w:val="24"/>
                <w:lang w:val="lt-LT"/>
              </w:rPr>
              <w:t xml:space="preserve"> </w:t>
            </w:r>
            <w:r>
              <w:rPr>
                <w:rStyle w:val="Other0"/>
                <w:lang w:val="lt-LT"/>
              </w:rPr>
              <w:t xml:space="preserve">skaičiais] Eur </w:t>
            </w:r>
            <w:r>
              <w:rPr>
                <w:rStyle w:val="Other0"/>
                <w:lang w:val="lt-LT"/>
              </w:rPr>
              <w:lastRenderedPageBreak/>
              <w:t xml:space="preserve">([nurodoma suma žodžiais]), </w:t>
            </w:r>
            <w:r>
              <w:rPr>
                <w:rStyle w:val="Other0"/>
                <w:b/>
                <w:bCs/>
                <w:lang w:val="lt-LT"/>
              </w:rPr>
              <w:t xml:space="preserve">be pridėtinės vertės mokesčio </w:t>
            </w:r>
            <w:r>
              <w:rPr>
                <w:rStyle w:val="Other0"/>
                <w:lang w:val="lt-LT"/>
              </w:rPr>
              <w:t xml:space="preserve">(toliau – </w:t>
            </w:r>
            <w:r>
              <w:rPr>
                <w:rStyle w:val="Other0"/>
                <w:b/>
                <w:bCs/>
                <w:lang w:val="lt-LT"/>
              </w:rPr>
              <w:t>PVM</w:t>
            </w:r>
            <w:r>
              <w:rPr>
                <w:rStyle w:val="Other0"/>
                <w:lang w:val="lt-LT"/>
              </w:rPr>
              <w:t>). PVM sudaro [nurodoma suma skaičiais] Eur ([nurodoma suma žodžiais]).</w:t>
            </w:r>
          </w:p>
          <w:p w14:paraId="44FAA469" w14:textId="77777777" w:rsidR="00817D3E" w:rsidRDefault="00066E2B">
            <w:pPr>
              <w:pStyle w:val="Standard"/>
              <w:jc w:val="both"/>
              <w:rPr>
                <w:rFonts w:hint="eastAsia"/>
              </w:rPr>
            </w:pPr>
            <w:r>
              <w:rPr>
                <w:rFonts w:ascii="Times New Roman" w:hAnsi="Times New Roman" w:cs="Times New Roman"/>
                <w:lang w:val="lt-LT"/>
              </w:rPr>
              <w:t>Sutarties kaina yra [nurodyti sumą skaičiais] Eur, [nurodyti sumą žodžiais] Eur su PVM.</w:t>
            </w:r>
          </w:p>
          <w:p w14:paraId="5E82276F" w14:textId="77777777" w:rsidR="00817D3E" w:rsidRDefault="00066E2B">
            <w:pPr>
              <w:pStyle w:val="Other"/>
              <w:tabs>
                <w:tab w:val="left" w:pos="1829"/>
                <w:tab w:val="left" w:pos="3130"/>
                <w:tab w:val="left" w:pos="4205"/>
              </w:tabs>
              <w:jc w:val="both"/>
            </w:pPr>
            <w:r>
              <w:rPr>
                <w:rStyle w:val="Other0"/>
                <w:lang w:val="lt-LT"/>
              </w:rPr>
              <w:t>Šioje Sutartyje Pradinės sutarties vertė yra lygi laimėjusio tiekėjo pasiūlymo kainai be PVM, nurodytai už visą Sutartyje nurodytą perkamų paslaugų kiekį ir (ar) apimtį.</w:t>
            </w:r>
          </w:p>
        </w:tc>
      </w:tr>
    </w:tbl>
    <w:p w14:paraId="3CB07F74" w14:textId="77777777" w:rsidR="00817D3E" w:rsidRDefault="00817D3E">
      <w:pPr>
        <w:pStyle w:val="Standard"/>
        <w:rPr>
          <w:rFonts w:ascii="Times New Roman" w:hAnsi="Times New Roman" w:cs="Times New Roman"/>
          <w:lang w:val="lt-LT"/>
        </w:rPr>
      </w:pPr>
    </w:p>
    <w:p w14:paraId="5A1646A0" w14:textId="77777777" w:rsidR="00817D3E" w:rsidRDefault="00817D3E">
      <w:pPr>
        <w:pageBreakBefore/>
        <w:rPr>
          <w:rFonts w:hint="eastAsia"/>
        </w:rPr>
      </w:pPr>
    </w:p>
    <w:tbl>
      <w:tblPr>
        <w:tblW w:w="9634" w:type="dxa"/>
        <w:jc w:val="center"/>
        <w:tblLayout w:type="fixed"/>
        <w:tblCellMar>
          <w:left w:w="10" w:type="dxa"/>
          <w:right w:w="10" w:type="dxa"/>
        </w:tblCellMar>
        <w:tblLook w:val="0000" w:firstRow="0" w:lastRow="0" w:firstColumn="0" w:lastColumn="0" w:noHBand="0" w:noVBand="0"/>
      </w:tblPr>
      <w:tblGrid>
        <w:gridCol w:w="2915"/>
        <w:gridCol w:w="1778"/>
        <w:gridCol w:w="4704"/>
        <w:gridCol w:w="237"/>
      </w:tblGrid>
      <w:tr w:rsidR="00817D3E" w14:paraId="119946EF"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05EE3" w14:textId="77777777" w:rsidR="00817D3E" w:rsidRDefault="00066E2B">
            <w:pPr>
              <w:pStyle w:val="Standard"/>
              <w:jc w:val="both"/>
              <w:rPr>
                <w:rFonts w:hint="eastAsia"/>
              </w:rPr>
            </w:pPr>
            <w:r>
              <w:rPr>
                <w:rFonts w:ascii="Times New Roman" w:hAnsi="Times New Roman" w:cs="Times New Roman"/>
                <w:lang w:val="lt-LT"/>
              </w:rPr>
              <w:t>5.3. Sutarties kainos / įkainių perskaičiavimas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5007B" w14:textId="77777777" w:rsidR="00817D3E" w:rsidRDefault="00066E2B">
            <w:pPr>
              <w:pStyle w:val="Standard"/>
              <w:rPr>
                <w:rFonts w:hint="eastAsia"/>
              </w:rPr>
            </w:pPr>
            <w:r>
              <w:rPr>
                <w:rFonts w:ascii="Times New Roman" w:hAnsi="Times New Roman" w:cs="Times New Roman"/>
                <w:lang w:val="lt-LT"/>
              </w:rPr>
              <w:t>S</w:t>
            </w:r>
            <w:r>
              <w:rPr>
                <w:rFonts w:ascii="Times New Roman" w:hAnsi="Times New Roman" w:cs="Times New Roman"/>
                <w:color w:val="000000"/>
                <w:lang w:val="lt-LT"/>
              </w:rPr>
              <w:t>utarties kaina bus perskaičiuojama:</w:t>
            </w:r>
          </w:p>
          <w:p w14:paraId="6FD05C9A" w14:textId="77777777" w:rsidR="00817D3E" w:rsidRDefault="00066E2B">
            <w:pPr>
              <w:pStyle w:val="Standard"/>
              <w:rPr>
                <w:rFonts w:hint="eastAsia"/>
              </w:rPr>
            </w:pPr>
            <w:r>
              <w:rPr>
                <w:rFonts w:ascii="Times New Roman" w:hAnsi="Times New Roman" w:cs="Times New Roman"/>
                <w:color w:val="000000"/>
                <w:lang w:val="lt-LT"/>
              </w:rPr>
              <w:t>5.3.1. dėl PVM tarifo pasikeitimo;</w:t>
            </w:r>
          </w:p>
          <w:p w14:paraId="277D6BB2" w14:textId="77777777" w:rsidR="00817D3E" w:rsidRDefault="00066E2B">
            <w:pPr>
              <w:pStyle w:val="Standard"/>
              <w:rPr>
                <w:rFonts w:hint="eastAsia"/>
              </w:rPr>
            </w:pPr>
            <w:r>
              <w:rPr>
                <w:rFonts w:ascii="Times New Roman" w:hAnsi="Times New Roman" w:cs="Times New Roman"/>
                <w:color w:val="000000"/>
                <w:lang w:val="lt-LT"/>
              </w:rPr>
              <w:t>5.3.2. dėl kainų lygio po</w:t>
            </w:r>
            <w:r>
              <w:rPr>
                <w:rFonts w:ascii="Times New Roman" w:hAnsi="Times New Roman" w:cs="Times New Roman"/>
                <w:lang w:val="lt-LT"/>
              </w:rPr>
              <w:t>kyčio;</w:t>
            </w:r>
          </w:p>
        </w:tc>
      </w:tr>
      <w:tr w:rsidR="00817D3E" w14:paraId="2A9D07AE"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0C4D" w14:textId="77777777" w:rsidR="00817D3E" w:rsidRDefault="00066E2B">
            <w:pPr>
              <w:pStyle w:val="Standard"/>
              <w:jc w:val="both"/>
              <w:rPr>
                <w:rFonts w:hint="eastAsia"/>
              </w:rPr>
            </w:pPr>
            <w:r>
              <w:rPr>
                <w:rFonts w:ascii="Times New Roman" w:hAnsi="Times New Roman" w:cs="Times New Roman"/>
                <w:lang w:val="lt-LT"/>
              </w:rPr>
              <w:t>5.3.1. Sutarties kainos / įkainių peržiūra dėl PVM tarifo pasikeitimo</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B8C4" w14:textId="77777777" w:rsidR="00817D3E" w:rsidRDefault="00066E2B">
            <w:pPr>
              <w:pStyle w:val="Standard"/>
              <w:jc w:val="both"/>
              <w:rPr>
                <w:rFonts w:hint="eastAsia"/>
              </w:rPr>
            </w:pPr>
            <w:r>
              <w:rPr>
                <w:rFonts w:ascii="Times New Roman" w:hAnsi="Times New Roman" w:cs="Times New Roman"/>
                <w:lang w:val="lt-LT"/>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14:paraId="792C2C63" w14:textId="77777777" w:rsidR="00817D3E" w:rsidRDefault="00817D3E">
            <w:pPr>
              <w:pStyle w:val="Standard"/>
              <w:jc w:val="both"/>
              <w:rPr>
                <w:rFonts w:ascii="Times New Roman" w:hAnsi="Times New Roman" w:cs="Times New Roman"/>
                <w:lang w:val="lt-LT"/>
              </w:rPr>
            </w:pPr>
          </w:p>
          <w:p w14:paraId="2EAFD577" w14:textId="77777777" w:rsidR="00817D3E" w:rsidRDefault="00066E2B">
            <w:pPr>
              <w:pStyle w:val="Standard"/>
              <w:jc w:val="both"/>
              <w:rPr>
                <w:rFonts w:hint="eastAsia"/>
              </w:rPr>
            </w:pPr>
            <w:r>
              <w:rPr>
                <w:rFonts w:ascii="Times New Roman" w:hAnsi="Times New Roman" w:cs="Times New Roman"/>
                <w:lang w:val="lt-LT"/>
              </w:rPr>
              <w:t>Perskaičiavimas įforminamas Susitarimu ne vėliau kaip per [įrašyti terminą skaičiais ir žodžiais] nuo PVM mokėjimą reglamentuojančių teisės aktų pasikeitimo, kuris tampa neatskiriama Sutarties dalimi. Perskaičiuota (-</w:t>
            </w:r>
            <w:proofErr w:type="spellStart"/>
            <w:r>
              <w:rPr>
                <w:rFonts w:ascii="Times New Roman" w:hAnsi="Times New Roman" w:cs="Times New Roman"/>
                <w:lang w:val="lt-LT"/>
              </w:rPr>
              <w:t>as</w:t>
            </w:r>
            <w:proofErr w:type="spellEnd"/>
            <w:r>
              <w:rPr>
                <w:rFonts w:ascii="Times New Roman" w:hAnsi="Times New Roman" w:cs="Times New Roman"/>
                <w:lang w:val="lt-LT"/>
              </w:rPr>
              <w:t>) Sutarties kaina / įkainis taikoma (-</w:t>
            </w:r>
            <w:proofErr w:type="spellStart"/>
            <w:r>
              <w:rPr>
                <w:rFonts w:ascii="Times New Roman" w:hAnsi="Times New Roman" w:cs="Times New Roman"/>
                <w:lang w:val="lt-LT"/>
              </w:rPr>
              <w:t>as</w:t>
            </w:r>
            <w:proofErr w:type="spellEnd"/>
            <w:r>
              <w:rPr>
                <w:rFonts w:ascii="Times New Roman" w:hAnsi="Times New Roman" w:cs="Times New Roman"/>
                <w:lang w:val="lt-LT"/>
              </w:rPr>
              <w:t>) už tą Paslaugų dalį, kurios bus tiekiamos nuo Šalių pasirašyto Susitarimo įsigaliojimo dienos.</w:t>
            </w:r>
          </w:p>
        </w:tc>
      </w:tr>
      <w:tr w:rsidR="00817D3E" w14:paraId="0C483397"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62B2" w14:textId="77777777" w:rsidR="00817D3E" w:rsidRDefault="00066E2B">
            <w:pPr>
              <w:pStyle w:val="Standard"/>
              <w:jc w:val="both"/>
              <w:rPr>
                <w:rFonts w:hint="eastAsia"/>
              </w:rPr>
            </w:pPr>
            <w:r>
              <w:rPr>
                <w:rFonts w:ascii="Times New Roman" w:hAnsi="Times New Roman" w:cs="Times New Roman"/>
                <w:lang w:val="lt-LT"/>
              </w:rPr>
              <w:t>5.3.2. Sutarties kainos / įkainių peržiūra dėl kainų lygio pokyčio</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2140" w14:textId="77777777" w:rsidR="00817D3E" w:rsidRDefault="00066E2B">
            <w:pPr>
              <w:pStyle w:val="Standard"/>
              <w:jc w:val="both"/>
              <w:rPr>
                <w:rFonts w:hint="eastAsia"/>
              </w:rPr>
            </w:pPr>
            <w:r>
              <w:rPr>
                <w:rFonts w:ascii="Times New Roman" w:eastAsia="Calibri" w:hAnsi="Times New Roman" w:cs="Times New Roman"/>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Pr>
                <w:rStyle w:val="FootnoteReference"/>
                <w:rFonts w:ascii="Times New Roman" w:eastAsia="Calibri" w:hAnsi="Times New Roman" w:cs="Times New Roman"/>
                <w:lang w:val="lt-LT"/>
              </w:rPr>
              <w:footnoteReference w:id="1"/>
            </w:r>
            <w:r>
              <w:rPr>
                <w:rFonts w:ascii="Times New Roman" w:eastAsia="Calibri" w:hAnsi="Times New Roman" w:cs="Times New Roman"/>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53F853F" w14:textId="77777777" w:rsidR="00817D3E" w:rsidRDefault="00817D3E">
            <w:pPr>
              <w:pStyle w:val="Standard"/>
              <w:rPr>
                <w:rFonts w:ascii="Times New Roman" w:eastAsia="Calibri" w:hAnsi="Times New Roman" w:cs="Times New Roman"/>
                <w:lang w:val="lt-LT"/>
              </w:rPr>
            </w:pPr>
          </w:p>
          <w:p w14:paraId="70E77210" w14:textId="77777777" w:rsidR="00817D3E" w:rsidRDefault="00066E2B">
            <w:pPr>
              <w:pStyle w:val="Standard"/>
              <w:widowControl w:val="0"/>
              <w:tabs>
                <w:tab w:val="left" w:pos="709"/>
              </w:tabs>
              <w:jc w:val="both"/>
              <w:rPr>
                <w:rFonts w:hint="eastAsia"/>
              </w:rPr>
            </w:pPr>
            <w:r>
              <w:rPr>
                <w:rFonts w:ascii="Times New Roman" w:eastAsia="Calibri" w:hAnsi="Times New Roman" w:cs="Times New Roman"/>
                <w:lang w:val="lt-LT"/>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6 (šeši) mėnesiai yra paskutinio perskaičiavimo metu naudotos paskelbto atitinkamo indekso reikšmės mėnuo.</w:t>
            </w:r>
          </w:p>
          <w:p w14:paraId="7A0FC825" w14:textId="77777777" w:rsidR="00817D3E" w:rsidRDefault="00066E2B">
            <w:pPr>
              <w:pStyle w:val="Standard"/>
              <w:jc w:val="both"/>
              <w:rPr>
                <w:rFonts w:hint="eastAsia"/>
              </w:rPr>
            </w:pPr>
            <w:r>
              <w:rPr>
                <w:rFonts w:ascii="Times New Roman" w:eastAsia="Calibri" w:hAnsi="Times New Roman" w:cs="Times New Roman"/>
                <w:lang w:val="lt-LT"/>
              </w:rPr>
              <w:t xml:space="preserve">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w:t>
            </w:r>
            <w:r>
              <w:rPr>
                <w:rFonts w:ascii="Times New Roman" w:eastAsia="Calibri" w:hAnsi="Times New Roman" w:cs="Times New Roman"/>
                <w:lang w:val="lt-LT"/>
              </w:rPr>
              <w:lastRenderedPageBreak/>
              <w:t>nustatymo datą, kainų pokytį, perskaičiuotus įkainius, perskaičiuotą Pradinės sutarties vertę.</w:t>
            </w:r>
          </w:p>
          <w:p w14:paraId="4A7E28DB" w14:textId="77777777" w:rsidR="00817D3E" w:rsidRDefault="00817D3E">
            <w:pPr>
              <w:pStyle w:val="Standard"/>
              <w:rPr>
                <w:rFonts w:ascii="Times New Roman" w:hAnsi="Times New Roman" w:cs="Times New Roman"/>
                <w:lang w:val="lt-LT"/>
              </w:rPr>
            </w:pPr>
          </w:p>
          <w:p w14:paraId="64F2254F" w14:textId="77777777" w:rsidR="00817D3E" w:rsidRDefault="00066E2B">
            <w:pPr>
              <w:pStyle w:val="Standard"/>
              <w:widowControl w:val="0"/>
              <w:tabs>
                <w:tab w:val="left" w:pos="709"/>
              </w:tabs>
              <w:jc w:val="both"/>
              <w:rPr>
                <w:rFonts w:hint="eastAsia"/>
              </w:rPr>
            </w:pPr>
            <w:r>
              <w:rPr>
                <w:rFonts w:ascii="Times New Roman" w:eastAsia="Calibri" w:hAnsi="Times New Roman" w:cs="Times New Roman"/>
                <w:lang w:val="lt-LT"/>
              </w:rPr>
              <w:t>Nauja Sutarties kaina / įkainiai apskaičiuojami pagal žemiau pateiktą formulę:</w:t>
            </w:r>
          </w:p>
          <w:tbl>
            <w:tblPr>
              <w:tblW w:w="6465" w:type="dxa"/>
              <w:tblInd w:w="5" w:type="dxa"/>
              <w:tblLayout w:type="fixed"/>
              <w:tblCellMar>
                <w:left w:w="10" w:type="dxa"/>
                <w:right w:w="10" w:type="dxa"/>
              </w:tblCellMar>
              <w:tblLook w:val="0000" w:firstRow="0" w:lastRow="0" w:firstColumn="0" w:lastColumn="0" w:noHBand="0" w:noVBand="0"/>
            </w:tblPr>
            <w:tblGrid>
              <w:gridCol w:w="6465"/>
            </w:tblGrid>
            <w:tr w:rsidR="00817D3E" w14:paraId="4E602599" w14:textId="77777777">
              <w:tc>
                <w:tcPr>
                  <w:tcW w:w="646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8E3A0A" w14:textId="77777777" w:rsidR="00817D3E" w:rsidRDefault="00817D3E">
                  <w:pPr>
                    <w:pStyle w:val="Standard"/>
                    <w:widowControl w:val="0"/>
                    <w:tabs>
                      <w:tab w:val="left" w:pos="709"/>
                    </w:tabs>
                    <w:jc w:val="both"/>
                    <w:rPr>
                      <w:rFonts w:cs="Times New Roman" w:hint="eastAsia"/>
                      <w:lang w:val="lt-LT"/>
                    </w:rPr>
                  </w:pPr>
                </w:p>
                <w:p w14:paraId="43557284" w14:textId="77777777" w:rsidR="00817D3E" w:rsidRDefault="003621B9">
                  <w:pPr>
                    <w:pStyle w:val="Standard"/>
                    <w:widowControl w:val="0"/>
                    <w:tabs>
                      <w:tab w:val="left" w:pos="709"/>
                    </w:tabs>
                    <w:jc w:val="center"/>
                    <w:rPr>
                      <w:rFonts w:hint="eastAsia"/>
                    </w:rPr>
                  </w:pPr>
                  <w:r>
                    <w:pict w14:anchorId="67444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9&quot;/&gt;&lt;w:autoHyphenation/&gt;&lt;w:hyphenationZone w:val=&quot;396&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17D3E&quot;/&gt;&lt;wsp:rsid wsp:val=&quot;000A3C8E&quot;/&gt;&lt;wsp:rsid wsp:val=&quot;00143A94&quot;/&gt;&lt;wsp:rsid wsp:val=&quot;00817D3E&quot;/&gt;&lt;/wsp:rsids&gt;&lt;/w:docPr&gt;&lt;w:body&gt;&lt;wx:sect&gt;&lt;w:p wsp:rsidR=&quot;00000000&quot; wsp:rsidRPr=&quot;00143A94&quot; wsp:rsidRDefault=&quot;00143A94&quot; wsp:rsidP=&quot;00143A94&quot;&gt;&lt;m:oMathPara&gt;&lt;m:oMathParaPr&gt;&lt;m:jc m:val=&quot;center&quot;/&gt;&lt;/m:oMathParaPr&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a+(&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k&lt;/m:t&gt;&lt;/m:r&gt;&lt;/m:num&gt;&lt;m:den&gt;&lt;m:r&gt;&lt;w:rPr&gt;&lt;w:rFonts w:ascii=&quot;Cambria Math&quot; w:h-ansi=&quot;Cambria Math&quot;/&gt;&lt;wx:font wx:val=&quot;Cambria Math&quot;/&gt;&lt;w:i/&gt;&lt;/w:rPr&gt;&lt;m:t&gt;100&lt;/m:t&gt;&lt;/m:r&gt;&lt;/m:den&gt;&lt;/m:f&gt;&lt;m:r&gt;&lt;w:rPr&gt;&lt;w:rFonts w:ascii=&quot;Cambria Math&quot; w:h-ansi=&quot;Cambria Math&quot;/&gt;&lt;wx:font wx:val=&quot;Cambria Math&quot;/&gt;&lt;w:i/&gt;&lt;/w:rPr&gt;&lt;m:t&gt;Ć—a)&lt;/m:t&gt;&lt;/m:r&gt;&lt;/m:oMath&gt;&lt;/m:oMathPara&gt;&lt;/w:p&gt;&lt;w:sectPr wsp:rsidR=&quot;00000000&quot; wsp:rsidRPr=&quot;00143A94&quot;&gt;&lt;w:pgSz w:w=&quot;12240&quot; w:h=&quot;15840&quot;/&gt;&lt;w:pgMar w:top=&quot;1701&quot; w:right=&quot;567&quot; w:bottom=&quot;1134&quot; w:left=&quot;1701&quot; w:header=&quot;567&quot; w:footer=&quot;567&quot; w:gutter=&quot;0&quot;/&gt;&lt;w:cols w:space=&quot;1296&quot;/&gt;&lt;/w:sectPr&gt;&lt;/wx:sect&gt;&lt;/w:body&gt;&lt;/w:wordDocument&gt;">
                        <v:imagedata r:id="rId11" o:title="" chromakey="white"/>
                      </v:shape>
                    </w:pict>
                  </w:r>
                </w:p>
                <w:p w14:paraId="40170679" w14:textId="77777777" w:rsidR="00817D3E" w:rsidRDefault="00817D3E">
                  <w:pPr>
                    <w:pStyle w:val="Standard"/>
                    <w:widowControl w:val="0"/>
                    <w:tabs>
                      <w:tab w:val="left" w:pos="709"/>
                    </w:tabs>
                    <w:jc w:val="both"/>
                    <w:rPr>
                      <w:rFonts w:cs="Times New Roman" w:hint="eastAsia"/>
                      <w:lang w:val="lt-LT"/>
                    </w:rPr>
                  </w:pPr>
                </w:p>
              </w:tc>
            </w:tr>
            <w:tr w:rsidR="00817D3E" w14:paraId="695DD41A" w14:textId="77777777">
              <w:tc>
                <w:tcPr>
                  <w:tcW w:w="6465" w:type="dxa"/>
                  <w:tcBorders>
                    <w:left w:val="single" w:sz="4" w:space="0" w:color="000000"/>
                    <w:right w:val="single" w:sz="4" w:space="0" w:color="000000"/>
                  </w:tcBorders>
                  <w:shd w:val="clear" w:color="auto" w:fill="auto"/>
                  <w:tcMar>
                    <w:top w:w="0" w:type="dxa"/>
                    <w:left w:w="108" w:type="dxa"/>
                    <w:bottom w:w="0" w:type="dxa"/>
                    <w:right w:w="108" w:type="dxa"/>
                  </w:tcMar>
                </w:tcPr>
                <w:p w14:paraId="598F5006" w14:textId="77777777" w:rsidR="00817D3E" w:rsidRDefault="00066E2B">
                  <w:pPr>
                    <w:pStyle w:val="Standard"/>
                    <w:jc w:val="right"/>
                    <w:rPr>
                      <w:rFonts w:hint="eastAsia"/>
                    </w:rPr>
                  </w:pPr>
                  <w:r>
                    <w:rPr>
                      <w:rFonts w:ascii="Times New Roman" w:hAnsi="Times New Roman" w:cs="Times New Roman"/>
                      <w:i/>
                      <w:iCs/>
                      <w:lang w:val="lt-LT" w:eastAsia="en-US" w:bidi="ar-SA"/>
                    </w:rPr>
                    <w:t xml:space="preserve">a </w:t>
                  </w:r>
                  <w:r>
                    <w:rPr>
                      <w:rFonts w:ascii="Times New Roman" w:hAnsi="Times New Roman" w:cs="Times New Roman"/>
                      <w:lang w:val="lt-LT" w:eastAsia="en-US" w:bidi="ar-SA"/>
                    </w:rPr>
                    <w:t>– kaina / įkainis (Eur be PVM) (jei peržiūra jau buvo atlikta, tai po paskutinio perskaičiavimo)</w:t>
                  </w:r>
                </w:p>
                <w:p w14:paraId="69FDD02B" w14:textId="77777777" w:rsidR="00817D3E" w:rsidRDefault="00066E2B">
                  <w:pPr>
                    <w:pStyle w:val="Standard"/>
                    <w:jc w:val="right"/>
                    <w:rPr>
                      <w:rFonts w:hint="eastAsia"/>
                    </w:rPr>
                  </w:pPr>
                  <w:r>
                    <w:rPr>
                      <w:rFonts w:ascii="Times New Roman" w:hAnsi="Times New Roman" w:cs="Times New Roman"/>
                      <w:i/>
                      <w:iCs/>
                      <w:lang w:val="lt-LT" w:eastAsia="en-US" w:bidi="ar-SA"/>
                    </w:rPr>
                    <w:t>a</w:t>
                  </w:r>
                  <w:r>
                    <w:rPr>
                      <w:rFonts w:ascii="Times New Roman" w:hAnsi="Times New Roman" w:cs="Times New Roman"/>
                      <w:i/>
                      <w:iCs/>
                      <w:vertAlign w:val="subscript"/>
                      <w:lang w:val="lt-LT" w:eastAsia="en-US" w:bidi="ar-SA"/>
                    </w:rPr>
                    <w:t>1</w:t>
                  </w:r>
                  <w:r>
                    <w:rPr>
                      <w:rFonts w:ascii="Times New Roman" w:hAnsi="Times New Roman" w:cs="Times New Roman"/>
                      <w:lang w:val="lt-LT" w:eastAsia="en-US" w:bidi="ar-SA"/>
                    </w:rPr>
                    <w:t xml:space="preserve"> – perskaičiuota (pakeista) kaina / įkainis (Eur be PVM)</w:t>
                  </w:r>
                </w:p>
                <w:p w14:paraId="4927E13B" w14:textId="77777777" w:rsidR="00817D3E" w:rsidRDefault="00066E2B">
                  <w:pPr>
                    <w:pStyle w:val="Standard"/>
                    <w:widowControl w:val="0"/>
                    <w:tabs>
                      <w:tab w:val="left" w:pos="709"/>
                    </w:tabs>
                    <w:jc w:val="right"/>
                    <w:rPr>
                      <w:rFonts w:hint="eastAsia"/>
                    </w:rPr>
                  </w:pPr>
                  <w:r>
                    <w:rPr>
                      <w:rFonts w:ascii="Times New Roman" w:eastAsia="Calibri" w:hAnsi="Times New Roman" w:cs="Times New Roman"/>
                      <w:i/>
                      <w:iCs/>
                      <w:lang w:val="lt-LT" w:eastAsia="en-US" w:bidi="ar-SA"/>
                    </w:rPr>
                    <w:t>k</w:t>
                  </w:r>
                  <w:r>
                    <w:rPr>
                      <w:rFonts w:ascii="Times New Roman" w:eastAsia="Calibri" w:hAnsi="Times New Roman" w:cs="Times New Roman"/>
                      <w:lang w:val="lt-LT" w:eastAsia="en-US" w:bidi="ar-SA"/>
                    </w:rPr>
                    <w:t xml:space="preserve"> – pagal vartotojų kainų indeksą „Vartojimo prekės ir paslaugos“ apskaičiuotas Vartojimo prekių ir paslaugų kainų pokytis (padidėjimas arba sumažėjimas) (%),</w:t>
                  </w:r>
                </w:p>
                <w:p w14:paraId="19F86595" w14:textId="77777777" w:rsidR="00817D3E" w:rsidRDefault="00066E2B">
                  <w:pPr>
                    <w:pStyle w:val="Standard"/>
                    <w:widowControl w:val="0"/>
                    <w:tabs>
                      <w:tab w:val="left" w:pos="709"/>
                    </w:tabs>
                    <w:rPr>
                      <w:rFonts w:hint="eastAsia"/>
                    </w:rPr>
                  </w:pPr>
                  <w:r>
                    <w:rPr>
                      <w:rFonts w:ascii="Times New Roman" w:eastAsia="Calibri" w:hAnsi="Times New Roman" w:cs="Times New Roman"/>
                      <w:lang w:val="lt-LT" w:eastAsia="en-US" w:bidi="ar-SA"/>
                    </w:rPr>
                    <w:t>„k“ reikšmė apskaičiuojama pagal tokią formulę:</w:t>
                  </w:r>
                </w:p>
              </w:tc>
            </w:tr>
            <w:tr w:rsidR="00817D3E" w14:paraId="449322AA" w14:textId="77777777">
              <w:tc>
                <w:tcPr>
                  <w:tcW w:w="6465" w:type="dxa"/>
                  <w:tcBorders>
                    <w:left w:val="single" w:sz="4" w:space="0" w:color="000000"/>
                    <w:right w:val="single" w:sz="4" w:space="0" w:color="000000"/>
                  </w:tcBorders>
                  <w:shd w:val="clear" w:color="auto" w:fill="auto"/>
                  <w:tcMar>
                    <w:top w:w="0" w:type="dxa"/>
                    <w:left w:w="108" w:type="dxa"/>
                    <w:bottom w:w="0" w:type="dxa"/>
                    <w:right w:w="108" w:type="dxa"/>
                  </w:tcMar>
                </w:tcPr>
                <w:p w14:paraId="4F9ED484" w14:textId="77777777" w:rsidR="00817D3E" w:rsidRDefault="00817D3E">
                  <w:pPr>
                    <w:pStyle w:val="Standard"/>
                    <w:widowControl w:val="0"/>
                    <w:tabs>
                      <w:tab w:val="left" w:pos="709"/>
                    </w:tabs>
                    <w:jc w:val="both"/>
                    <w:rPr>
                      <w:rFonts w:cs="Times New Roman" w:hint="eastAsia"/>
                      <w:lang w:val="lt-LT"/>
                    </w:rPr>
                  </w:pPr>
                </w:p>
                <w:p w14:paraId="1B4BBB73" w14:textId="77777777" w:rsidR="00817D3E" w:rsidRDefault="003621B9">
                  <w:pPr>
                    <w:pStyle w:val="Standard"/>
                    <w:widowControl w:val="0"/>
                    <w:tabs>
                      <w:tab w:val="left" w:pos="709"/>
                    </w:tabs>
                    <w:jc w:val="center"/>
                    <w:rPr>
                      <w:rFonts w:hint="eastAsia"/>
                    </w:rPr>
                  </w:pPr>
                  <w:r>
                    <w:pict w14:anchorId="41E9B3FC">
                      <v:shape id="_x0000_i1026"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9&quot;/&gt;&lt;w:autoHyphenation/&gt;&lt;w:hyphenationZone w:val=&quot;396&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17D3E&quot;/&gt;&lt;wsp:rsid wsp:val=&quot;000A3C8E&quot;/&gt;&lt;wsp:rsid wsp:val=&quot;00313B93&quot;/&gt;&lt;wsp:rsid wsp:val=&quot;00817D3E&quot;/&gt;&lt;/wsp:rsids&gt;&lt;/w:docPr&gt;&lt;w:body&gt;&lt;wx:sect&gt;&lt;w:p wsp:rsidR=&quot;00000000&quot; wsp:rsidRPr=&quot;00313B93&quot; wsp:rsidRDefault=&quot;00313B93&quot; wsp:rsidP=&quot;00313B93&quot;&gt;&lt;m:oMathPara&gt;&lt;m:oMathParaPr&gt;&lt;m:jc m:val=&quot;center&quot;/&gt;&lt;/m:oMathParaPr&gt;&lt;m:oMath&gt;&lt;m:r&gt;&lt;w:rPr&gt;&lt;w:rFonts w:ascii=&quot;Cambria Math&quot; w:h-ansi=&quot;Cambria Math&quot;/&gt;&lt;wx:font wx:val=&quot;Cambria Math&quot;/&gt;&lt;w:i/&gt;&lt;/w:rPr&gt;&lt;m:t&gt;k=&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Ind&lt;/m:t&gt;&lt;/m:r&gt;&lt;/m:e&gt;&lt;m:sub&gt;&lt;m:r&gt;&lt;w:rPr&gt;&lt;w:rFonts w:ascii=&quot;Cambria Math&quot; w:h-ansi=&quot;Cambria Math&quot;/&gt;&lt;wx:font wx:val=&quot;Cambria Math&quot;/&gt;&lt;w:i/&gt;&lt;/w:rPr&gt;&lt;m:t&gt;naujausias&lt;/m:t&gt;&lt;/m:r&gt;&lt;/m:sub&gt;&lt;/m:sSub&gt;&lt;/m:num&gt;&lt;m:den&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Ind&lt;/m:t&gt;&lt;/m:r&gt;&lt;/m:e&gt;&lt;m:sub&gt;&lt;m:r&gt;&lt;w:rPr&gt;&lt;w:rFonts w:ascii=&quot;Cambria Math&quot; w:h-ansi=&quot;Cambria Math&quot;/&gt;&lt;wx:font wx:val=&quot;Cambria Math&quot;/&gt;&lt;w:i/&gt;&lt;/w:rPr&gt;&lt;m:t&gt;pradÅ¾ia&lt;/m:t&gt;&lt;/m:r&gt;&lt;/m:sub&gt;&lt;/m:sSub&gt;&lt;/m:den&gt;&lt;/m:f&gt;&lt;m:r&gt;&lt;w:rPr&gt;&lt;w:rFonts w:ascii=&quot;Cambria Math&quot; w:h-ansi=&quot;Cambria Math&quot;/&gt;&lt;wx:font wx:val=&quot;Cambria Math&quot;/&gt;&lt;w:i/&gt;&lt;/w:rPr&gt;&lt;m:t&gt;Ć—100-100&lt;/m:t&gt;&lt;/m:r&gt;&lt;/m:oMath&gt;&lt;/m:oMathPara&gt;&lt;/w:p&gt;&lt;w:sectPr wsp:rsidR=&quot;00000000&quot; wsp:rsidRPr=&quot;00313B93&quot;&gt;&lt;w:pgSz w:w=&quot;12240&quot; w:h=&quot;15840&quot;/&gt;&lt;w:pgMar w:top=&quot;1701&quot; w:right=&quot;567&quot; w:bottom=&quot;1134&quot; w:left=&quot;1701&quot; w:header=&quot;567&quot; w:footer=&quot;567&quot; w:gutter=&quot;0&quot;/&gt;&lt;w:cols w:space=&quot;1296&quot;/&gt;&lt;/w:sectPr&gt;&lt;/wx:sect&gt;&lt;/w:body&gt;&lt;/w:wordDocument&gt;">
                        <v:imagedata r:id="rId12" o:title="" chromakey="white"/>
                      </v:shape>
                    </w:pict>
                  </w:r>
                </w:p>
                <w:p w14:paraId="4362E90B" w14:textId="77777777" w:rsidR="00817D3E" w:rsidRDefault="00817D3E">
                  <w:pPr>
                    <w:pStyle w:val="Standard"/>
                    <w:widowControl w:val="0"/>
                    <w:tabs>
                      <w:tab w:val="left" w:pos="709"/>
                    </w:tabs>
                    <w:jc w:val="both"/>
                    <w:rPr>
                      <w:rFonts w:eastAsia="Calibri" w:cs="Times New Roman"/>
                      <w:lang w:val="lt-LT"/>
                    </w:rPr>
                  </w:pPr>
                </w:p>
              </w:tc>
            </w:tr>
            <w:tr w:rsidR="00817D3E" w14:paraId="26910DE7" w14:textId="77777777">
              <w:tc>
                <w:tcPr>
                  <w:tcW w:w="64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9B2A" w14:textId="77777777" w:rsidR="00817D3E" w:rsidRDefault="00066E2B">
                  <w:pPr>
                    <w:pStyle w:val="Standard"/>
                    <w:jc w:val="right"/>
                    <w:rPr>
                      <w:rFonts w:hint="eastAsia"/>
                    </w:rPr>
                  </w:pPr>
                  <w:proofErr w:type="spellStart"/>
                  <w:r>
                    <w:rPr>
                      <w:rFonts w:ascii="Times New Roman" w:hAnsi="Times New Roman" w:cs="Times New Roman"/>
                      <w:i/>
                      <w:iCs/>
                      <w:lang w:val="lt-LT" w:eastAsia="en-US" w:bidi="ar-SA"/>
                    </w:rPr>
                    <w:t>Ind</w:t>
                  </w:r>
                  <w:r>
                    <w:rPr>
                      <w:rFonts w:ascii="Times New Roman" w:hAnsi="Times New Roman" w:cs="Times New Roman"/>
                      <w:i/>
                      <w:iCs/>
                      <w:vertAlign w:val="subscript"/>
                      <w:lang w:val="lt-LT" w:eastAsia="en-US" w:bidi="ar-SA"/>
                    </w:rPr>
                    <w:t>naujausias</w:t>
                  </w:r>
                  <w:proofErr w:type="spellEnd"/>
                  <w:r>
                    <w:rPr>
                      <w:rFonts w:ascii="Times New Roman" w:hAnsi="Times New Roman" w:cs="Times New Roman"/>
                      <w:lang w:val="lt-LT" w:eastAsia="en-US" w:bidi="ar-SA"/>
                    </w:rPr>
                    <w:t xml:space="preserve"> – kreipimosi dėl kainos / įkainių peržiūros išsiuntimo kitai šaliai dieną paskelbtas naujausias Vartotojų kainų indeksas „Vartojimo prekės ir paslaugos“</w:t>
                  </w:r>
                </w:p>
                <w:p w14:paraId="7B3E7811" w14:textId="77777777" w:rsidR="00817D3E" w:rsidRDefault="00066E2B">
                  <w:pPr>
                    <w:pStyle w:val="Standard"/>
                    <w:widowControl w:val="0"/>
                    <w:tabs>
                      <w:tab w:val="left" w:pos="709"/>
                    </w:tabs>
                    <w:jc w:val="right"/>
                    <w:rPr>
                      <w:rFonts w:hint="eastAsia"/>
                    </w:rPr>
                  </w:pPr>
                  <w:proofErr w:type="spellStart"/>
                  <w:r>
                    <w:rPr>
                      <w:rFonts w:ascii="Times New Roman" w:eastAsia="Calibri" w:hAnsi="Times New Roman" w:cs="Times New Roman"/>
                      <w:i/>
                      <w:iCs/>
                      <w:lang w:val="lt-LT" w:eastAsia="en-US" w:bidi="ar-SA"/>
                    </w:rPr>
                    <w:t>Ind</w:t>
                  </w:r>
                  <w:r>
                    <w:rPr>
                      <w:rFonts w:ascii="Times New Roman" w:eastAsia="Calibri" w:hAnsi="Times New Roman" w:cs="Times New Roman"/>
                      <w:i/>
                      <w:iCs/>
                      <w:vertAlign w:val="subscript"/>
                      <w:lang w:val="lt-LT" w:eastAsia="en-US" w:bidi="ar-SA"/>
                    </w:rPr>
                    <w:t>pradžia</w:t>
                  </w:r>
                  <w:proofErr w:type="spellEnd"/>
                  <w:r>
                    <w:rPr>
                      <w:rFonts w:ascii="Times New Roman" w:eastAsia="Calibri" w:hAnsi="Times New Roman" w:cs="Times New Roman"/>
                      <w:lang w:val="lt-LT" w:eastAsia="en-US" w:bidi="ar-SA"/>
                    </w:rPr>
                    <w:t xml:space="preserve"> – laikotarpio pradžios datos (mėnesio) Vartotojų kainų indeksas „Vartojimo prekės ir paslaugos“</w:t>
                  </w:r>
                </w:p>
              </w:tc>
            </w:tr>
          </w:tbl>
          <w:p w14:paraId="25CF15C9" w14:textId="77777777" w:rsidR="00817D3E" w:rsidRDefault="00817D3E">
            <w:pPr>
              <w:pStyle w:val="Standard"/>
              <w:rPr>
                <w:rFonts w:ascii="Times New Roman" w:hAnsi="Times New Roman" w:cs="Times New Roman"/>
                <w:lang w:val="lt-LT"/>
              </w:rPr>
            </w:pPr>
          </w:p>
          <w:p w14:paraId="148382B5" w14:textId="77777777" w:rsidR="00817D3E" w:rsidRDefault="00066E2B">
            <w:pPr>
              <w:pStyle w:val="Standard"/>
              <w:widowControl w:val="0"/>
              <w:tabs>
                <w:tab w:val="left" w:pos="709"/>
              </w:tabs>
              <w:jc w:val="both"/>
              <w:rPr>
                <w:rFonts w:hint="eastAsia"/>
              </w:rPr>
            </w:pPr>
            <w:r>
              <w:rPr>
                <w:rFonts w:ascii="Times New Roman" w:eastAsia="Calibri" w:hAnsi="Times New Roman" w:cs="Times New Roman"/>
                <w:lang w:val="lt-LT"/>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143A268F" w14:textId="77777777" w:rsidR="00817D3E" w:rsidRDefault="00817D3E">
            <w:pPr>
              <w:pStyle w:val="Standard"/>
              <w:widowControl w:val="0"/>
              <w:tabs>
                <w:tab w:val="left" w:pos="709"/>
              </w:tabs>
              <w:jc w:val="both"/>
              <w:rPr>
                <w:rFonts w:ascii="Times New Roman" w:eastAsia="Calibri" w:hAnsi="Times New Roman" w:cs="Times New Roman"/>
                <w:lang w:val="lt-LT"/>
              </w:rPr>
            </w:pPr>
          </w:p>
          <w:p w14:paraId="15E5F665" w14:textId="77777777" w:rsidR="00817D3E" w:rsidRDefault="00066E2B">
            <w:pPr>
              <w:pStyle w:val="Standard"/>
              <w:widowControl w:val="0"/>
              <w:tabs>
                <w:tab w:val="left" w:pos="709"/>
              </w:tabs>
              <w:jc w:val="both"/>
              <w:rPr>
                <w:rFonts w:hint="eastAsia"/>
              </w:rPr>
            </w:pPr>
            <w:r>
              <w:rPr>
                <w:rFonts w:ascii="Times New Roman" w:eastAsia="Calibri" w:hAnsi="Times New Roman" w:cs="Times New Roman"/>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322A4E3E" w14:textId="77777777" w:rsidR="00817D3E" w:rsidRDefault="00066E2B">
            <w:pPr>
              <w:pStyle w:val="Standard"/>
              <w:jc w:val="both"/>
              <w:rPr>
                <w:rFonts w:hint="eastAsia"/>
              </w:rPr>
            </w:pPr>
            <w:r>
              <w:rPr>
                <w:rFonts w:ascii="Times New Roman" w:eastAsia="Calibri" w:hAnsi="Times New Roman" w:cs="Times New Roman"/>
                <w:lang w:val="lt-LT"/>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1C087A4A" w14:textId="77777777" w:rsidR="00817D3E" w:rsidRDefault="00817D3E">
            <w:pPr>
              <w:pStyle w:val="Standard"/>
              <w:rPr>
                <w:rFonts w:ascii="Times New Roman" w:hAnsi="Times New Roman" w:cs="Times New Roman"/>
                <w:lang w:val="lt-LT"/>
              </w:rPr>
            </w:pPr>
          </w:p>
        </w:tc>
      </w:tr>
      <w:tr w:rsidR="00817D3E" w14:paraId="7F4ECB2B"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FDF01" w14:textId="77777777" w:rsidR="00817D3E" w:rsidRDefault="00066E2B">
            <w:pPr>
              <w:pStyle w:val="Standard"/>
              <w:jc w:val="both"/>
              <w:rPr>
                <w:rFonts w:hint="eastAsia"/>
              </w:rPr>
            </w:pPr>
            <w:r>
              <w:rPr>
                <w:rFonts w:ascii="Times New Roman" w:hAnsi="Times New Roman" w:cs="Times New Roman"/>
                <w:lang w:val="lt-LT"/>
              </w:rPr>
              <w:lastRenderedPageBreak/>
              <w:t>5.3.3. Sutarties kainos / įkainių apskaičiavimas taikant kiekio (apimties) keitimo taisykles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AF737" w14:textId="77777777" w:rsidR="00817D3E" w:rsidRDefault="00066E2B">
            <w:pPr>
              <w:pStyle w:val="Standard"/>
              <w:jc w:val="both"/>
              <w:rPr>
                <w:rFonts w:hint="eastAsia"/>
              </w:rPr>
            </w:pPr>
            <w:r>
              <w:rPr>
                <w:rFonts w:ascii="Times New Roman" w:hAnsi="Times New Roman" w:cs="Times New Roman"/>
                <w:lang w:val="lt-LT"/>
              </w:rPr>
              <w:t>Pirkėjas numato galimybę įsigyti Sutartimi įsigyjamų Paslaugų sąraše nenurodytų, tačiau su Pirkimo objektu susijusių Paslaugų (toliau – nenumatytos Paslaugos) neviršijant 10 (dešimt) proc. Pradinės sutarties vertės (jos nedidinant).</w:t>
            </w:r>
          </w:p>
          <w:p w14:paraId="17FAC842" w14:textId="77777777" w:rsidR="00817D3E" w:rsidRDefault="00066E2B">
            <w:pPr>
              <w:pStyle w:val="Standard"/>
              <w:jc w:val="both"/>
              <w:rPr>
                <w:rFonts w:hint="eastAsia"/>
              </w:rPr>
            </w:pPr>
            <w:r>
              <w:rPr>
                <w:rFonts w:ascii="Times New Roman" w:hAnsi="Times New Roman" w:cs="Times New Roman"/>
                <w:lang w:val="lt-LT"/>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(ar) raštu, ir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0AE14633" w14:textId="77777777" w:rsidR="00817D3E" w:rsidRDefault="00817D3E">
            <w:pPr>
              <w:pStyle w:val="Standard"/>
              <w:jc w:val="both"/>
              <w:rPr>
                <w:rFonts w:ascii="Times New Roman" w:eastAsia="Calibri" w:hAnsi="Times New Roman" w:cs="Times New Roman"/>
                <w:lang w:val="lt-LT"/>
              </w:rPr>
            </w:pPr>
          </w:p>
        </w:tc>
      </w:tr>
      <w:tr w:rsidR="00817D3E" w14:paraId="6B964B30" w14:textId="77777777">
        <w:trPr>
          <w:trHeight w:val="300"/>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53D1D" w14:textId="77777777" w:rsidR="00817D3E" w:rsidRDefault="00066E2B">
            <w:pPr>
              <w:pStyle w:val="Heading1"/>
              <w:spacing w:before="0" w:after="0"/>
            </w:pPr>
            <w:r>
              <w:rPr>
                <w:rStyle w:val="Other0"/>
                <w:rFonts w:eastAsia="NSimSun"/>
                <w:b/>
                <w:bCs/>
                <w:i w:val="0"/>
                <w:iCs w:val="0"/>
                <w:sz w:val="24"/>
                <w:szCs w:val="24"/>
                <w:lang w:val="lt-LT"/>
              </w:rPr>
              <w:t>PASLAUGŲ PERDAVIMAS–PRIĖMIMAS</w:t>
            </w:r>
          </w:p>
        </w:tc>
      </w:tr>
      <w:tr w:rsidR="00817D3E" w14:paraId="55B28405"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5F7A" w14:textId="77777777" w:rsidR="00817D3E" w:rsidRDefault="00066E2B">
            <w:pPr>
              <w:pStyle w:val="Standard"/>
              <w:rPr>
                <w:rFonts w:hint="eastAsia"/>
              </w:rPr>
            </w:pPr>
            <w:r>
              <w:rPr>
                <w:rFonts w:ascii="Times New Roman" w:hAnsi="Times New Roman" w:cs="Times New Roman"/>
                <w:lang w:val="lt-LT"/>
              </w:rPr>
              <w:t>6.1. Paslaugų perdavimas–priėmimas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ED304" w14:textId="77777777" w:rsidR="00817D3E" w:rsidRDefault="00066E2B">
            <w:pPr>
              <w:pStyle w:val="Other"/>
              <w:tabs>
                <w:tab w:val="left" w:pos="1829"/>
                <w:tab w:val="left" w:pos="3130"/>
                <w:tab w:val="left" w:pos="4205"/>
              </w:tabs>
              <w:jc w:val="both"/>
            </w:pPr>
            <w:r>
              <w:rPr>
                <w:lang w:val="lt-LT"/>
              </w:rPr>
              <w:t>Tarp Šalių pasirašomas Paslaugų priėmimo-perdavimo aktas</w:t>
            </w:r>
          </w:p>
          <w:p w14:paraId="6F42187E" w14:textId="77777777" w:rsidR="00817D3E" w:rsidRDefault="00817D3E">
            <w:pPr>
              <w:pStyle w:val="Other"/>
              <w:tabs>
                <w:tab w:val="left" w:pos="1829"/>
                <w:tab w:val="left" w:pos="3130"/>
                <w:tab w:val="left" w:pos="4205"/>
              </w:tabs>
              <w:jc w:val="both"/>
              <w:rPr>
                <w:lang w:val="lt-LT"/>
              </w:rPr>
            </w:pPr>
          </w:p>
        </w:tc>
      </w:tr>
      <w:tr w:rsidR="00817D3E" w14:paraId="07B191F2" w14:textId="77777777">
        <w:trPr>
          <w:trHeight w:val="300"/>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FA389" w14:textId="77777777" w:rsidR="00817D3E" w:rsidRDefault="00066E2B">
            <w:pPr>
              <w:pStyle w:val="Heading1"/>
              <w:spacing w:before="0" w:after="0"/>
            </w:pPr>
            <w:r>
              <w:rPr>
                <w:rStyle w:val="Other0"/>
                <w:rFonts w:eastAsia="NSimSun"/>
                <w:b/>
                <w:bCs/>
                <w:i w:val="0"/>
                <w:iCs w:val="0"/>
                <w:sz w:val="24"/>
                <w:szCs w:val="24"/>
                <w:lang w:val="lt-LT"/>
              </w:rPr>
              <w:t>MOKĖJIMO TVARKA</w:t>
            </w:r>
          </w:p>
        </w:tc>
      </w:tr>
      <w:tr w:rsidR="00817D3E" w14:paraId="2EEB349A"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895DB" w14:textId="77777777" w:rsidR="00817D3E" w:rsidRDefault="00066E2B">
            <w:pPr>
              <w:pStyle w:val="Standard"/>
              <w:rPr>
                <w:rFonts w:hint="eastAsia"/>
              </w:rPr>
            </w:pPr>
            <w:r>
              <w:rPr>
                <w:rFonts w:ascii="Times New Roman" w:hAnsi="Times New Roman" w:cs="Times New Roman"/>
                <w:lang w:val="lt-LT"/>
              </w:rPr>
              <w:t>7.1. Atsiskaitymo su Tiekėju terminas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9BB18" w14:textId="77777777" w:rsidR="00817D3E" w:rsidRDefault="00066E2B">
            <w:pPr>
              <w:pStyle w:val="Other"/>
              <w:tabs>
                <w:tab w:val="left" w:pos="1829"/>
                <w:tab w:val="left" w:pos="3130"/>
                <w:tab w:val="left" w:pos="4205"/>
              </w:tabs>
              <w:jc w:val="both"/>
            </w:pPr>
            <w:r>
              <w:rPr>
                <w:rStyle w:val="Other0"/>
                <w:lang w:val="lt-LT"/>
              </w:rPr>
              <w:t>30 kalendorinių dienų nuo Paslaugų perdavimo-priėmimo akto pasirašymo dienos</w:t>
            </w:r>
          </w:p>
        </w:tc>
      </w:tr>
      <w:tr w:rsidR="00817D3E" w14:paraId="7B26B80B"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DCA38" w14:textId="77777777" w:rsidR="00817D3E" w:rsidRDefault="00066E2B">
            <w:pPr>
              <w:pStyle w:val="Standard"/>
              <w:rPr>
                <w:rFonts w:hint="eastAsia"/>
              </w:rPr>
            </w:pPr>
            <w:r>
              <w:rPr>
                <w:rFonts w:ascii="Times New Roman" w:hAnsi="Times New Roman" w:cs="Times New Roman"/>
                <w:lang w:val="lt-LT"/>
              </w:rPr>
              <w:t>7.2. Atsiskaitymas su Tiekėju etapais / periodiškai</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EE1BD" w14:textId="568A3A19" w:rsidR="00817D3E" w:rsidRDefault="00066E2B" w:rsidP="00132CB8">
            <w:pPr>
              <w:pStyle w:val="Standard"/>
              <w:tabs>
                <w:tab w:val="left" w:pos="851"/>
              </w:tabs>
              <w:ind w:right="-20"/>
              <w:jc w:val="both"/>
              <w:rPr>
                <w:rFonts w:ascii="Times New Roman" w:hAnsi="Times New Roman" w:cs="Times New Roman"/>
                <w:lang w:val="lt-LT"/>
              </w:rPr>
            </w:pPr>
            <w:r>
              <w:rPr>
                <w:rFonts w:ascii="Times New Roman" w:hAnsi="Times New Roman" w:cs="Times New Roman"/>
                <w:lang w:val="lt-LT"/>
              </w:rPr>
              <w:t>Apmokėjimas už suteiktas paslauga (mokymų programos parengimą ir mokymų programos įgyvendinimą) vykdomas etapais, Teikėjui bus sumokama gavus iš Teikėjo sąskaitą faktūrą ne vėliau kaip per 30 (trisdešimt) kalendorinių dienų nuo paslaugų perdavimo – priėmimo akto pasirašymo ir (ar) sąskaitos faktūros gavimo dienos.</w:t>
            </w:r>
          </w:p>
        </w:tc>
      </w:tr>
      <w:tr w:rsidR="00817D3E" w14:paraId="08ED0472"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7A88" w14:textId="77777777" w:rsidR="00817D3E" w:rsidRDefault="00066E2B">
            <w:pPr>
              <w:pStyle w:val="Standard"/>
              <w:rPr>
                <w:rFonts w:hint="eastAsia"/>
              </w:rPr>
            </w:pPr>
            <w:r>
              <w:rPr>
                <w:rFonts w:ascii="Times New Roman" w:hAnsi="Times New Roman" w:cs="Times New Roman"/>
                <w:lang w:val="lt-LT"/>
              </w:rPr>
              <w:t>7.3. Avansas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62B0" w14:textId="77777777" w:rsidR="00817D3E" w:rsidRDefault="00066E2B">
            <w:pPr>
              <w:pStyle w:val="Other"/>
              <w:tabs>
                <w:tab w:val="left" w:pos="1829"/>
                <w:tab w:val="left" w:pos="3130"/>
                <w:tab w:val="left" w:pos="4205"/>
              </w:tabs>
              <w:jc w:val="both"/>
            </w:pPr>
            <w:r>
              <w:rPr>
                <w:lang w:val="lt-LT"/>
              </w:rPr>
              <w:t>Netaikoma</w:t>
            </w:r>
          </w:p>
          <w:p w14:paraId="1822C505" w14:textId="77777777" w:rsidR="00817D3E" w:rsidRDefault="00817D3E">
            <w:pPr>
              <w:pStyle w:val="Other"/>
              <w:tabs>
                <w:tab w:val="left" w:pos="1829"/>
                <w:tab w:val="left" w:pos="3130"/>
                <w:tab w:val="left" w:pos="4205"/>
              </w:tabs>
              <w:jc w:val="both"/>
              <w:rPr>
                <w:i w:val="0"/>
                <w:iCs w:val="0"/>
                <w:lang w:val="lt-LT"/>
              </w:rPr>
            </w:pPr>
          </w:p>
        </w:tc>
      </w:tr>
      <w:tr w:rsidR="00817D3E" w14:paraId="0AB0ABAB"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042AA" w14:textId="77777777" w:rsidR="00817D3E" w:rsidRDefault="00066E2B">
            <w:pPr>
              <w:pStyle w:val="Standard"/>
              <w:rPr>
                <w:rFonts w:hint="eastAsia"/>
              </w:rPr>
            </w:pPr>
            <w:r>
              <w:rPr>
                <w:rFonts w:ascii="Times New Roman" w:hAnsi="Times New Roman" w:cs="Times New Roman"/>
                <w:lang w:val="lt-LT"/>
              </w:rPr>
              <w:t>7.4. Avanso užtikrinimo būdas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A1E8A" w14:textId="77777777" w:rsidR="00817D3E" w:rsidRDefault="00066E2B">
            <w:pPr>
              <w:pStyle w:val="Other"/>
              <w:tabs>
                <w:tab w:val="left" w:pos="1829"/>
                <w:tab w:val="left" w:pos="3130"/>
                <w:tab w:val="left" w:pos="4205"/>
              </w:tabs>
              <w:jc w:val="both"/>
            </w:pPr>
            <w:r>
              <w:rPr>
                <w:lang w:val="lt-LT"/>
              </w:rPr>
              <w:t>Netaikoma</w:t>
            </w:r>
          </w:p>
          <w:p w14:paraId="42928978" w14:textId="77777777" w:rsidR="00817D3E" w:rsidRDefault="00817D3E">
            <w:pPr>
              <w:pStyle w:val="Other"/>
              <w:tabs>
                <w:tab w:val="left" w:pos="1829"/>
                <w:tab w:val="left" w:pos="3130"/>
                <w:tab w:val="left" w:pos="4205"/>
              </w:tabs>
              <w:jc w:val="both"/>
              <w:rPr>
                <w:i w:val="0"/>
                <w:iCs w:val="0"/>
                <w:lang w:val="lt-LT"/>
              </w:rPr>
            </w:pPr>
          </w:p>
        </w:tc>
      </w:tr>
      <w:tr w:rsidR="00817D3E" w14:paraId="1395E3E2" w14:textId="77777777">
        <w:trPr>
          <w:trHeight w:val="300"/>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8841" w14:textId="77777777" w:rsidR="00817D3E" w:rsidRDefault="00066E2B">
            <w:pPr>
              <w:pStyle w:val="Heading1"/>
              <w:spacing w:before="0" w:after="0"/>
            </w:pPr>
            <w:r>
              <w:rPr>
                <w:rStyle w:val="Other0"/>
                <w:rFonts w:eastAsia="NSimSun"/>
                <w:b/>
                <w:bCs/>
                <w:i w:val="0"/>
                <w:iCs w:val="0"/>
                <w:sz w:val="24"/>
                <w:szCs w:val="24"/>
                <w:lang w:val="lt-LT"/>
              </w:rPr>
              <w:t>SUTARTIES ĮVYKDYMO UŽTIKRINIMAS</w:t>
            </w:r>
          </w:p>
        </w:tc>
      </w:tr>
      <w:tr w:rsidR="00817D3E" w14:paraId="26968E53"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40667" w14:textId="77777777" w:rsidR="00817D3E" w:rsidRDefault="00066E2B">
            <w:pPr>
              <w:pStyle w:val="Standard"/>
              <w:rPr>
                <w:rFonts w:hint="eastAsia"/>
              </w:rPr>
            </w:pPr>
            <w:r>
              <w:rPr>
                <w:rFonts w:ascii="Times New Roman" w:hAnsi="Times New Roman" w:cs="Times New Roman"/>
                <w:lang w:val="lt-LT"/>
              </w:rPr>
              <w:t>8.1. Ar taikomas Sutarties įvykdymo užtikrinimas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8B30" w14:textId="77777777" w:rsidR="00817D3E" w:rsidRDefault="00066E2B">
            <w:pPr>
              <w:pStyle w:val="Other"/>
              <w:tabs>
                <w:tab w:val="left" w:pos="1829"/>
                <w:tab w:val="left" w:pos="3130"/>
                <w:tab w:val="left" w:pos="4205"/>
              </w:tabs>
              <w:jc w:val="both"/>
            </w:pPr>
            <w:r>
              <w:rPr>
                <w:lang w:val="lt-LT"/>
              </w:rPr>
              <w:t>Sutarties įvykdymo užtikrinimo priemonių nereikalaujama</w:t>
            </w:r>
          </w:p>
        </w:tc>
      </w:tr>
      <w:tr w:rsidR="00817D3E" w14:paraId="31C35203"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D07A" w14:textId="77777777" w:rsidR="00817D3E" w:rsidRDefault="00066E2B">
            <w:pPr>
              <w:pStyle w:val="Standard"/>
              <w:rPr>
                <w:rFonts w:hint="eastAsia"/>
              </w:rPr>
            </w:pPr>
            <w:r>
              <w:rPr>
                <w:rFonts w:ascii="Times New Roman" w:hAnsi="Times New Roman" w:cs="Times New Roman"/>
                <w:lang w:val="lt-LT"/>
              </w:rPr>
              <w:t>8.2. Sutarties įvykdymo užtikrinimo būdas (pildoma tik pasirinkus)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0DFB8" w14:textId="77777777" w:rsidR="00817D3E" w:rsidRDefault="00817D3E">
            <w:pPr>
              <w:pStyle w:val="Other"/>
              <w:tabs>
                <w:tab w:val="left" w:pos="1829"/>
                <w:tab w:val="left" w:pos="3130"/>
                <w:tab w:val="left" w:pos="4205"/>
              </w:tabs>
              <w:jc w:val="both"/>
              <w:rPr>
                <w:i w:val="0"/>
                <w:iCs w:val="0"/>
                <w:lang w:val="lt-LT"/>
              </w:rPr>
            </w:pPr>
          </w:p>
        </w:tc>
      </w:tr>
      <w:tr w:rsidR="00817D3E" w14:paraId="257011B9"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1176" w14:textId="77777777" w:rsidR="00817D3E" w:rsidRDefault="00066E2B">
            <w:pPr>
              <w:pStyle w:val="Standard"/>
              <w:rPr>
                <w:rFonts w:hint="eastAsia"/>
              </w:rPr>
            </w:pPr>
            <w:r>
              <w:rPr>
                <w:rFonts w:ascii="Times New Roman" w:hAnsi="Times New Roman" w:cs="Times New Roman"/>
                <w:lang w:val="lt-LT"/>
              </w:rPr>
              <w:t>8.3. Sutarties įvykdymo užtikrinimo pateikimo terminas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A392" w14:textId="77777777" w:rsidR="00817D3E" w:rsidRDefault="00817D3E">
            <w:pPr>
              <w:pStyle w:val="Other"/>
              <w:tabs>
                <w:tab w:val="left" w:pos="1829"/>
                <w:tab w:val="left" w:pos="3130"/>
                <w:tab w:val="left" w:pos="4205"/>
              </w:tabs>
              <w:jc w:val="both"/>
              <w:rPr>
                <w:lang w:val="lt-LT"/>
              </w:rPr>
            </w:pPr>
          </w:p>
        </w:tc>
      </w:tr>
      <w:tr w:rsidR="00817D3E" w14:paraId="6878E32B"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4BF72" w14:textId="77777777" w:rsidR="00817D3E" w:rsidRDefault="00066E2B">
            <w:pPr>
              <w:pStyle w:val="Standard"/>
              <w:rPr>
                <w:rFonts w:hint="eastAsia"/>
              </w:rPr>
            </w:pPr>
            <w:r>
              <w:rPr>
                <w:rFonts w:ascii="Times New Roman" w:hAnsi="Times New Roman" w:cs="Times New Roman"/>
                <w:lang w:val="lt-LT"/>
              </w:rPr>
              <w:t>8.4. Sutarties įvykdymo užtikrinimo vertės dydis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15F11" w14:textId="77777777" w:rsidR="00817D3E" w:rsidRDefault="00817D3E">
            <w:pPr>
              <w:pStyle w:val="Other"/>
              <w:tabs>
                <w:tab w:val="left" w:pos="1829"/>
                <w:tab w:val="left" w:pos="3130"/>
                <w:tab w:val="left" w:pos="4205"/>
              </w:tabs>
              <w:jc w:val="both"/>
              <w:rPr>
                <w:i w:val="0"/>
                <w:iCs w:val="0"/>
                <w:lang w:val="lt-LT"/>
              </w:rPr>
            </w:pPr>
          </w:p>
        </w:tc>
      </w:tr>
      <w:tr w:rsidR="00817D3E" w14:paraId="7553318A" w14:textId="77777777">
        <w:trPr>
          <w:trHeight w:val="300"/>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DA37" w14:textId="77777777" w:rsidR="00817D3E" w:rsidRDefault="00066E2B">
            <w:pPr>
              <w:pStyle w:val="Heading1"/>
              <w:spacing w:before="0" w:after="0"/>
            </w:pPr>
            <w:r>
              <w:rPr>
                <w:rStyle w:val="Other0"/>
                <w:rFonts w:eastAsia="NSimSun"/>
                <w:b/>
                <w:bCs/>
                <w:i w:val="0"/>
                <w:iCs w:val="0"/>
                <w:sz w:val="24"/>
                <w:szCs w:val="24"/>
                <w:lang w:val="lt-LT"/>
              </w:rPr>
              <w:lastRenderedPageBreak/>
              <w:t>APLINKOSAUGINIAI IR SOCIALINIAI KRITERIJAI</w:t>
            </w:r>
          </w:p>
        </w:tc>
      </w:tr>
      <w:tr w:rsidR="00817D3E" w14:paraId="321230C0"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78DE" w14:textId="77777777" w:rsidR="00817D3E" w:rsidRDefault="00066E2B">
            <w:pPr>
              <w:pStyle w:val="Other"/>
              <w:tabs>
                <w:tab w:val="left" w:pos="1829"/>
                <w:tab w:val="left" w:pos="3130"/>
                <w:tab w:val="left" w:pos="4205"/>
              </w:tabs>
            </w:pPr>
            <w:r>
              <w:rPr>
                <w:rStyle w:val="Other0"/>
                <w:lang w:val="lt-LT"/>
              </w:rPr>
              <w:t>9.1. Aplinkosauginių kriterijų nustatymo teisinis pagrindas</w:t>
            </w:r>
          </w:p>
          <w:p w14:paraId="0E4993B9" w14:textId="77777777" w:rsidR="00817D3E" w:rsidRDefault="00817D3E">
            <w:pPr>
              <w:pStyle w:val="Standard"/>
              <w:rPr>
                <w:rFonts w:ascii="Times New Roman" w:hAnsi="Times New Roman" w:cs="Times New Roman"/>
                <w:lang w:val="lt-LT"/>
              </w:rPr>
            </w:pP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4E717" w14:textId="77777777" w:rsidR="00817D3E" w:rsidRDefault="00066E2B">
            <w:pPr>
              <w:pStyle w:val="Other"/>
              <w:tabs>
                <w:tab w:val="left" w:pos="1829"/>
                <w:tab w:val="left" w:pos="3130"/>
                <w:tab w:val="left" w:pos="4205"/>
              </w:tabs>
              <w:jc w:val="both"/>
            </w:pPr>
            <w:r>
              <w:rPr>
                <w:i w:val="0"/>
                <w:iCs w:val="0"/>
                <w:shd w:val="clear" w:color="auto" w:fill="FFFFFF"/>
                <w:lang w:val="lt-LT"/>
              </w:rPr>
              <w:t xml:space="preserve">Aplinkosauginiai kriterijai nustatomi vadovaujantis </w:t>
            </w:r>
            <w:r>
              <w:rPr>
                <w:i w:val="0"/>
                <w:iCs w:val="0"/>
                <w:lang w:val="lt-LT"/>
              </w:rPr>
              <w:t>Aplinkos apsaugos kriterijų taikymo, vykdant žaliuosius pirkimus, tvarkos aprašo, patvirtinto 2011 m. birželio 28 d. įsakymu D1-508</w:t>
            </w:r>
            <w:r>
              <w:rPr>
                <w:i w:val="0"/>
                <w:iCs w:val="0"/>
                <w:shd w:val="clear" w:color="auto" w:fill="FFFFFF"/>
                <w:lang w:val="lt-LT"/>
              </w:rPr>
              <w:t xml:space="preserve"> „Dėl Aplinkos apsaugos kriterijų taikymo, vykdant žaliuosius pirkimus, tvarkos aprašo patvirtinimo“ (toliau – Tvarkos aprašas).</w:t>
            </w:r>
          </w:p>
        </w:tc>
      </w:tr>
      <w:tr w:rsidR="00817D3E" w14:paraId="463A6E37"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15F4" w14:textId="77777777" w:rsidR="00817D3E" w:rsidRDefault="00066E2B">
            <w:pPr>
              <w:pStyle w:val="Other"/>
              <w:tabs>
                <w:tab w:val="left" w:pos="1829"/>
                <w:tab w:val="left" w:pos="3130"/>
                <w:tab w:val="left" w:pos="4205"/>
              </w:tabs>
            </w:pPr>
            <w:r>
              <w:rPr>
                <w:rStyle w:val="Other0"/>
                <w:lang w:val="lt-LT"/>
              </w:rPr>
              <w:t>9.2. Su Paslaugomis / jų teikimu susiję aplinkosauginiai reikalavimai</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57BA3" w14:textId="6FE50D3A" w:rsidR="002E797B" w:rsidRPr="00BA359A" w:rsidRDefault="002E797B" w:rsidP="002E797B">
            <w:pPr>
              <w:pStyle w:val="ListParagraph"/>
              <w:tabs>
                <w:tab w:val="left" w:pos="1276"/>
              </w:tabs>
              <w:suppressAutoHyphens w:val="0"/>
              <w:autoSpaceDN/>
              <w:spacing w:after="0"/>
              <w:ind w:left="0"/>
              <w:contextualSpacing/>
              <w:jc w:val="both"/>
              <w:textAlignment w:val="auto"/>
              <w:rPr>
                <w:rFonts w:ascii="Times New Roman" w:hAnsi="Times New Roman" w:cs="Times New Roman"/>
              </w:rPr>
            </w:pPr>
            <w:proofErr w:type="spellStart"/>
            <w:r>
              <w:rPr>
                <w:rFonts w:ascii="Times New Roman" w:hAnsi="Times New Roman" w:cs="Times New Roman"/>
              </w:rPr>
              <w:t>Taikomi</w:t>
            </w:r>
            <w:proofErr w:type="spellEnd"/>
            <w:r>
              <w:rPr>
                <w:rFonts w:ascii="Times New Roman" w:hAnsi="Times New Roman" w:cs="Times New Roman"/>
              </w:rPr>
              <w:t xml:space="preserve"> </w:t>
            </w:r>
            <w:proofErr w:type="spellStart"/>
            <w:r>
              <w:rPr>
                <w:rFonts w:ascii="Times New Roman" w:hAnsi="Times New Roman" w:cs="Times New Roman"/>
              </w:rPr>
              <w:t>a</w:t>
            </w:r>
            <w:r w:rsidRPr="00BA359A">
              <w:rPr>
                <w:rFonts w:ascii="Times New Roman" w:hAnsi="Times New Roman" w:cs="Times New Roman"/>
              </w:rPr>
              <w:t>plinkosauginiai</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reikalavimai</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nustatomi</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vadovaujantis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Aplinkos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apsaugos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kriterijų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taikymo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vykdant</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žaliuosius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pirkimus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tvarkos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aprašo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patvirtinto</w:t>
            </w:r>
            <w:proofErr w:type="spellEnd"/>
            <w:r w:rsidRPr="00BA359A">
              <w:rPr>
                <w:rFonts w:ascii="Times New Roman" w:hAnsi="Times New Roman" w:cs="Times New Roman"/>
              </w:rPr>
              <w:t xml:space="preserve"> LR </w:t>
            </w:r>
            <w:proofErr w:type="spellStart"/>
            <w:r w:rsidRPr="00BA359A">
              <w:rPr>
                <w:rFonts w:ascii="Times New Roman" w:hAnsi="Times New Roman" w:cs="Times New Roman"/>
              </w:rPr>
              <w:t>aplinkos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ministro</w:t>
            </w:r>
            <w:proofErr w:type="spellEnd"/>
            <w:r w:rsidRPr="00BA359A">
              <w:rPr>
                <w:rFonts w:ascii="Times New Roman" w:hAnsi="Times New Roman" w:cs="Times New Roman"/>
              </w:rPr>
              <w:t xml:space="preserve"> 2011 m. </w:t>
            </w:r>
            <w:proofErr w:type="spellStart"/>
            <w:r w:rsidRPr="00BA359A">
              <w:rPr>
                <w:rFonts w:ascii="Times New Roman" w:hAnsi="Times New Roman" w:cs="Times New Roman"/>
              </w:rPr>
              <w:t>birželio</w:t>
            </w:r>
            <w:proofErr w:type="spellEnd"/>
            <w:r w:rsidRPr="00BA359A">
              <w:rPr>
                <w:rFonts w:ascii="Times New Roman" w:hAnsi="Times New Roman" w:cs="Times New Roman"/>
              </w:rPr>
              <w:t xml:space="preserve"> 28 d. </w:t>
            </w:r>
            <w:proofErr w:type="spellStart"/>
            <w:r w:rsidRPr="00BA359A">
              <w:rPr>
                <w:rFonts w:ascii="Times New Roman" w:hAnsi="Times New Roman" w:cs="Times New Roman"/>
              </w:rPr>
              <w:t>įsakymu</w:t>
            </w:r>
            <w:proofErr w:type="spellEnd"/>
            <w:r w:rsidRPr="00BA359A">
              <w:rPr>
                <w:rFonts w:ascii="Times New Roman" w:hAnsi="Times New Roman" w:cs="Times New Roman"/>
              </w:rPr>
              <w:t xml:space="preserve"> D1-508 „</w:t>
            </w:r>
            <w:proofErr w:type="spellStart"/>
            <w:r w:rsidRPr="00BA359A">
              <w:rPr>
                <w:rFonts w:ascii="Times New Roman" w:hAnsi="Times New Roman" w:cs="Times New Roman"/>
              </w:rPr>
              <w:t>Dėl</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Aplinkos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apsaugos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kriterijų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taikymo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vykdant</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žaliuosius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pirkimus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tvarkos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aprašo</w:t>
            </w:r>
            <w:proofErr w:type="spellEnd"/>
            <w:r w:rsidRPr="00BA359A">
              <w:rPr>
                <w:rFonts w:ascii="Times New Roman" w:hAnsi="Times New Roman" w:cs="Times New Roman"/>
              </w:rPr>
              <w:t xml:space="preserve"> </w:t>
            </w:r>
            <w:proofErr w:type="spellStart"/>
            <w:proofErr w:type="gramStart"/>
            <w:r w:rsidRPr="00BA359A">
              <w:rPr>
                <w:rFonts w:ascii="Times New Roman" w:hAnsi="Times New Roman" w:cs="Times New Roman"/>
              </w:rPr>
              <w:t>patvirtinimo</w:t>
            </w:r>
            <w:proofErr w:type="spellEnd"/>
            <w:r w:rsidRPr="00BA359A">
              <w:rPr>
                <w:rFonts w:ascii="Times New Roman" w:hAnsi="Times New Roman" w:cs="Times New Roman"/>
              </w:rPr>
              <w:t>“ (</w:t>
            </w:r>
            <w:proofErr w:type="spellStart"/>
            <w:proofErr w:type="gramEnd"/>
            <w:r w:rsidRPr="00BA359A">
              <w:rPr>
                <w:rFonts w:ascii="Times New Roman" w:hAnsi="Times New Roman" w:cs="Times New Roman"/>
              </w:rPr>
              <w:t>toliau</w:t>
            </w:r>
            <w:proofErr w:type="spellEnd"/>
            <w:r w:rsidRPr="00BA359A">
              <w:rPr>
                <w:rFonts w:ascii="Times New Roman" w:hAnsi="Times New Roman" w:cs="Times New Roman"/>
              </w:rPr>
              <w:t xml:space="preserve"> – </w:t>
            </w:r>
            <w:proofErr w:type="spellStart"/>
            <w:r w:rsidRPr="00BA359A">
              <w:rPr>
                <w:rFonts w:ascii="Times New Roman" w:hAnsi="Times New Roman" w:cs="Times New Roman"/>
              </w:rPr>
              <w:t>Tvarkos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aprašas</w:t>
            </w:r>
            <w:proofErr w:type="spellEnd"/>
            <w:r w:rsidRPr="00BA359A">
              <w:rPr>
                <w:rFonts w:ascii="Times New Roman" w:hAnsi="Times New Roman" w:cs="Times New Roman"/>
              </w:rPr>
              <w:t xml:space="preserve">) 4.4.3 ir 4.4.4.1 </w:t>
            </w:r>
            <w:proofErr w:type="spellStart"/>
            <w:r w:rsidRPr="00BA359A">
              <w:rPr>
                <w:rFonts w:ascii="Times New Roman" w:hAnsi="Times New Roman" w:cs="Times New Roman"/>
              </w:rPr>
              <w:t>papunkčiais</w:t>
            </w:r>
            <w:proofErr w:type="spellEnd"/>
            <w:r w:rsidRPr="00BA359A">
              <w:rPr>
                <w:rFonts w:ascii="Times New Roman" w:hAnsi="Times New Roman" w:cs="Times New Roman"/>
              </w:rPr>
              <w:t>:</w:t>
            </w:r>
          </w:p>
          <w:p w14:paraId="03750A83" w14:textId="65A6337E" w:rsidR="002E797B" w:rsidRPr="00BA359A" w:rsidRDefault="002E797B" w:rsidP="002E797B">
            <w:pPr>
              <w:pStyle w:val="ListParagraph"/>
              <w:numPr>
                <w:ilvl w:val="2"/>
                <w:numId w:val="3"/>
              </w:numPr>
              <w:tabs>
                <w:tab w:val="left" w:pos="241"/>
                <w:tab w:val="left" w:pos="1276"/>
                <w:tab w:val="left" w:pos="1710"/>
              </w:tabs>
              <w:suppressAutoHyphens w:val="0"/>
              <w:autoSpaceDN/>
              <w:spacing w:after="0"/>
              <w:ind w:left="0" w:firstLine="0"/>
              <w:contextualSpacing/>
              <w:jc w:val="both"/>
              <w:textAlignment w:val="auto"/>
              <w:rPr>
                <w:rFonts w:ascii="Times New Roman" w:hAnsi="Times New Roman" w:cs="Times New Roman"/>
              </w:rPr>
            </w:pPr>
            <w:proofErr w:type="spellStart"/>
            <w:r w:rsidRPr="00BA359A">
              <w:rPr>
                <w:rFonts w:ascii="Times New Roman" w:hAnsi="Times New Roman" w:cs="Times New Roman"/>
              </w:rPr>
              <w:t>pirkimo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objektas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tenkina</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Tvarko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aprašo</w:t>
            </w:r>
            <w:proofErr w:type="spellEnd"/>
            <w:r w:rsidRPr="00BA359A">
              <w:rPr>
                <w:rFonts w:ascii="Times New Roman" w:hAnsi="Times New Roman" w:cs="Times New Roman"/>
              </w:rPr>
              <w:t xml:space="preserve"> 4.4.3 </w:t>
            </w:r>
            <w:proofErr w:type="spellStart"/>
            <w:r w:rsidRPr="00BA359A">
              <w:rPr>
                <w:rFonts w:ascii="Times New Roman" w:hAnsi="Times New Roman" w:cs="Times New Roman"/>
              </w:rPr>
              <w:t>papunktyje</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nustatytą</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sąlygą</w:t>
            </w:r>
            <w:proofErr w:type="spellEnd"/>
            <w:r w:rsidRPr="00BA359A">
              <w:rPr>
                <w:rFonts w:ascii="Times New Roman" w:hAnsi="Times New Roman" w:cs="Times New Roman"/>
              </w:rPr>
              <w:t xml:space="preserve">, t. y. </w:t>
            </w:r>
            <w:proofErr w:type="spellStart"/>
            <w:r w:rsidRPr="00BA359A">
              <w:rPr>
                <w:rFonts w:ascii="Times New Roman" w:hAnsi="Times New Roman" w:cs="Times New Roman"/>
              </w:rPr>
              <w:t>perkama</w:t>
            </w:r>
            <w:proofErr w:type="spellEnd"/>
            <w:r w:rsidRPr="00BA359A">
              <w:rPr>
                <w:rFonts w:ascii="Times New Roman" w:hAnsi="Times New Roman" w:cs="Times New Roman"/>
              </w:rPr>
              <w:t xml:space="preserve"> tik </w:t>
            </w:r>
            <w:proofErr w:type="spellStart"/>
            <w:r w:rsidRPr="00BA359A">
              <w:rPr>
                <w:rFonts w:ascii="Times New Roman" w:hAnsi="Times New Roman" w:cs="Times New Roman"/>
              </w:rPr>
              <w:t>nematerialaus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pobūdžio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intelektinė</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ar</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kitokia</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paslauga</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nesusijusi</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su</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materialaus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objekto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sukūrimu</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kurios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teikimo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metu</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nėra</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numatomas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reikšmingas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neigiamas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poveikis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aplinkai</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nesukuriamas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taršos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šaltinis</w:t>
            </w:r>
            <w:proofErr w:type="spellEnd"/>
            <w:r w:rsidRPr="00BA359A">
              <w:rPr>
                <w:rFonts w:ascii="Times New Roman" w:hAnsi="Times New Roman" w:cs="Times New Roman"/>
              </w:rPr>
              <w:t xml:space="preserve"> ir </w:t>
            </w:r>
            <w:proofErr w:type="spellStart"/>
            <w:r w:rsidRPr="00BA359A">
              <w:rPr>
                <w:rFonts w:ascii="Times New Roman" w:hAnsi="Times New Roman" w:cs="Times New Roman"/>
              </w:rPr>
              <w:t>negeneruojamos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atliekos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pvz</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atlikėjų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fotografų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dizaino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garso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inžinierių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vaizdo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inžinierių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renginių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vedėjų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vertėjų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tekstų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rengėjų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paslaugos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mokymų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socialinių</w:t>
            </w:r>
            <w:proofErr w:type="spellEnd"/>
            <w:r w:rsidRPr="00BA359A">
              <w:rPr>
                <w:rFonts w:ascii="Times New Roman" w:hAnsi="Times New Roman" w:cs="Times New Roman"/>
              </w:rPr>
              <w:t xml:space="preserve"> ir </w:t>
            </w:r>
            <w:proofErr w:type="spellStart"/>
            <w:r w:rsidRPr="00BA359A">
              <w:rPr>
                <w:rFonts w:ascii="Times New Roman" w:hAnsi="Times New Roman" w:cs="Times New Roman"/>
              </w:rPr>
              <w:t>mokslinių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tyrimų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studijų</w:t>
            </w:r>
            <w:proofErr w:type="spellEnd"/>
            <w:r w:rsidRPr="00BA359A">
              <w:rPr>
                <w:rFonts w:ascii="Times New Roman" w:hAnsi="Times New Roman" w:cs="Times New Roman"/>
              </w:rPr>
              <w:t xml:space="preserve"> ir </w:t>
            </w:r>
            <w:proofErr w:type="spellStart"/>
            <w:r w:rsidRPr="00BA359A">
              <w:rPr>
                <w:rFonts w:ascii="Times New Roman" w:hAnsi="Times New Roman" w:cs="Times New Roman"/>
              </w:rPr>
              <w:t>koncepcijų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parengimo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paslaugos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rinkodaros</w:t>
            </w:r>
            <w:proofErr w:type="spellEnd"/>
            <w:r w:rsidRPr="00BA359A">
              <w:rPr>
                <w:rFonts w:ascii="Times New Roman" w:hAnsi="Times New Roman" w:cs="Times New Roman"/>
              </w:rPr>
              <w:t xml:space="preserve"> ir </w:t>
            </w:r>
            <w:proofErr w:type="spellStart"/>
            <w:r w:rsidRPr="00BA359A">
              <w:rPr>
                <w:rFonts w:ascii="Times New Roman" w:hAnsi="Times New Roman" w:cs="Times New Roman"/>
              </w:rPr>
              <w:t>viešinimo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strategijų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skaitmeninės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reklamos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publikacijų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paruošimo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paslaugos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programavimo</w:t>
            </w:r>
            <w:proofErr w:type="spellEnd"/>
            <w:r w:rsidRPr="00BA359A">
              <w:rPr>
                <w:rFonts w:ascii="Times New Roman" w:hAnsi="Times New Roman" w:cs="Times New Roman"/>
              </w:rPr>
              <w:t xml:space="preserve"> ir </w:t>
            </w:r>
            <w:proofErr w:type="spellStart"/>
            <w:r w:rsidRPr="00BA359A">
              <w:rPr>
                <w:rFonts w:ascii="Times New Roman" w:hAnsi="Times New Roman" w:cs="Times New Roman"/>
              </w:rPr>
              <w:t>informacinių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sistemų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palaikymo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paslaugos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audito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draudimo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teisinės</w:t>
            </w:r>
            <w:proofErr w:type="spellEnd"/>
            <w:r w:rsidRPr="00BA359A">
              <w:rPr>
                <w:rFonts w:ascii="Times New Roman" w:hAnsi="Times New Roman" w:cs="Times New Roman"/>
              </w:rPr>
              <w:t xml:space="preserve"> ir </w:t>
            </w:r>
            <w:proofErr w:type="spellStart"/>
            <w:r w:rsidRPr="00BA359A">
              <w:rPr>
                <w:rFonts w:ascii="Times New Roman" w:hAnsi="Times New Roman" w:cs="Times New Roman"/>
              </w:rPr>
              <w:t>konsultantų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teikiamos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paslaugos</w:t>
            </w:r>
            <w:proofErr w:type="spellEnd"/>
            <w:r w:rsidRPr="00BA359A">
              <w:rPr>
                <w:rFonts w:ascii="Times New Roman" w:hAnsi="Times New Roman" w:cs="Times New Roman"/>
              </w:rPr>
              <w:t xml:space="preserve"> ir </w:t>
            </w:r>
            <w:proofErr w:type="spellStart"/>
            <w:r w:rsidRPr="00BA359A">
              <w:rPr>
                <w:rFonts w:ascii="Times New Roman" w:hAnsi="Times New Roman" w:cs="Times New Roman"/>
              </w:rPr>
              <w:t>kitos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paslaugos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arba</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perkama</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prekė</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programinė</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įranga</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programinės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įrangos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nuoma</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licencijos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elektroniniai</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leidiniai</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ar</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elektroninės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knygos</w:t>
            </w:r>
            <w:proofErr w:type="spellEnd"/>
            <w:r w:rsidRPr="00BA359A">
              <w:rPr>
                <w:rFonts w:ascii="Times New Roman" w:hAnsi="Times New Roman" w:cs="Times New Roman"/>
              </w:rPr>
              <w:t>;</w:t>
            </w:r>
          </w:p>
          <w:p w14:paraId="3C210574" w14:textId="77777777" w:rsidR="002E797B" w:rsidRPr="00BA359A" w:rsidRDefault="002E797B" w:rsidP="002E797B">
            <w:pPr>
              <w:pStyle w:val="ListParagraph"/>
              <w:numPr>
                <w:ilvl w:val="2"/>
                <w:numId w:val="3"/>
              </w:numPr>
              <w:tabs>
                <w:tab w:val="left" w:pos="241"/>
                <w:tab w:val="left" w:pos="1276"/>
              </w:tabs>
              <w:suppressAutoHyphens w:val="0"/>
              <w:autoSpaceDN/>
              <w:spacing w:after="0"/>
              <w:ind w:left="0" w:right="8" w:firstLine="0"/>
              <w:contextualSpacing/>
              <w:jc w:val="both"/>
              <w:textAlignment w:val="auto"/>
              <w:rPr>
                <w:rFonts w:ascii="Times New Roman" w:eastAsia="Calibri" w:hAnsi="Times New Roman" w:cs="Times New Roman"/>
              </w:rPr>
            </w:pPr>
            <w:r w:rsidRPr="00BA359A">
              <w:rPr>
                <w:rFonts w:ascii="Times New Roman" w:hAnsi="Times New Roman" w:cs="Times New Roman"/>
              </w:rPr>
              <w:t xml:space="preserve"> </w:t>
            </w:r>
            <w:proofErr w:type="spellStart"/>
            <w:r w:rsidRPr="00BA359A">
              <w:rPr>
                <w:rFonts w:ascii="Times New Roman" w:hAnsi="Times New Roman" w:cs="Times New Roman"/>
              </w:rPr>
              <w:t>siekiant</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kad</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teikiant</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paslaugas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būtų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sunaudojama</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mažiau</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gamtos</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išteklių</w:t>
            </w:r>
            <w:proofErr w:type="spellEnd"/>
            <w:r w:rsidRPr="00BA359A">
              <w:rPr>
                <w:rFonts w:ascii="Times New Roman" w:hAnsi="Times New Roman" w:cs="Times New Roman"/>
              </w:rPr>
              <w:t xml:space="preserve"> ir </w:t>
            </w:r>
            <w:proofErr w:type="spellStart"/>
            <w:r w:rsidRPr="00BA359A">
              <w:rPr>
                <w:rFonts w:ascii="Times New Roman" w:hAnsi="Times New Roman" w:cs="Times New Roman"/>
              </w:rPr>
              <w:t>taip</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būtų</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laikomasi</w:t>
            </w:r>
            <w:proofErr w:type="spellEnd"/>
            <w:r w:rsidRPr="00BA359A">
              <w:rPr>
                <w:rFonts w:ascii="Times New Roman" w:hAnsi="Times New Roman" w:cs="Times New Roman"/>
              </w:rPr>
              <w:t xml:space="preserve"> </w:t>
            </w:r>
            <w:proofErr w:type="spellStart"/>
            <w:r w:rsidRPr="00BA359A">
              <w:rPr>
                <w:rFonts w:ascii="Times New Roman" w:eastAsia="Calibri" w:hAnsi="Times New Roman" w:cs="Times New Roman"/>
              </w:rPr>
              <w:t>Tvarkos</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aprašo</w:t>
            </w:r>
            <w:proofErr w:type="spellEnd"/>
            <w:r w:rsidRPr="00BA359A">
              <w:rPr>
                <w:rFonts w:ascii="Times New Roman" w:eastAsia="Calibri" w:hAnsi="Times New Roman" w:cs="Times New Roman"/>
              </w:rPr>
              <w:t xml:space="preserve"> </w:t>
            </w:r>
            <w:r w:rsidRPr="00BA359A">
              <w:rPr>
                <w:rFonts w:ascii="Times New Roman" w:hAnsi="Times New Roman" w:cs="Times New Roman"/>
              </w:rPr>
              <w:t xml:space="preserve">4.4.4.1 </w:t>
            </w:r>
            <w:proofErr w:type="spellStart"/>
            <w:r w:rsidRPr="00BA359A">
              <w:rPr>
                <w:rFonts w:ascii="Times New Roman" w:hAnsi="Times New Roman" w:cs="Times New Roman"/>
              </w:rPr>
              <w:t>papunktyje</w:t>
            </w:r>
            <w:proofErr w:type="spellEnd"/>
            <w:r w:rsidRPr="00BA359A">
              <w:rPr>
                <w:rStyle w:val="FootnoteReference"/>
                <w:rFonts w:ascii="Times New Roman" w:hAnsi="Times New Roman" w:cs="Times New Roman"/>
              </w:rPr>
              <w:footnoteReference w:id="2"/>
            </w:r>
            <w:r w:rsidRPr="00BA359A">
              <w:rPr>
                <w:rFonts w:ascii="Times New Roman" w:hAnsi="Times New Roman" w:cs="Times New Roman"/>
              </w:rPr>
              <w:t xml:space="preserve"> </w:t>
            </w:r>
            <w:proofErr w:type="spellStart"/>
            <w:r w:rsidRPr="00BA359A">
              <w:rPr>
                <w:rFonts w:ascii="Times New Roman" w:hAnsi="Times New Roman" w:cs="Times New Roman"/>
              </w:rPr>
              <w:t>nustatyto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aplinkosauginio</w:t>
            </w:r>
            <w:proofErr w:type="spellEnd"/>
            <w:r w:rsidRPr="00BA359A">
              <w:rPr>
                <w:rFonts w:ascii="Times New Roman" w:hAnsi="Times New Roman" w:cs="Times New Roman"/>
              </w:rPr>
              <w:t xml:space="preserve"> </w:t>
            </w:r>
            <w:proofErr w:type="spellStart"/>
            <w:r w:rsidRPr="00BA359A">
              <w:rPr>
                <w:rFonts w:ascii="Times New Roman" w:hAnsi="Times New Roman" w:cs="Times New Roman"/>
              </w:rPr>
              <w:t>principo</w:t>
            </w:r>
            <w:proofErr w:type="spellEnd"/>
            <w:r w:rsidRPr="00BA359A">
              <w:rPr>
                <w:rFonts w:ascii="Times New Roman" w:hAnsi="Times New Roman" w:cs="Times New Roman"/>
              </w:rPr>
              <w:t>,</w:t>
            </w:r>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Paslaugų</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teikimui</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būtina</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spausdinti</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dokumentacija</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turi</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būti</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spausdinama</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ant</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abiejų</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lapo</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pusių</w:t>
            </w:r>
            <w:proofErr w:type="spellEnd"/>
            <w:r w:rsidRPr="00BA359A">
              <w:rPr>
                <w:rFonts w:ascii="Times New Roman" w:eastAsia="Calibri" w:hAnsi="Times New Roman" w:cs="Times New Roman"/>
              </w:rPr>
              <w:t xml:space="preserve">, o </w:t>
            </w:r>
            <w:proofErr w:type="spellStart"/>
            <w:r w:rsidRPr="00BA359A">
              <w:rPr>
                <w:rFonts w:ascii="Times New Roman" w:eastAsia="Calibri" w:hAnsi="Times New Roman" w:cs="Times New Roman"/>
              </w:rPr>
              <w:t>naudojamas</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popierius</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turi</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atitikti</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aplinkos</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apsaugos</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kriterijus</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popieriui</w:t>
            </w:r>
            <w:proofErr w:type="spellEnd"/>
            <w:r w:rsidRPr="00BA359A">
              <w:rPr>
                <w:rFonts w:ascii="Times New Roman" w:eastAsia="Calibri" w:hAnsi="Times New Roman" w:cs="Times New Roman"/>
              </w:rPr>
              <w:t xml:space="preserve"> ir jo </w:t>
            </w:r>
            <w:proofErr w:type="spellStart"/>
            <w:r w:rsidRPr="00BA359A">
              <w:rPr>
                <w:rFonts w:ascii="Times New Roman" w:eastAsia="Calibri" w:hAnsi="Times New Roman" w:cs="Times New Roman"/>
              </w:rPr>
              <w:t>gaminiams</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nustatytus</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Tvarkos</w:t>
            </w:r>
            <w:proofErr w:type="spellEnd"/>
            <w:r w:rsidRPr="00BA359A">
              <w:rPr>
                <w:rFonts w:ascii="Times New Roman" w:eastAsia="Calibri" w:hAnsi="Times New Roman" w:cs="Times New Roman"/>
              </w:rPr>
              <w:t xml:space="preserve"> </w:t>
            </w:r>
            <w:proofErr w:type="spellStart"/>
            <w:r w:rsidRPr="00BA359A">
              <w:rPr>
                <w:rFonts w:ascii="Times New Roman" w:eastAsia="Calibri" w:hAnsi="Times New Roman" w:cs="Times New Roman"/>
              </w:rPr>
              <w:t>aprašo</w:t>
            </w:r>
            <w:proofErr w:type="spellEnd"/>
            <w:r w:rsidRPr="00BA359A">
              <w:rPr>
                <w:rFonts w:ascii="Times New Roman" w:eastAsia="Calibri" w:hAnsi="Times New Roman" w:cs="Times New Roman"/>
              </w:rPr>
              <w:t xml:space="preserve"> 2 </w:t>
            </w:r>
            <w:proofErr w:type="spellStart"/>
            <w:r w:rsidRPr="00BA359A">
              <w:rPr>
                <w:rFonts w:ascii="Times New Roman" w:eastAsia="Calibri" w:hAnsi="Times New Roman" w:cs="Times New Roman"/>
              </w:rPr>
              <w:t>priedo</w:t>
            </w:r>
            <w:proofErr w:type="spellEnd"/>
            <w:r w:rsidRPr="00BA359A">
              <w:rPr>
                <w:rFonts w:ascii="Times New Roman" w:eastAsia="Calibri" w:hAnsi="Times New Roman" w:cs="Times New Roman"/>
              </w:rPr>
              <w:t xml:space="preserve"> 1 </w:t>
            </w:r>
            <w:proofErr w:type="spellStart"/>
            <w:r w:rsidRPr="00BA359A">
              <w:rPr>
                <w:rFonts w:ascii="Times New Roman" w:eastAsia="Calibri" w:hAnsi="Times New Roman" w:cs="Times New Roman"/>
              </w:rPr>
              <w:t>punkte</w:t>
            </w:r>
            <w:proofErr w:type="spellEnd"/>
            <w:r w:rsidRPr="00BA359A">
              <w:rPr>
                <w:rStyle w:val="FootnoteReference"/>
                <w:rFonts w:ascii="Times New Roman" w:eastAsia="Calibri" w:hAnsi="Times New Roman" w:cs="Times New Roman"/>
              </w:rPr>
              <w:footnoteReference w:id="3"/>
            </w:r>
            <w:r w:rsidRPr="00BA359A">
              <w:rPr>
                <w:rFonts w:ascii="Times New Roman" w:eastAsia="Calibri" w:hAnsi="Times New Roman" w:cs="Times New Roman"/>
              </w:rPr>
              <w:t>.</w:t>
            </w:r>
          </w:p>
          <w:p w14:paraId="35883A89" w14:textId="71004703" w:rsidR="00132CB8" w:rsidRDefault="00132CB8">
            <w:pPr>
              <w:pStyle w:val="NoSpacing"/>
              <w:jc w:val="both"/>
              <w:rPr>
                <w:rFonts w:hint="eastAsia"/>
              </w:rPr>
            </w:pPr>
          </w:p>
        </w:tc>
      </w:tr>
      <w:tr w:rsidR="00817D3E" w14:paraId="6AA9B63A" w14:textId="77777777">
        <w:trPr>
          <w:trHeight w:val="300"/>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02A8" w14:textId="77777777" w:rsidR="00817D3E" w:rsidRDefault="00066E2B">
            <w:pPr>
              <w:pStyle w:val="Heading1"/>
              <w:spacing w:before="0" w:after="0"/>
            </w:pPr>
            <w:r>
              <w:rPr>
                <w:rStyle w:val="Other0"/>
                <w:rFonts w:eastAsia="NSimSun"/>
                <w:b/>
                <w:bCs/>
                <w:i w:val="0"/>
                <w:iCs w:val="0"/>
                <w:sz w:val="24"/>
                <w:szCs w:val="24"/>
                <w:lang w:val="lt-LT"/>
              </w:rPr>
              <w:t>KOKYBĖS KRITERIJAI</w:t>
            </w:r>
          </w:p>
        </w:tc>
      </w:tr>
      <w:tr w:rsidR="00817D3E" w14:paraId="02014BE0"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0CF0D" w14:textId="77777777" w:rsidR="00817D3E" w:rsidRDefault="00066E2B">
            <w:pPr>
              <w:pStyle w:val="Other"/>
              <w:tabs>
                <w:tab w:val="left" w:pos="1829"/>
                <w:tab w:val="left" w:pos="3130"/>
                <w:tab w:val="left" w:pos="4205"/>
              </w:tabs>
            </w:pPr>
            <w:r>
              <w:rPr>
                <w:rStyle w:val="Other0"/>
                <w:lang w:val="lt-LT"/>
              </w:rPr>
              <w:t>10.1. Pirkimo dokumentuose nustatyti ir Tiekėjui taikyti kokybės kriterijai</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E27C" w14:textId="77777777" w:rsidR="00817D3E" w:rsidRDefault="00066E2B">
            <w:pPr>
              <w:pStyle w:val="Other"/>
              <w:tabs>
                <w:tab w:val="left" w:pos="1829"/>
                <w:tab w:val="left" w:pos="3130"/>
                <w:tab w:val="left" w:pos="4205"/>
              </w:tabs>
              <w:jc w:val="both"/>
            </w:pPr>
            <w:r>
              <w:rPr>
                <w:rStyle w:val="Other0"/>
                <w:lang w:val="lt-LT"/>
              </w:rPr>
              <w:t>Detalesnė informacija pateikiama:</w:t>
            </w:r>
          </w:p>
          <w:p w14:paraId="21A4BB2A" w14:textId="77777777" w:rsidR="00817D3E" w:rsidRDefault="00066E2B">
            <w:pPr>
              <w:pStyle w:val="Other"/>
              <w:tabs>
                <w:tab w:val="left" w:pos="1829"/>
                <w:tab w:val="left" w:pos="3130"/>
                <w:tab w:val="left" w:pos="4205"/>
              </w:tabs>
              <w:jc w:val="both"/>
            </w:pPr>
            <w:r>
              <w:rPr>
                <w:rStyle w:val="Other0"/>
                <w:lang w:val="lt-LT"/>
              </w:rPr>
              <w:t xml:space="preserve">Priede Nr.3 </w:t>
            </w:r>
            <w:r>
              <w:rPr>
                <w:i w:val="0"/>
                <w:lang w:val="lt-LT"/>
              </w:rPr>
              <w:t>Tiekėjų kvalifikacijos reikalavimai</w:t>
            </w:r>
          </w:p>
          <w:p w14:paraId="47AD0782" w14:textId="77777777" w:rsidR="00817D3E" w:rsidRDefault="00066E2B">
            <w:pPr>
              <w:pStyle w:val="Standard"/>
              <w:rPr>
                <w:rFonts w:hint="eastAsia"/>
              </w:rPr>
            </w:pPr>
            <w:r>
              <w:rPr>
                <w:rStyle w:val="Other0"/>
                <w:rFonts w:eastAsia="NSimSun"/>
                <w:i w:val="0"/>
                <w:iCs w:val="0"/>
                <w:lang w:val="lt-LT"/>
              </w:rPr>
              <w:t>Priede Nr.4</w:t>
            </w:r>
            <w:r>
              <w:rPr>
                <w:rStyle w:val="Other0"/>
                <w:rFonts w:eastAsia="NSimSun"/>
                <w:lang w:val="lt-LT"/>
              </w:rPr>
              <w:t xml:space="preserve"> </w:t>
            </w:r>
            <w:r>
              <w:rPr>
                <w:rFonts w:ascii="Times New Roman" w:hAnsi="Times New Roman" w:cs="Times New Roman"/>
                <w:lang w:val="lt-LT"/>
              </w:rPr>
              <w:t>Pasiūlymų vertinimo kriterijai ir sąlygos</w:t>
            </w:r>
          </w:p>
          <w:p w14:paraId="5405EA7B" w14:textId="77777777" w:rsidR="00817D3E" w:rsidRDefault="00817D3E">
            <w:pPr>
              <w:pStyle w:val="Other"/>
              <w:tabs>
                <w:tab w:val="left" w:pos="1829"/>
                <w:tab w:val="left" w:pos="3130"/>
                <w:tab w:val="left" w:pos="4205"/>
              </w:tabs>
              <w:jc w:val="both"/>
              <w:rPr>
                <w:lang w:val="lt-LT"/>
              </w:rPr>
            </w:pPr>
          </w:p>
        </w:tc>
      </w:tr>
      <w:tr w:rsidR="00817D3E" w14:paraId="20342AA0"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8607" w14:textId="77777777" w:rsidR="00817D3E" w:rsidRDefault="00066E2B">
            <w:pPr>
              <w:pStyle w:val="Other"/>
              <w:tabs>
                <w:tab w:val="left" w:pos="1829"/>
                <w:tab w:val="left" w:pos="3130"/>
                <w:tab w:val="left" w:pos="4205"/>
              </w:tabs>
            </w:pPr>
            <w:r>
              <w:rPr>
                <w:rStyle w:val="Other0"/>
                <w:lang w:val="lt-LT"/>
              </w:rPr>
              <w:lastRenderedPageBreak/>
              <w:t>10.2. Kokybės kriterijų įgyvendinimas</w:t>
            </w:r>
          </w:p>
        </w:tc>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701E" w14:textId="77777777" w:rsidR="00817D3E" w:rsidRDefault="00066E2B">
            <w:pPr>
              <w:pStyle w:val="Other"/>
              <w:tabs>
                <w:tab w:val="left" w:pos="1829"/>
                <w:tab w:val="left" w:pos="3130"/>
                <w:tab w:val="left" w:pos="4205"/>
              </w:tabs>
              <w:jc w:val="both"/>
            </w:pPr>
            <w:r>
              <w:rPr>
                <w:i w:val="0"/>
                <w:iCs w:val="0"/>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23C1ADC" w14:textId="77777777" w:rsidR="00817D3E" w:rsidRDefault="00817D3E">
            <w:pPr>
              <w:pStyle w:val="Other"/>
              <w:tabs>
                <w:tab w:val="left" w:pos="1829"/>
                <w:tab w:val="left" w:pos="3130"/>
                <w:tab w:val="left" w:pos="4205"/>
              </w:tabs>
              <w:jc w:val="both"/>
              <w:rPr>
                <w:i w:val="0"/>
                <w:iCs w:val="0"/>
                <w:lang w:val="lt-LT"/>
              </w:rPr>
            </w:pPr>
          </w:p>
          <w:p w14:paraId="66DF5105" w14:textId="77777777" w:rsidR="00817D3E" w:rsidRDefault="00066E2B">
            <w:pPr>
              <w:pStyle w:val="Other"/>
              <w:tabs>
                <w:tab w:val="left" w:pos="1829"/>
                <w:tab w:val="left" w:pos="3130"/>
                <w:tab w:val="left" w:pos="4205"/>
              </w:tabs>
              <w:jc w:val="both"/>
            </w:pPr>
            <w:r w:rsidRPr="002E797B">
              <w:rPr>
                <w:i w:val="0"/>
                <w:iCs w:val="0"/>
                <w:lang w:val="lt-LT"/>
              </w:rPr>
              <w:t>Tiekėjui, nevykdančiam Pirkimo dokumentuose ir šiose Specialiosiose sąlygose numatytų kokybės kriterijų ar jų nepasiekus, gali būti taikoma Specialiųjų sąlygų 12.7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14.2.3 punktą.</w:t>
            </w:r>
            <w:bookmarkStart w:id="0" w:name="_Hlk161154706"/>
            <w:bookmarkEnd w:id="0"/>
          </w:p>
        </w:tc>
      </w:tr>
      <w:tr w:rsidR="00817D3E" w14:paraId="27F2FE36" w14:textId="77777777">
        <w:trPr>
          <w:trHeight w:val="300"/>
          <w:jc w:val="center"/>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EEA1" w14:textId="77777777" w:rsidR="00817D3E" w:rsidRDefault="00066E2B">
            <w:pPr>
              <w:pStyle w:val="Heading1"/>
              <w:spacing w:before="0" w:after="0"/>
            </w:pPr>
            <w:r>
              <w:rPr>
                <w:rStyle w:val="Other0"/>
                <w:rFonts w:eastAsia="NSimSun"/>
                <w:b/>
                <w:bCs/>
                <w:i w:val="0"/>
                <w:iCs w:val="0"/>
                <w:sz w:val="24"/>
                <w:szCs w:val="24"/>
                <w:lang w:val="lt-LT"/>
              </w:rPr>
              <w:t>ŠALIŲ TEISĖS IR PAREIGOS</w:t>
            </w:r>
          </w:p>
        </w:tc>
        <w:tc>
          <w:tcPr>
            <w:tcW w:w="237" w:type="dxa"/>
            <w:shd w:val="clear" w:color="auto" w:fill="auto"/>
            <w:tcMar>
              <w:top w:w="0" w:type="dxa"/>
              <w:left w:w="108" w:type="dxa"/>
              <w:bottom w:w="0" w:type="dxa"/>
              <w:right w:w="108" w:type="dxa"/>
            </w:tcMar>
          </w:tcPr>
          <w:p w14:paraId="0AF65A4D" w14:textId="77777777" w:rsidR="00817D3E" w:rsidRDefault="00817D3E">
            <w:pPr>
              <w:pStyle w:val="Standard"/>
              <w:rPr>
                <w:rFonts w:hint="eastAsia"/>
                <w:lang w:val="lt-LT"/>
              </w:rPr>
            </w:pPr>
          </w:p>
        </w:tc>
      </w:tr>
      <w:tr w:rsidR="00817D3E" w14:paraId="05A6CC48"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F26F9" w14:textId="77777777" w:rsidR="00817D3E" w:rsidRDefault="00066E2B">
            <w:pPr>
              <w:pStyle w:val="Standard"/>
              <w:rPr>
                <w:rFonts w:hint="eastAsia"/>
              </w:rPr>
            </w:pPr>
            <w:r>
              <w:rPr>
                <w:rFonts w:ascii="Times New Roman" w:hAnsi="Times New Roman" w:cs="Times New Roman"/>
                <w:lang w:val="lt-LT"/>
              </w:rPr>
              <w:t>11.1. Papildomi Pirkėjo įsipareigojimai ir teisės</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F1A0" w14:textId="77777777" w:rsidR="00817D3E" w:rsidRDefault="00066E2B">
            <w:pPr>
              <w:pStyle w:val="Other"/>
              <w:tabs>
                <w:tab w:val="left" w:pos="1829"/>
                <w:tab w:val="left" w:pos="3130"/>
                <w:tab w:val="left" w:pos="4205"/>
              </w:tabs>
              <w:jc w:val="both"/>
            </w:pPr>
            <w:r>
              <w:rPr>
                <w:rStyle w:val="Other0"/>
                <w:lang w:val="lt-LT"/>
              </w:rPr>
              <w:t>Įsipareigoja perduoti mokymuose dalyvaujančių dalyvių sąrašus</w:t>
            </w:r>
          </w:p>
        </w:tc>
        <w:tc>
          <w:tcPr>
            <w:tcW w:w="237" w:type="dxa"/>
            <w:shd w:val="clear" w:color="auto" w:fill="auto"/>
            <w:tcMar>
              <w:top w:w="0" w:type="dxa"/>
              <w:left w:w="108" w:type="dxa"/>
              <w:bottom w:w="0" w:type="dxa"/>
              <w:right w:w="108" w:type="dxa"/>
            </w:tcMar>
          </w:tcPr>
          <w:p w14:paraId="328078CB" w14:textId="77777777" w:rsidR="00817D3E" w:rsidRDefault="00817D3E">
            <w:pPr>
              <w:pStyle w:val="Standard"/>
              <w:rPr>
                <w:rFonts w:hint="eastAsia"/>
                <w:lang w:val="lt-LT"/>
              </w:rPr>
            </w:pPr>
          </w:p>
        </w:tc>
      </w:tr>
      <w:tr w:rsidR="00817D3E" w14:paraId="7359F9A9"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9309" w14:textId="77777777" w:rsidR="00817D3E" w:rsidRDefault="00066E2B">
            <w:pPr>
              <w:pStyle w:val="Standard"/>
              <w:rPr>
                <w:rFonts w:hint="eastAsia"/>
              </w:rPr>
            </w:pPr>
            <w:r>
              <w:rPr>
                <w:rFonts w:ascii="Times New Roman" w:hAnsi="Times New Roman" w:cs="Times New Roman"/>
                <w:lang w:val="lt-LT"/>
              </w:rPr>
              <w:t>11.2. Papildomi Tiekėjo įsipareigojimai ir teisės</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0B8E8" w14:textId="77777777" w:rsidR="00817D3E" w:rsidRDefault="00066E2B">
            <w:pPr>
              <w:pStyle w:val="xxmsonospacing"/>
              <w:shd w:val="clear" w:color="auto" w:fill="FFFFFF"/>
              <w:spacing w:before="0" w:after="0"/>
              <w:jc w:val="both"/>
            </w:pPr>
            <w:r>
              <w:rPr>
                <w:color w:val="242424"/>
                <w:lang w:val="lt-LT"/>
              </w:rPr>
              <w:t>Įsipareigoja bendradarbiauti suderinant mokymų grafikus ir laikytis terminų nustatytų Techninėje specifikacijoje</w:t>
            </w:r>
          </w:p>
        </w:tc>
        <w:tc>
          <w:tcPr>
            <w:tcW w:w="237" w:type="dxa"/>
            <w:shd w:val="clear" w:color="auto" w:fill="auto"/>
            <w:tcMar>
              <w:top w:w="0" w:type="dxa"/>
              <w:left w:w="108" w:type="dxa"/>
              <w:bottom w:w="0" w:type="dxa"/>
              <w:right w:w="108" w:type="dxa"/>
            </w:tcMar>
          </w:tcPr>
          <w:p w14:paraId="005260D8" w14:textId="77777777" w:rsidR="00817D3E" w:rsidRDefault="00817D3E">
            <w:pPr>
              <w:pStyle w:val="Standard"/>
              <w:rPr>
                <w:rFonts w:hint="eastAsia"/>
                <w:lang w:val="lt-LT"/>
              </w:rPr>
            </w:pPr>
          </w:p>
        </w:tc>
      </w:tr>
      <w:tr w:rsidR="00817D3E" w14:paraId="74491140" w14:textId="77777777">
        <w:trPr>
          <w:trHeight w:val="300"/>
          <w:jc w:val="center"/>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B544" w14:textId="77777777" w:rsidR="00817D3E" w:rsidRDefault="00066E2B">
            <w:pPr>
              <w:pStyle w:val="Heading1"/>
              <w:spacing w:before="0" w:after="0"/>
            </w:pPr>
            <w:r>
              <w:rPr>
                <w:rStyle w:val="Other0"/>
                <w:rFonts w:eastAsia="NSimSun"/>
                <w:b/>
                <w:bCs/>
                <w:i w:val="0"/>
                <w:iCs w:val="0"/>
                <w:sz w:val="24"/>
                <w:szCs w:val="24"/>
                <w:lang w:val="lt-LT"/>
              </w:rPr>
              <w:t>ŠALIŲ ATSAKOMYBĖ</w:t>
            </w:r>
          </w:p>
        </w:tc>
        <w:tc>
          <w:tcPr>
            <w:tcW w:w="237" w:type="dxa"/>
            <w:shd w:val="clear" w:color="auto" w:fill="auto"/>
            <w:tcMar>
              <w:top w:w="0" w:type="dxa"/>
              <w:left w:w="108" w:type="dxa"/>
              <w:bottom w:w="0" w:type="dxa"/>
              <w:right w:w="108" w:type="dxa"/>
            </w:tcMar>
          </w:tcPr>
          <w:p w14:paraId="6AF5D714" w14:textId="77777777" w:rsidR="00817D3E" w:rsidRDefault="00817D3E">
            <w:pPr>
              <w:pStyle w:val="Standard"/>
              <w:rPr>
                <w:rFonts w:hint="eastAsia"/>
                <w:lang w:val="lt-LT"/>
              </w:rPr>
            </w:pPr>
          </w:p>
        </w:tc>
      </w:tr>
      <w:tr w:rsidR="00817D3E" w14:paraId="6433C0CF"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7AF2D" w14:textId="77777777" w:rsidR="00817D3E" w:rsidRDefault="00066E2B">
            <w:pPr>
              <w:pStyle w:val="Standard"/>
              <w:rPr>
                <w:rFonts w:hint="eastAsia"/>
              </w:rPr>
            </w:pPr>
            <w:r>
              <w:rPr>
                <w:rFonts w:ascii="Times New Roman" w:hAnsi="Times New Roman" w:cs="Times New Roman"/>
                <w:lang w:val="lt-LT"/>
              </w:rPr>
              <w:t>12.1. Pirkėjui taikomos netesybos dėl apmokėjimo vėlavimo</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0C9E" w14:textId="77777777" w:rsidR="00817D3E" w:rsidRDefault="00066E2B">
            <w:pPr>
              <w:pStyle w:val="Standard"/>
              <w:jc w:val="both"/>
              <w:rPr>
                <w:rFonts w:hint="eastAsia"/>
              </w:rPr>
            </w:pPr>
            <w:r>
              <w:rPr>
                <w:rFonts w:ascii="Times New Roman" w:hAnsi="Times New Roman" w:cs="Times New Roman"/>
                <w:color w:val="000000"/>
                <w:lang w:val="lt-LT"/>
              </w:rPr>
              <w:t>Jei Pirkėjas, gavęs tinkamai pateiktą ir užpildytą Sąskaitą, uždelsia atsiskaityti už tinkamai Tiekėjo suteiktas ir perduotas Paslaugas per Sutartyje nurodytą terminą, Tiekėjas nuo kitos, nei nustatytas terminas, dienos skaičiuoja Pirkėjui 0,05 (</w:t>
            </w:r>
            <w:r>
              <w:rPr>
                <w:rFonts w:ascii="Times New Roman" w:hAnsi="Times New Roman" w:cs="Times New Roman"/>
                <w:lang w:val="lt-LT"/>
              </w:rPr>
              <w:t>penkių šimtųjų procento</w:t>
            </w:r>
            <w:r>
              <w:rPr>
                <w:rFonts w:ascii="Times New Roman" w:hAnsi="Times New Roman" w:cs="Times New Roman"/>
                <w:color w:val="000000"/>
                <w:lang w:val="lt-LT"/>
              </w:rPr>
              <w:t>) procento dydžio delspinigius nuo neapmokėtos sumos be PVM už kiekvieną vėlavimo dieną.</w:t>
            </w:r>
          </w:p>
          <w:p w14:paraId="1388D6E1" w14:textId="77777777" w:rsidR="00817D3E" w:rsidRDefault="00817D3E">
            <w:pPr>
              <w:pStyle w:val="Standard"/>
              <w:jc w:val="both"/>
              <w:rPr>
                <w:rFonts w:ascii="Times New Roman" w:hAnsi="Times New Roman" w:cs="Times New Roman"/>
                <w:color w:val="000000"/>
                <w:lang w:val="lt-LT"/>
              </w:rPr>
            </w:pPr>
          </w:p>
        </w:tc>
        <w:tc>
          <w:tcPr>
            <w:tcW w:w="237" w:type="dxa"/>
            <w:shd w:val="clear" w:color="auto" w:fill="auto"/>
            <w:tcMar>
              <w:top w:w="0" w:type="dxa"/>
              <w:left w:w="108" w:type="dxa"/>
              <w:bottom w:w="0" w:type="dxa"/>
              <w:right w:w="108" w:type="dxa"/>
            </w:tcMar>
          </w:tcPr>
          <w:p w14:paraId="03A8222D" w14:textId="77777777" w:rsidR="00817D3E" w:rsidRDefault="00817D3E">
            <w:pPr>
              <w:pStyle w:val="Standard"/>
              <w:rPr>
                <w:rFonts w:hint="eastAsia"/>
                <w:lang w:val="lt-LT"/>
              </w:rPr>
            </w:pPr>
          </w:p>
        </w:tc>
      </w:tr>
      <w:tr w:rsidR="00817D3E" w14:paraId="2323EFB8"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8A256" w14:textId="77777777" w:rsidR="00817D3E" w:rsidRDefault="00066E2B">
            <w:pPr>
              <w:pStyle w:val="Standard"/>
              <w:rPr>
                <w:rFonts w:hint="eastAsia"/>
              </w:rPr>
            </w:pPr>
            <w:r>
              <w:rPr>
                <w:rFonts w:ascii="Times New Roman" w:hAnsi="Times New Roman" w:cs="Times New Roman"/>
                <w:lang w:val="lt-LT"/>
              </w:rPr>
              <w:t>12.2. Tiekėjui taikomos netesybos</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88E9E" w14:textId="77777777" w:rsidR="00817D3E" w:rsidRDefault="00066E2B">
            <w:pPr>
              <w:pStyle w:val="Other"/>
              <w:tabs>
                <w:tab w:val="left" w:pos="1829"/>
                <w:tab w:val="left" w:pos="3130"/>
                <w:tab w:val="left" w:pos="4205"/>
              </w:tabs>
              <w:jc w:val="both"/>
            </w:pPr>
            <w:r>
              <w:rPr>
                <w:i w:val="0"/>
                <w:iCs w:val="0"/>
                <w:lang w:val="lt-LT"/>
              </w:rPr>
              <w:t>Paslaugų teikėjui nesuteikus paslaugų Techninėje specifikacijoje nustatytais arba Perkančiosios organizacijos nurodytais terminais arba šias paslaugas suteikus netinkamai, Paslaugų gavėjas neprarasdamas teisės į kitas savo teisių gynimo priemones pagal Sutartį, reikalauja mokėti 1.000,00 (vieno tūkstančio) Eur baudą už kiekvieną tokio pažeidimo atvejį, išskaičiuojant baudos sumą nuo bendros Sutarties vertės.</w:t>
            </w:r>
          </w:p>
        </w:tc>
        <w:tc>
          <w:tcPr>
            <w:tcW w:w="237" w:type="dxa"/>
            <w:shd w:val="clear" w:color="auto" w:fill="auto"/>
            <w:tcMar>
              <w:top w:w="0" w:type="dxa"/>
              <w:left w:w="108" w:type="dxa"/>
              <w:bottom w:w="0" w:type="dxa"/>
              <w:right w:w="108" w:type="dxa"/>
            </w:tcMar>
          </w:tcPr>
          <w:p w14:paraId="408400EA" w14:textId="77777777" w:rsidR="00817D3E" w:rsidRDefault="00817D3E">
            <w:pPr>
              <w:pStyle w:val="Standard"/>
              <w:rPr>
                <w:rFonts w:hint="eastAsia"/>
                <w:lang w:val="lt-LT"/>
              </w:rPr>
            </w:pPr>
          </w:p>
        </w:tc>
      </w:tr>
      <w:tr w:rsidR="00817D3E" w14:paraId="129B07D9"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3019" w14:textId="77777777" w:rsidR="00817D3E" w:rsidRDefault="00066E2B">
            <w:pPr>
              <w:pStyle w:val="Standard"/>
              <w:rPr>
                <w:rFonts w:hint="eastAsia"/>
              </w:rPr>
            </w:pPr>
            <w:r>
              <w:rPr>
                <w:rFonts w:ascii="Times New Roman" w:hAnsi="Times New Roman" w:cs="Times New Roman"/>
                <w:lang w:val="lt-LT"/>
              </w:rPr>
              <w:t>12.3. Bauda Tiekėjui nutraukus Sutartį dėl esminio Sutarties pažeidimo</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20925" w14:textId="77777777" w:rsidR="00817D3E" w:rsidRDefault="00066E2B">
            <w:pPr>
              <w:pStyle w:val="Other"/>
              <w:tabs>
                <w:tab w:val="left" w:pos="1829"/>
                <w:tab w:val="left" w:pos="3130"/>
                <w:tab w:val="left" w:pos="4205"/>
              </w:tabs>
              <w:jc w:val="both"/>
            </w:pPr>
            <w:r>
              <w:rPr>
                <w:i w:val="0"/>
                <w:iCs w:val="0"/>
                <w:lang w:val="lt-LT"/>
              </w:rPr>
              <w:t>10 proc. nuo pradinės Sutarties vertės</w:t>
            </w:r>
          </w:p>
        </w:tc>
        <w:tc>
          <w:tcPr>
            <w:tcW w:w="237" w:type="dxa"/>
            <w:shd w:val="clear" w:color="auto" w:fill="auto"/>
            <w:tcMar>
              <w:top w:w="0" w:type="dxa"/>
              <w:left w:w="108" w:type="dxa"/>
              <w:bottom w:w="0" w:type="dxa"/>
              <w:right w:w="108" w:type="dxa"/>
            </w:tcMar>
          </w:tcPr>
          <w:p w14:paraId="2895B705" w14:textId="77777777" w:rsidR="00817D3E" w:rsidRDefault="00817D3E">
            <w:pPr>
              <w:pStyle w:val="Standard"/>
              <w:rPr>
                <w:rFonts w:hint="eastAsia"/>
                <w:lang w:val="lt-LT"/>
              </w:rPr>
            </w:pPr>
          </w:p>
        </w:tc>
      </w:tr>
      <w:tr w:rsidR="00817D3E" w14:paraId="71CFE7D4"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8B8D1" w14:textId="77777777" w:rsidR="00817D3E" w:rsidRDefault="00066E2B">
            <w:pPr>
              <w:pStyle w:val="Standard"/>
              <w:rPr>
                <w:rFonts w:hint="eastAsia"/>
              </w:rPr>
            </w:pPr>
            <w:r>
              <w:rPr>
                <w:rFonts w:ascii="Times New Roman" w:hAnsi="Times New Roman" w:cs="Times New Roman"/>
                <w:lang w:val="lt-LT"/>
              </w:rPr>
              <w:t>12.4. Bauda Tiekėjui už subtiekėjo ar specialisto pakeitimą be Pirkėjo raštiško sutikimo</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71179" w14:textId="77777777" w:rsidR="00817D3E" w:rsidRDefault="00066E2B">
            <w:pPr>
              <w:pStyle w:val="Standard"/>
              <w:tabs>
                <w:tab w:val="left" w:pos="993"/>
                <w:tab w:val="left" w:pos="1418"/>
              </w:tabs>
              <w:jc w:val="both"/>
              <w:rPr>
                <w:rFonts w:hint="eastAsia"/>
              </w:rPr>
            </w:pPr>
            <w:r>
              <w:rPr>
                <w:rFonts w:ascii="Times New Roman" w:eastAsia="Arial Unicode MS" w:hAnsi="Times New Roman" w:cs="Times New Roman"/>
                <w:lang w:val="lt-LT"/>
              </w:rPr>
              <w:t>Jei Paslaugas teikia specialistai, turintys žemesnę kvalifikaciją nei buvo nurodyta pasiūlyme ir kurių patirtis buvo vertinta pagal ekonominio naudingumo kriterijus, tai už suteiktas paslaugas Paslaugų gavėjas nemoka.</w:t>
            </w:r>
          </w:p>
        </w:tc>
        <w:tc>
          <w:tcPr>
            <w:tcW w:w="237" w:type="dxa"/>
            <w:shd w:val="clear" w:color="auto" w:fill="auto"/>
            <w:tcMar>
              <w:top w:w="0" w:type="dxa"/>
              <w:left w:w="108" w:type="dxa"/>
              <w:bottom w:w="0" w:type="dxa"/>
              <w:right w:w="108" w:type="dxa"/>
            </w:tcMar>
          </w:tcPr>
          <w:p w14:paraId="0DD65036" w14:textId="77777777" w:rsidR="00817D3E" w:rsidRDefault="00817D3E">
            <w:pPr>
              <w:pStyle w:val="Standard"/>
              <w:rPr>
                <w:rFonts w:hint="eastAsia"/>
                <w:lang w:val="lt-LT"/>
              </w:rPr>
            </w:pPr>
            <w:bookmarkStart w:id="1" w:name="_Hlk175313364"/>
            <w:bookmarkEnd w:id="1"/>
          </w:p>
        </w:tc>
      </w:tr>
      <w:tr w:rsidR="00817D3E" w14:paraId="5A6287D9"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DA368" w14:textId="77777777" w:rsidR="00817D3E" w:rsidRDefault="00066E2B">
            <w:pPr>
              <w:pStyle w:val="Standard"/>
              <w:rPr>
                <w:rFonts w:hint="eastAsia"/>
              </w:rPr>
            </w:pPr>
            <w:r>
              <w:rPr>
                <w:rFonts w:ascii="Times New Roman" w:hAnsi="Times New Roman" w:cs="Times New Roman"/>
                <w:lang w:val="lt-LT"/>
              </w:rPr>
              <w:t xml:space="preserve">12.5. Tiekėjui taikomos baudos dėl aplinkosauginių </w:t>
            </w:r>
            <w:r>
              <w:rPr>
                <w:rFonts w:ascii="Times New Roman" w:hAnsi="Times New Roman" w:cs="Times New Roman"/>
                <w:lang w:val="lt-LT"/>
              </w:rPr>
              <w:lastRenderedPageBreak/>
              <w:t>ir (arba) socialinių kriterijų nesilaikymo</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9C21" w14:textId="77777777" w:rsidR="00817D3E" w:rsidRDefault="00066E2B">
            <w:pPr>
              <w:pStyle w:val="Standard"/>
              <w:jc w:val="both"/>
              <w:rPr>
                <w:rFonts w:hint="eastAsia"/>
              </w:rPr>
            </w:pPr>
            <w:r>
              <w:rPr>
                <w:rStyle w:val="Other0"/>
                <w:rFonts w:eastAsia="NSimSun"/>
                <w:lang w:val="lt-LT"/>
              </w:rPr>
              <w:lastRenderedPageBreak/>
              <w:t>Netaikoma</w:t>
            </w:r>
          </w:p>
          <w:p w14:paraId="57DC858A" w14:textId="77777777" w:rsidR="00817D3E" w:rsidRDefault="00817D3E">
            <w:pPr>
              <w:pStyle w:val="Standard"/>
              <w:jc w:val="both"/>
              <w:rPr>
                <w:rFonts w:ascii="Times New Roman" w:hAnsi="Times New Roman" w:cs="Times New Roman"/>
                <w:lang w:val="lt-LT"/>
              </w:rPr>
            </w:pPr>
          </w:p>
          <w:p w14:paraId="41FBDA05" w14:textId="77777777" w:rsidR="00817D3E" w:rsidRDefault="00817D3E">
            <w:pPr>
              <w:pStyle w:val="Other"/>
              <w:tabs>
                <w:tab w:val="left" w:pos="1829"/>
                <w:tab w:val="left" w:pos="3130"/>
                <w:tab w:val="left" w:pos="4205"/>
              </w:tabs>
              <w:jc w:val="both"/>
              <w:rPr>
                <w:lang w:val="lt-LT"/>
              </w:rPr>
            </w:pPr>
          </w:p>
        </w:tc>
        <w:tc>
          <w:tcPr>
            <w:tcW w:w="237" w:type="dxa"/>
            <w:shd w:val="clear" w:color="auto" w:fill="auto"/>
            <w:tcMar>
              <w:top w:w="0" w:type="dxa"/>
              <w:left w:w="108" w:type="dxa"/>
              <w:bottom w:w="0" w:type="dxa"/>
              <w:right w:w="108" w:type="dxa"/>
            </w:tcMar>
          </w:tcPr>
          <w:p w14:paraId="75E7D851" w14:textId="77777777" w:rsidR="00817D3E" w:rsidRDefault="00817D3E">
            <w:pPr>
              <w:pStyle w:val="Standard"/>
              <w:rPr>
                <w:rFonts w:hint="eastAsia"/>
                <w:lang w:val="lt-LT"/>
              </w:rPr>
            </w:pPr>
          </w:p>
        </w:tc>
      </w:tr>
      <w:tr w:rsidR="00817D3E" w14:paraId="7A8A1D1F"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26361" w14:textId="77777777" w:rsidR="00817D3E" w:rsidRDefault="00066E2B">
            <w:pPr>
              <w:pStyle w:val="Standard"/>
              <w:rPr>
                <w:rFonts w:hint="eastAsia"/>
              </w:rPr>
            </w:pPr>
            <w:r>
              <w:rPr>
                <w:rFonts w:ascii="Times New Roman" w:hAnsi="Times New Roman" w:cs="Times New Roman"/>
                <w:lang w:val="lt-LT"/>
              </w:rPr>
              <w:t>12.6. Tiekėjui / Pirkėjui taikoma bauda dėl konfidencialumo reikalavimų nesilaikymo</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B4806" w14:textId="77777777" w:rsidR="00817D3E" w:rsidRDefault="00066E2B">
            <w:pPr>
              <w:pStyle w:val="Standard"/>
              <w:jc w:val="both"/>
              <w:rPr>
                <w:rFonts w:hint="eastAsia"/>
              </w:rPr>
            </w:pPr>
            <w:r>
              <w:rPr>
                <w:rStyle w:val="Other0"/>
                <w:rFonts w:eastAsia="NSimSun"/>
                <w:lang w:val="lt-LT"/>
              </w:rPr>
              <w:t>500 Eur už kiekvieną atvejį atskirai</w:t>
            </w:r>
          </w:p>
          <w:p w14:paraId="7CF6C21A" w14:textId="77777777" w:rsidR="00817D3E" w:rsidRDefault="00817D3E">
            <w:pPr>
              <w:pStyle w:val="Standard"/>
              <w:jc w:val="both"/>
              <w:rPr>
                <w:rFonts w:hint="eastAsia"/>
                <w:lang w:val="lt-LT"/>
              </w:rPr>
            </w:pPr>
          </w:p>
        </w:tc>
        <w:tc>
          <w:tcPr>
            <w:tcW w:w="237" w:type="dxa"/>
            <w:shd w:val="clear" w:color="auto" w:fill="auto"/>
            <w:tcMar>
              <w:top w:w="0" w:type="dxa"/>
              <w:left w:w="108" w:type="dxa"/>
              <w:bottom w:w="0" w:type="dxa"/>
              <w:right w:w="108" w:type="dxa"/>
            </w:tcMar>
          </w:tcPr>
          <w:p w14:paraId="21815AEE" w14:textId="77777777" w:rsidR="00817D3E" w:rsidRDefault="00817D3E">
            <w:pPr>
              <w:pStyle w:val="Standard"/>
              <w:rPr>
                <w:rFonts w:hint="eastAsia"/>
                <w:lang w:val="lt-LT"/>
              </w:rPr>
            </w:pPr>
          </w:p>
        </w:tc>
      </w:tr>
      <w:tr w:rsidR="00817D3E" w14:paraId="1895C65D"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251A" w14:textId="77777777" w:rsidR="00817D3E" w:rsidRDefault="00066E2B">
            <w:pPr>
              <w:pStyle w:val="Standard"/>
              <w:rPr>
                <w:rFonts w:hint="eastAsia"/>
              </w:rPr>
            </w:pPr>
            <w:r>
              <w:rPr>
                <w:rFonts w:ascii="Times New Roman" w:hAnsi="Times New Roman" w:cs="Times New Roman"/>
                <w:lang w:val="lt-LT"/>
              </w:rPr>
              <w:t xml:space="preserve">12.7. Tiekėjui taikomos netesybos dėl pirkimo dokumentuose nustatytų kokybinių kriterijų </w:t>
            </w:r>
            <w:proofErr w:type="spellStart"/>
            <w:r>
              <w:rPr>
                <w:rFonts w:ascii="Times New Roman" w:hAnsi="Times New Roman" w:cs="Times New Roman"/>
                <w:lang w:val="lt-LT"/>
              </w:rPr>
              <w:t>nepasiekimo</w:t>
            </w:r>
            <w:proofErr w:type="spellEnd"/>
            <w:r>
              <w:rPr>
                <w:rFonts w:ascii="Times New Roman" w:hAnsi="Times New Roman" w:cs="Times New Roman"/>
                <w:lang w:val="lt-LT"/>
              </w:rPr>
              <w:t xml:space="preserve"> Sutarties vykdymo metu</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80D37" w14:textId="77777777" w:rsidR="00817D3E" w:rsidRDefault="00066E2B">
            <w:pPr>
              <w:pStyle w:val="Standard"/>
              <w:rPr>
                <w:rFonts w:hint="eastAsia"/>
              </w:rPr>
            </w:pPr>
            <w:r>
              <w:rPr>
                <w:rStyle w:val="Other0"/>
                <w:rFonts w:eastAsia="NSimSun"/>
                <w:lang w:val="lt-LT"/>
              </w:rPr>
              <w:t>3000 Eur už kiekvieną atvejį atskirai</w:t>
            </w:r>
          </w:p>
        </w:tc>
        <w:tc>
          <w:tcPr>
            <w:tcW w:w="237" w:type="dxa"/>
            <w:shd w:val="clear" w:color="auto" w:fill="auto"/>
            <w:tcMar>
              <w:top w:w="0" w:type="dxa"/>
              <w:left w:w="108" w:type="dxa"/>
              <w:bottom w:w="0" w:type="dxa"/>
              <w:right w:w="108" w:type="dxa"/>
            </w:tcMar>
          </w:tcPr>
          <w:p w14:paraId="3E9FEEB7" w14:textId="77777777" w:rsidR="00817D3E" w:rsidRDefault="00817D3E">
            <w:pPr>
              <w:pStyle w:val="Standard"/>
              <w:rPr>
                <w:rFonts w:hint="eastAsia"/>
                <w:lang w:val="lt-LT"/>
              </w:rPr>
            </w:pPr>
          </w:p>
        </w:tc>
      </w:tr>
      <w:tr w:rsidR="00817D3E" w14:paraId="4D8A8A62"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79622" w14:textId="77777777" w:rsidR="00817D3E" w:rsidRDefault="00066E2B">
            <w:pPr>
              <w:pStyle w:val="Standard"/>
              <w:rPr>
                <w:rFonts w:hint="eastAsia"/>
              </w:rPr>
            </w:pPr>
            <w:r>
              <w:rPr>
                <w:rFonts w:ascii="Times New Roman" w:hAnsi="Times New Roman" w:cs="Times New Roman"/>
                <w:lang w:val="lt-LT"/>
              </w:rPr>
              <w:t>12.8. Tiekėjui taikomos netesybos dėl Sutarties įvykdymo užtikrinimo nepratęsimo</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7609C" w14:textId="77777777" w:rsidR="00817D3E" w:rsidRDefault="00066E2B">
            <w:pPr>
              <w:pStyle w:val="Standard"/>
              <w:jc w:val="both"/>
              <w:rPr>
                <w:rFonts w:hint="eastAsia"/>
              </w:rPr>
            </w:pPr>
            <w:r>
              <w:rPr>
                <w:rStyle w:val="Other0"/>
                <w:rFonts w:eastAsia="NSimSun"/>
                <w:lang w:val="lt-LT"/>
              </w:rPr>
              <w:t>Netaikoma</w:t>
            </w:r>
          </w:p>
          <w:p w14:paraId="15C1F460" w14:textId="77777777" w:rsidR="00817D3E" w:rsidRDefault="00817D3E">
            <w:pPr>
              <w:pStyle w:val="Standard"/>
              <w:rPr>
                <w:rFonts w:ascii="Times New Roman" w:hAnsi="Times New Roman" w:cs="Times New Roman"/>
                <w:lang w:val="lt-LT"/>
              </w:rPr>
            </w:pPr>
            <w:bookmarkStart w:id="2" w:name="_Hlk158819266"/>
            <w:bookmarkEnd w:id="2"/>
          </w:p>
        </w:tc>
        <w:tc>
          <w:tcPr>
            <w:tcW w:w="237" w:type="dxa"/>
            <w:shd w:val="clear" w:color="auto" w:fill="auto"/>
            <w:tcMar>
              <w:top w:w="0" w:type="dxa"/>
              <w:left w:w="108" w:type="dxa"/>
              <w:bottom w:w="0" w:type="dxa"/>
              <w:right w:w="108" w:type="dxa"/>
            </w:tcMar>
          </w:tcPr>
          <w:p w14:paraId="4CC8C717" w14:textId="77777777" w:rsidR="00817D3E" w:rsidRDefault="00817D3E">
            <w:pPr>
              <w:pStyle w:val="Standard"/>
              <w:rPr>
                <w:rFonts w:hint="eastAsia"/>
                <w:lang w:val="lt-LT"/>
              </w:rPr>
            </w:pPr>
          </w:p>
        </w:tc>
      </w:tr>
      <w:tr w:rsidR="00817D3E" w14:paraId="075211CC"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A0F3" w14:textId="77777777" w:rsidR="00817D3E" w:rsidRDefault="00066E2B">
            <w:pPr>
              <w:pStyle w:val="Standard"/>
              <w:rPr>
                <w:rFonts w:hint="eastAsia"/>
              </w:rPr>
            </w:pPr>
            <w:r>
              <w:rPr>
                <w:rFonts w:ascii="Times New Roman" w:hAnsi="Times New Roman" w:cs="Times New Roman"/>
                <w:lang w:val="lt-LT"/>
              </w:rPr>
              <w:t>12.9. Papildomai taikomos baudos</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71D4" w14:textId="77777777" w:rsidR="00817D3E" w:rsidRDefault="00817D3E">
            <w:pPr>
              <w:pStyle w:val="Standard"/>
              <w:tabs>
                <w:tab w:val="left" w:pos="993"/>
                <w:tab w:val="left" w:pos="1418"/>
              </w:tabs>
              <w:jc w:val="both"/>
              <w:rPr>
                <w:rFonts w:hint="eastAsia"/>
              </w:rPr>
            </w:pPr>
          </w:p>
          <w:p w14:paraId="623DACE7" w14:textId="77777777" w:rsidR="00817D3E" w:rsidRDefault="00066E2B">
            <w:pPr>
              <w:pStyle w:val="Standard"/>
              <w:tabs>
                <w:tab w:val="left" w:pos="993"/>
                <w:tab w:val="left" w:pos="1418"/>
              </w:tabs>
              <w:jc w:val="both"/>
              <w:rPr>
                <w:rFonts w:hint="eastAsia"/>
              </w:rPr>
            </w:pPr>
            <w:r>
              <w:rPr>
                <w:rFonts w:ascii="Times New Roman" w:eastAsia="Arial Unicode MS" w:hAnsi="Times New Roman" w:cs="Times New Roman"/>
                <w:lang w:val="lt-LT"/>
              </w:rPr>
              <w:t>Netesybas Paslaugų tiekėjas privalo sumokėti per 5 darbo dienas, Paslaugų gavėjui pareikalavus. Jei Paslaugų tiekėjas per nurodytą terminą netesybų nesumoka, Paslaugų gavėjas turi teisę netesybas išskaičiuoti iš mokėtinų sumų.</w:t>
            </w:r>
          </w:p>
          <w:p w14:paraId="731F006B" w14:textId="77777777" w:rsidR="00817D3E" w:rsidRDefault="00817D3E">
            <w:pPr>
              <w:pStyle w:val="Standard"/>
              <w:tabs>
                <w:tab w:val="left" w:pos="993"/>
                <w:tab w:val="left" w:pos="1418"/>
              </w:tabs>
              <w:jc w:val="both"/>
              <w:rPr>
                <w:rFonts w:hint="eastAsia"/>
              </w:rPr>
            </w:pPr>
          </w:p>
        </w:tc>
        <w:tc>
          <w:tcPr>
            <w:tcW w:w="237" w:type="dxa"/>
            <w:shd w:val="clear" w:color="auto" w:fill="auto"/>
            <w:tcMar>
              <w:top w:w="0" w:type="dxa"/>
              <w:left w:w="108" w:type="dxa"/>
              <w:bottom w:w="0" w:type="dxa"/>
              <w:right w:w="108" w:type="dxa"/>
            </w:tcMar>
          </w:tcPr>
          <w:p w14:paraId="075FF54C" w14:textId="77777777" w:rsidR="00817D3E" w:rsidRDefault="00817D3E">
            <w:pPr>
              <w:pStyle w:val="Standard"/>
              <w:rPr>
                <w:rFonts w:hint="eastAsia"/>
                <w:lang w:val="lt-LT"/>
              </w:rPr>
            </w:pPr>
          </w:p>
        </w:tc>
      </w:tr>
      <w:tr w:rsidR="00817D3E" w14:paraId="6AB09312" w14:textId="77777777">
        <w:trPr>
          <w:trHeight w:val="300"/>
          <w:jc w:val="center"/>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6086" w14:textId="77777777" w:rsidR="00817D3E" w:rsidRDefault="00066E2B">
            <w:pPr>
              <w:pStyle w:val="Heading1"/>
              <w:spacing w:before="0" w:after="0"/>
            </w:pPr>
            <w:r>
              <w:rPr>
                <w:rStyle w:val="Other0"/>
                <w:rFonts w:eastAsia="NSimSun"/>
                <w:b/>
                <w:bCs/>
                <w:i w:val="0"/>
                <w:iCs w:val="0"/>
                <w:sz w:val="24"/>
                <w:szCs w:val="24"/>
                <w:lang w:val="lt-LT"/>
              </w:rPr>
              <w:t>SUTARTIES GALIOJIMAS IR KEITIMAS</w:t>
            </w:r>
          </w:p>
        </w:tc>
        <w:tc>
          <w:tcPr>
            <w:tcW w:w="237" w:type="dxa"/>
            <w:shd w:val="clear" w:color="auto" w:fill="auto"/>
            <w:tcMar>
              <w:top w:w="0" w:type="dxa"/>
              <w:left w:w="108" w:type="dxa"/>
              <w:bottom w:w="0" w:type="dxa"/>
              <w:right w:w="108" w:type="dxa"/>
            </w:tcMar>
          </w:tcPr>
          <w:p w14:paraId="6860F554" w14:textId="77777777" w:rsidR="00817D3E" w:rsidRDefault="00817D3E">
            <w:pPr>
              <w:pStyle w:val="Standard"/>
              <w:rPr>
                <w:rFonts w:hint="eastAsia"/>
                <w:lang w:val="lt-LT"/>
              </w:rPr>
            </w:pPr>
          </w:p>
        </w:tc>
      </w:tr>
      <w:tr w:rsidR="00817D3E" w14:paraId="208F5627"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70789" w14:textId="77777777" w:rsidR="00817D3E" w:rsidRDefault="00066E2B">
            <w:pPr>
              <w:pStyle w:val="Heading1"/>
              <w:spacing w:before="0" w:after="0"/>
            </w:pPr>
            <w:r>
              <w:rPr>
                <w:rFonts w:ascii="Times New Roman" w:hAnsi="Times New Roman"/>
                <w:sz w:val="24"/>
                <w:szCs w:val="24"/>
                <w:lang w:val="lt-LT"/>
              </w:rPr>
              <w:t>13.1. Sutarties sudarymas ir galiojimas</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DF20" w14:textId="77777777" w:rsidR="00817D3E" w:rsidRDefault="00066E2B">
            <w:pPr>
              <w:pStyle w:val="Standard"/>
              <w:jc w:val="both"/>
              <w:rPr>
                <w:rFonts w:hint="eastAsia"/>
              </w:rPr>
            </w:pPr>
            <w:r>
              <w:rPr>
                <w:rFonts w:ascii="Times New Roman" w:hAnsi="Times New Roman" w:cs="Times New Roman"/>
                <w:lang w:val="lt-LT"/>
              </w:rPr>
              <w:t>Ši Sutartis laikoma sudaryta, kai (pirma) ją pasirašo abi Šalys.</w:t>
            </w:r>
          </w:p>
          <w:p w14:paraId="4254859F" w14:textId="63377764" w:rsidR="00817D3E" w:rsidRDefault="00066E2B">
            <w:pPr>
              <w:pStyle w:val="Standard"/>
              <w:jc w:val="both"/>
              <w:rPr>
                <w:rFonts w:hint="eastAsia"/>
              </w:rPr>
            </w:pPr>
            <w:r>
              <w:rPr>
                <w:rFonts w:ascii="Times New Roman" w:hAnsi="Times New Roman" w:cs="Times New Roman"/>
                <w:color w:val="000000"/>
                <w:lang w:val="lt-LT"/>
              </w:rPr>
              <w:t xml:space="preserve">Sutartis galioja iki visiško prievolių įvykdymo, tačiau ne ilgiau kaip </w:t>
            </w:r>
            <w:r w:rsidR="0027137D">
              <w:rPr>
                <w:rFonts w:ascii="Times New Roman" w:hAnsi="Times New Roman" w:cs="Times New Roman"/>
                <w:color w:val="000000"/>
                <w:lang w:val="lt-LT"/>
              </w:rPr>
              <w:t>28</w:t>
            </w:r>
            <w:r>
              <w:rPr>
                <w:rFonts w:ascii="Times New Roman" w:hAnsi="Times New Roman" w:cs="Times New Roman"/>
                <w:color w:val="000000"/>
                <w:lang w:val="lt-LT"/>
              </w:rPr>
              <w:t xml:space="preserve"> mėnesius.</w:t>
            </w:r>
          </w:p>
        </w:tc>
        <w:tc>
          <w:tcPr>
            <w:tcW w:w="237" w:type="dxa"/>
            <w:shd w:val="clear" w:color="auto" w:fill="auto"/>
            <w:tcMar>
              <w:top w:w="0" w:type="dxa"/>
              <w:left w:w="108" w:type="dxa"/>
              <w:bottom w:w="0" w:type="dxa"/>
              <w:right w:w="108" w:type="dxa"/>
            </w:tcMar>
          </w:tcPr>
          <w:p w14:paraId="3F970B0A" w14:textId="77777777" w:rsidR="00817D3E" w:rsidRDefault="00817D3E">
            <w:pPr>
              <w:pStyle w:val="Standard"/>
              <w:rPr>
                <w:rFonts w:hint="eastAsia"/>
                <w:lang w:val="lt-LT"/>
              </w:rPr>
            </w:pPr>
          </w:p>
        </w:tc>
      </w:tr>
      <w:tr w:rsidR="00817D3E" w14:paraId="5DE59EEC"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8CFA4" w14:textId="77777777" w:rsidR="00817D3E" w:rsidRDefault="00066E2B">
            <w:pPr>
              <w:pStyle w:val="Standard"/>
              <w:rPr>
                <w:rFonts w:hint="eastAsia"/>
              </w:rPr>
            </w:pPr>
            <w:r>
              <w:rPr>
                <w:rFonts w:ascii="Times New Roman" w:hAnsi="Times New Roman" w:cs="Times New Roman"/>
                <w:lang w:val="lt-LT"/>
              </w:rPr>
              <w:t>13.2. Sutarties galiojimo termino pratęsimas</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8644" w14:textId="77777777" w:rsidR="00817D3E" w:rsidRDefault="00066E2B">
            <w:pPr>
              <w:pStyle w:val="Standard"/>
              <w:rPr>
                <w:rFonts w:hint="eastAsia"/>
              </w:rPr>
            </w:pPr>
            <w:r>
              <w:rPr>
                <w:rFonts w:ascii="Times New Roman" w:hAnsi="Times New Roman" w:cs="Times New Roman"/>
                <w:lang w:val="lt-LT"/>
              </w:rPr>
              <w:t>Netaikoma</w:t>
            </w:r>
          </w:p>
          <w:p w14:paraId="2795C7AE" w14:textId="77777777" w:rsidR="00817D3E" w:rsidRDefault="00817D3E">
            <w:pPr>
              <w:pStyle w:val="Standard"/>
              <w:rPr>
                <w:rFonts w:ascii="Times New Roman" w:hAnsi="Times New Roman" w:cs="Times New Roman"/>
                <w:lang w:val="lt-LT"/>
              </w:rPr>
            </w:pPr>
          </w:p>
        </w:tc>
        <w:tc>
          <w:tcPr>
            <w:tcW w:w="237" w:type="dxa"/>
            <w:shd w:val="clear" w:color="auto" w:fill="auto"/>
            <w:tcMar>
              <w:top w:w="0" w:type="dxa"/>
              <w:left w:w="108" w:type="dxa"/>
              <w:bottom w:w="0" w:type="dxa"/>
              <w:right w:w="108" w:type="dxa"/>
            </w:tcMar>
          </w:tcPr>
          <w:p w14:paraId="381A240B" w14:textId="77777777" w:rsidR="00817D3E" w:rsidRDefault="00817D3E">
            <w:pPr>
              <w:pStyle w:val="Standard"/>
              <w:rPr>
                <w:rFonts w:hint="eastAsia"/>
                <w:lang w:val="lt-LT"/>
              </w:rPr>
            </w:pPr>
          </w:p>
        </w:tc>
      </w:tr>
      <w:tr w:rsidR="00817D3E" w14:paraId="71F99D04"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B746" w14:textId="77777777" w:rsidR="00817D3E" w:rsidRDefault="00066E2B">
            <w:pPr>
              <w:pStyle w:val="Standard"/>
              <w:rPr>
                <w:rFonts w:hint="eastAsia"/>
              </w:rPr>
            </w:pPr>
            <w:r>
              <w:rPr>
                <w:rFonts w:ascii="Times New Roman" w:hAnsi="Times New Roman" w:cs="Times New Roman"/>
                <w:lang w:val="lt-LT"/>
              </w:rPr>
              <w:t>13.3. Sutarties pratęsimo metu taikoma kainodara</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D5B7" w14:textId="77777777" w:rsidR="00817D3E" w:rsidRDefault="00066E2B">
            <w:pPr>
              <w:pStyle w:val="Other"/>
              <w:tabs>
                <w:tab w:val="left" w:pos="1829"/>
                <w:tab w:val="left" w:pos="3130"/>
                <w:tab w:val="left" w:pos="4205"/>
              </w:tabs>
              <w:jc w:val="both"/>
            </w:pPr>
            <w:r>
              <w:rPr>
                <w:i w:val="0"/>
                <w:iCs w:val="0"/>
                <w:lang w:val="lt-LT"/>
              </w:rPr>
              <w:t>Netaikoma</w:t>
            </w:r>
          </w:p>
        </w:tc>
        <w:tc>
          <w:tcPr>
            <w:tcW w:w="237" w:type="dxa"/>
            <w:shd w:val="clear" w:color="auto" w:fill="auto"/>
            <w:tcMar>
              <w:top w:w="0" w:type="dxa"/>
              <w:left w:w="108" w:type="dxa"/>
              <w:bottom w:w="0" w:type="dxa"/>
              <w:right w:w="108" w:type="dxa"/>
            </w:tcMar>
          </w:tcPr>
          <w:p w14:paraId="50A8ACCA" w14:textId="77777777" w:rsidR="00817D3E" w:rsidRDefault="00817D3E">
            <w:pPr>
              <w:pStyle w:val="Standard"/>
              <w:rPr>
                <w:rFonts w:hint="eastAsia"/>
                <w:lang w:val="lt-LT"/>
              </w:rPr>
            </w:pPr>
          </w:p>
        </w:tc>
      </w:tr>
      <w:tr w:rsidR="00817D3E" w14:paraId="7C7A1051" w14:textId="77777777">
        <w:trPr>
          <w:trHeight w:val="300"/>
          <w:jc w:val="center"/>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A847" w14:textId="77777777" w:rsidR="00817D3E" w:rsidRDefault="00066E2B">
            <w:pPr>
              <w:pStyle w:val="Heading1"/>
              <w:spacing w:before="0" w:after="0"/>
            </w:pPr>
            <w:r>
              <w:rPr>
                <w:rStyle w:val="Other0"/>
                <w:rFonts w:eastAsia="NSimSun"/>
                <w:b/>
                <w:bCs/>
                <w:i w:val="0"/>
                <w:iCs w:val="0"/>
                <w:sz w:val="24"/>
                <w:szCs w:val="24"/>
                <w:lang w:val="lt-LT"/>
              </w:rPr>
              <w:t>SUTARTIES NUTRAUKIMAS</w:t>
            </w:r>
          </w:p>
        </w:tc>
        <w:tc>
          <w:tcPr>
            <w:tcW w:w="237" w:type="dxa"/>
            <w:shd w:val="clear" w:color="auto" w:fill="auto"/>
            <w:tcMar>
              <w:top w:w="0" w:type="dxa"/>
              <w:left w:w="108" w:type="dxa"/>
              <w:bottom w:w="0" w:type="dxa"/>
              <w:right w:w="108" w:type="dxa"/>
            </w:tcMar>
          </w:tcPr>
          <w:p w14:paraId="5D896F27" w14:textId="77777777" w:rsidR="00817D3E" w:rsidRDefault="00817D3E">
            <w:pPr>
              <w:pStyle w:val="Standard"/>
              <w:rPr>
                <w:rFonts w:hint="eastAsia"/>
                <w:lang w:val="lt-LT"/>
              </w:rPr>
            </w:pPr>
          </w:p>
        </w:tc>
      </w:tr>
      <w:tr w:rsidR="00817D3E" w14:paraId="454320B1"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0FBDE" w14:textId="77777777" w:rsidR="00817D3E" w:rsidRDefault="00066E2B">
            <w:pPr>
              <w:pStyle w:val="Standard"/>
              <w:rPr>
                <w:rFonts w:hint="eastAsia"/>
              </w:rPr>
            </w:pPr>
            <w:r>
              <w:rPr>
                <w:rFonts w:ascii="Times New Roman" w:hAnsi="Times New Roman" w:cs="Times New Roman"/>
                <w:lang w:val="lt-LT"/>
              </w:rPr>
              <w:t>14.1. Sutarties nutraukimo pagrindai</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B6B02" w14:textId="77777777" w:rsidR="00817D3E" w:rsidRDefault="00066E2B">
            <w:pPr>
              <w:pStyle w:val="Standard"/>
              <w:jc w:val="both"/>
              <w:rPr>
                <w:rFonts w:hint="eastAsia"/>
              </w:rPr>
            </w:pPr>
            <w:r>
              <w:rPr>
                <w:rFonts w:ascii="Times New Roman" w:hAnsi="Times New Roman" w:cs="Times New Roman"/>
                <w:lang w:val="lt-LT"/>
              </w:rPr>
              <w:t>Sutartis gali būti nutraukiama rašytiniu Šalių susitarimu</w:t>
            </w:r>
            <w:r>
              <w:rPr>
                <w:rStyle w:val="FootnoteReference"/>
                <w:rFonts w:ascii="Times New Roman" w:hAnsi="Times New Roman" w:cs="Times New Roman"/>
                <w:lang w:val="lt-LT"/>
              </w:rPr>
              <w:footnoteReference w:id="4"/>
            </w:r>
            <w:r>
              <w:rPr>
                <w:rFonts w:ascii="Times New Roman" w:hAnsi="Times New Roman" w:cs="Times New Roman"/>
                <w:lang w:val="lt-LT"/>
              </w:rPr>
              <w:t xml:space="preserve"> arba vienašališkai, Bendrosiose sąlygose ir Specialiosiose sąlygose nurodytais atvejais ir nustatyta tvarka.</w:t>
            </w:r>
          </w:p>
          <w:p w14:paraId="43251334" w14:textId="77777777" w:rsidR="00817D3E" w:rsidRDefault="00817D3E">
            <w:pPr>
              <w:pStyle w:val="Other"/>
              <w:tabs>
                <w:tab w:val="left" w:pos="1829"/>
                <w:tab w:val="left" w:pos="3130"/>
                <w:tab w:val="left" w:pos="4205"/>
              </w:tabs>
              <w:jc w:val="both"/>
              <w:rPr>
                <w:lang w:val="lt-LT"/>
              </w:rPr>
            </w:pPr>
          </w:p>
        </w:tc>
        <w:tc>
          <w:tcPr>
            <w:tcW w:w="237" w:type="dxa"/>
            <w:shd w:val="clear" w:color="auto" w:fill="auto"/>
            <w:tcMar>
              <w:top w:w="0" w:type="dxa"/>
              <w:left w:w="108" w:type="dxa"/>
              <w:bottom w:w="0" w:type="dxa"/>
              <w:right w:w="108" w:type="dxa"/>
            </w:tcMar>
          </w:tcPr>
          <w:p w14:paraId="005E85E4" w14:textId="77777777" w:rsidR="00817D3E" w:rsidRDefault="00817D3E">
            <w:pPr>
              <w:pStyle w:val="Standard"/>
              <w:rPr>
                <w:rFonts w:hint="eastAsia"/>
                <w:lang w:val="lt-LT"/>
              </w:rPr>
            </w:pPr>
          </w:p>
        </w:tc>
      </w:tr>
      <w:tr w:rsidR="00817D3E" w14:paraId="6F5A8E3C"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A0E3A" w14:textId="77777777" w:rsidR="00817D3E" w:rsidRDefault="00066E2B">
            <w:pPr>
              <w:pStyle w:val="Standard"/>
              <w:rPr>
                <w:rFonts w:hint="eastAsia"/>
              </w:rPr>
            </w:pPr>
            <w:r>
              <w:rPr>
                <w:rFonts w:ascii="Times New Roman" w:hAnsi="Times New Roman" w:cs="Times New Roman"/>
                <w:lang w:val="lt-LT"/>
              </w:rPr>
              <w:t>14.2. Esminiai Sutarties pažeidimai</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ACD3" w14:textId="77777777" w:rsidR="00817D3E" w:rsidRDefault="00066E2B">
            <w:pPr>
              <w:pStyle w:val="Standard"/>
              <w:jc w:val="both"/>
              <w:rPr>
                <w:rFonts w:hint="eastAsia"/>
              </w:rPr>
            </w:pPr>
            <w:r>
              <w:rPr>
                <w:rFonts w:ascii="Times New Roman" w:hAnsi="Times New Roman" w:cs="Times New Roman"/>
                <w:lang w:val="lt-LT"/>
              </w:rPr>
              <w:t>14.2.1. jeigu Tiekėjas nevykdo prisiimtų įsipareigojimų už Sutartyje nustatytą Sutarties kainą / įkainius;</w:t>
            </w:r>
          </w:p>
          <w:p w14:paraId="51C2E7C1" w14:textId="77777777" w:rsidR="00817D3E" w:rsidRDefault="00066E2B">
            <w:pPr>
              <w:pStyle w:val="Standard"/>
              <w:jc w:val="both"/>
              <w:rPr>
                <w:rFonts w:hint="eastAsia"/>
              </w:rPr>
            </w:pPr>
            <w:r>
              <w:rPr>
                <w:rFonts w:ascii="Times New Roman" w:hAnsi="Times New Roman" w:cs="Times New Roman"/>
                <w:lang w:val="lt-LT"/>
              </w:rPr>
              <w:t>14.2.2. jeigu paaiškėja, kad Tiekėjas nevykdo įsipareigojimų, kurie pasiūlymų vertinimo metu Pirkimo dokumentuose buvo nus</w:t>
            </w:r>
            <w:r>
              <w:rPr>
                <w:rFonts w:ascii="Times New Roman" w:hAnsi="Times New Roman" w:cs="Times New Roman"/>
                <w:color w:val="000000"/>
                <w:lang w:val="lt-LT"/>
              </w:rPr>
              <w:t xml:space="preserve">tatyti kaip pasiūlymų vertinimo kriterijai ir už kuriuos Tiekėjui buvo skiriamos reikšmės, kai pasiūlymas vertintas pagal kainos / sąnaudų ir kokybės santykį ir Tiekėjas per 10 dienų neištaiso pažeidimų. Terminas ištaisyti pažeidimus yra nustatomas tik tada, kai Sutarties pobūdis tai leidžia. Kitais atvejais Tiekėjo šiame punkte nurodytas pažeidimas iš karto </w:t>
            </w:r>
            <w:r>
              <w:rPr>
                <w:rFonts w:ascii="Times New Roman" w:hAnsi="Times New Roman" w:cs="Times New Roman"/>
                <w:color w:val="000000"/>
                <w:lang w:val="lt-LT"/>
              </w:rPr>
              <w:lastRenderedPageBreak/>
              <w:t>(nenustatant termino pažeidimams ištaisyti) yra laikomas esminiu sutarties pažeidimu;</w:t>
            </w:r>
          </w:p>
          <w:p w14:paraId="3D41AD6E" w14:textId="77777777" w:rsidR="00817D3E" w:rsidRDefault="00066E2B">
            <w:pPr>
              <w:pStyle w:val="Standard"/>
              <w:jc w:val="both"/>
              <w:rPr>
                <w:rFonts w:hint="eastAsia"/>
              </w:rPr>
            </w:pPr>
            <w:r>
              <w:rPr>
                <w:rFonts w:ascii="Times New Roman" w:eastAsia="Arial" w:hAnsi="Times New Roman" w:cs="Times New Roman"/>
                <w:color w:val="000000"/>
                <w:lang w:val="lt-LT"/>
              </w:rPr>
              <w:t>14.2.4. jeigu Tiekėjas nesilaiko Sutartyje nustatytų Paslaugų teikimo terminų 2 (du) kartus iš eilės arba vėluoja suteikti Paslaugas daugiau nei 30 dienų nei Sutartyje nustatytas Paslaugų pristatymo terminas;</w:t>
            </w:r>
          </w:p>
          <w:p w14:paraId="1BA73865" w14:textId="77777777" w:rsidR="00817D3E" w:rsidRDefault="00066E2B">
            <w:pPr>
              <w:pStyle w:val="Standard"/>
              <w:tabs>
                <w:tab w:val="left" w:pos="567"/>
                <w:tab w:val="left" w:pos="851"/>
                <w:tab w:val="left" w:pos="992"/>
                <w:tab w:val="left" w:pos="1134"/>
              </w:tabs>
              <w:jc w:val="both"/>
              <w:rPr>
                <w:rFonts w:hint="eastAsia"/>
              </w:rPr>
            </w:pPr>
            <w:r>
              <w:rPr>
                <w:rFonts w:ascii="Times New Roman" w:eastAsia="Arial" w:hAnsi="Times New Roman" w:cs="Times New Roman"/>
                <w:lang w:val="lt-LT"/>
              </w:rPr>
              <w:t>14.2.5. jeigu Tiekėjas pažeidžia Paslaugų suteikimo terminus ir priskaičiuotų netesybų už vėlavimą suma viršija 20 (dvidešimt) proc. Pradinės sutarties vertės;</w:t>
            </w:r>
          </w:p>
          <w:p w14:paraId="792B2F96" w14:textId="77777777" w:rsidR="00817D3E" w:rsidRDefault="00066E2B">
            <w:pPr>
              <w:pStyle w:val="Standard"/>
              <w:tabs>
                <w:tab w:val="left" w:pos="567"/>
                <w:tab w:val="left" w:pos="851"/>
                <w:tab w:val="left" w:pos="992"/>
                <w:tab w:val="left" w:pos="1134"/>
              </w:tabs>
              <w:jc w:val="both"/>
              <w:rPr>
                <w:rFonts w:hint="eastAsia"/>
              </w:rPr>
            </w:pPr>
            <w:r>
              <w:rPr>
                <w:rFonts w:ascii="Times New Roman" w:eastAsia="Arial" w:hAnsi="Times New Roman" w:cs="Times New Roman"/>
                <w:lang w:val="lt-LT"/>
              </w:rPr>
              <w:t>14.2.6. Tiekėjas pažeidžia Paslaugų suteikimo terminus ir dėl to Paslaugos tampa nebereikalingos;</w:t>
            </w:r>
          </w:p>
          <w:p w14:paraId="08CD96D7" w14:textId="77777777" w:rsidR="00817D3E" w:rsidRDefault="00066E2B">
            <w:pPr>
              <w:pStyle w:val="Standard"/>
              <w:tabs>
                <w:tab w:val="left" w:pos="567"/>
                <w:tab w:val="left" w:pos="851"/>
                <w:tab w:val="left" w:pos="992"/>
                <w:tab w:val="left" w:pos="1134"/>
              </w:tabs>
              <w:jc w:val="both"/>
              <w:rPr>
                <w:rFonts w:hint="eastAsia"/>
              </w:rPr>
            </w:pPr>
            <w:r>
              <w:rPr>
                <w:rFonts w:ascii="Times New Roman" w:eastAsia="Arial" w:hAnsi="Times New Roman" w:cs="Times New Roman"/>
                <w:lang w:val="lt-LT"/>
              </w:rPr>
              <w:t>14.2.7. Tiekėjo kvalifikacija tapo nebeatitinkančia pirkimo dokumentuose nustatytų Sutarties tinkamam vykdymui būtinų reikalavimų ir šie neatitikimai nebuvo ištaisyti per 14 (keturiolika) kalendorinių dienų nuo kvalifikacijos tapimo neatitinkančia dienos;</w:t>
            </w:r>
          </w:p>
          <w:p w14:paraId="522067A2" w14:textId="77777777" w:rsidR="00817D3E" w:rsidRDefault="00066E2B">
            <w:pPr>
              <w:pStyle w:val="Standard"/>
              <w:tabs>
                <w:tab w:val="left" w:pos="567"/>
                <w:tab w:val="left" w:pos="851"/>
                <w:tab w:val="left" w:pos="992"/>
                <w:tab w:val="left" w:pos="1134"/>
              </w:tabs>
              <w:jc w:val="both"/>
              <w:rPr>
                <w:rFonts w:hint="eastAsia"/>
              </w:rPr>
            </w:pPr>
            <w:r>
              <w:rPr>
                <w:rFonts w:ascii="Times New Roman" w:eastAsia="Arial" w:hAnsi="Times New Roman" w:cs="Times New Roman"/>
                <w:lang w:val="lt-LT"/>
              </w:rPr>
              <w:t xml:space="preserve">14.2.8. </w:t>
            </w:r>
            <w:bookmarkStart w:id="3" w:name="_Hlk161133829"/>
            <w:r>
              <w:rPr>
                <w:rFonts w:ascii="Times New Roman" w:eastAsia="Arial" w:hAnsi="Times New Roman" w:cs="Times New Roman"/>
                <w:lang w:val="lt-LT"/>
              </w:rPr>
              <w:t>Tiekėjas pažeidžia šios Sutarties nuostatas, reglamentuojančias konkurenciją, intelektinės nuosavybės ar konfidencialios informacijos valdymą</w:t>
            </w:r>
            <w:bookmarkEnd w:id="3"/>
            <w:r>
              <w:rPr>
                <w:rFonts w:ascii="Times New Roman" w:eastAsia="Arial" w:hAnsi="Times New Roman" w:cs="Times New Roman"/>
                <w:lang w:val="lt-LT"/>
              </w:rPr>
              <w:t>;</w:t>
            </w:r>
          </w:p>
          <w:p w14:paraId="40348E2A" w14:textId="77777777" w:rsidR="00817D3E" w:rsidRDefault="00066E2B">
            <w:pPr>
              <w:pStyle w:val="Standard"/>
              <w:jc w:val="both"/>
              <w:rPr>
                <w:rFonts w:hint="eastAsia"/>
              </w:rPr>
            </w:pPr>
            <w:r>
              <w:rPr>
                <w:rFonts w:ascii="Times New Roman" w:eastAsia="Arial" w:hAnsi="Times New Roman" w:cs="Times New Roman"/>
                <w:lang w:val="lt-LT"/>
              </w:rPr>
              <w:t>14.2.9. Tiekėjas pažeidžia Bendrųjų sąlygų nuostatas dėl Sutarčiai vykdyti pasitelkiamų naujų Subtiekėjų / esamų Subtiekėjų keitimo.</w:t>
            </w:r>
          </w:p>
        </w:tc>
        <w:tc>
          <w:tcPr>
            <w:tcW w:w="237" w:type="dxa"/>
            <w:shd w:val="clear" w:color="auto" w:fill="auto"/>
            <w:tcMar>
              <w:top w:w="0" w:type="dxa"/>
              <w:left w:w="108" w:type="dxa"/>
              <w:bottom w:w="0" w:type="dxa"/>
              <w:right w:w="108" w:type="dxa"/>
            </w:tcMar>
          </w:tcPr>
          <w:p w14:paraId="3B3EB2B5" w14:textId="77777777" w:rsidR="00817D3E" w:rsidRDefault="00817D3E">
            <w:pPr>
              <w:pStyle w:val="Standard"/>
              <w:rPr>
                <w:rFonts w:hint="eastAsia"/>
                <w:lang w:val="lt-LT"/>
              </w:rPr>
            </w:pPr>
          </w:p>
        </w:tc>
      </w:tr>
      <w:tr w:rsidR="00817D3E" w14:paraId="1D16C3A8" w14:textId="77777777">
        <w:trPr>
          <w:trHeight w:val="300"/>
          <w:jc w:val="center"/>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94C1" w14:textId="77777777" w:rsidR="00817D3E" w:rsidRDefault="00066E2B">
            <w:pPr>
              <w:pStyle w:val="Heading1"/>
              <w:spacing w:before="0" w:after="0"/>
            </w:pPr>
            <w:r>
              <w:rPr>
                <w:rStyle w:val="Other0"/>
                <w:rFonts w:eastAsia="NSimSun"/>
                <w:b/>
                <w:bCs/>
                <w:i w:val="0"/>
                <w:iCs w:val="0"/>
                <w:sz w:val="24"/>
                <w:szCs w:val="24"/>
                <w:lang w:val="lt-LT"/>
              </w:rPr>
              <w:t>SUBTIEKĖJAI</w:t>
            </w:r>
          </w:p>
        </w:tc>
        <w:tc>
          <w:tcPr>
            <w:tcW w:w="237" w:type="dxa"/>
            <w:shd w:val="clear" w:color="auto" w:fill="auto"/>
            <w:tcMar>
              <w:top w:w="0" w:type="dxa"/>
              <w:left w:w="108" w:type="dxa"/>
              <w:bottom w:w="0" w:type="dxa"/>
              <w:right w:w="108" w:type="dxa"/>
            </w:tcMar>
          </w:tcPr>
          <w:p w14:paraId="70CA5473" w14:textId="77777777" w:rsidR="00817D3E" w:rsidRDefault="00817D3E">
            <w:pPr>
              <w:pStyle w:val="Standard"/>
              <w:rPr>
                <w:rFonts w:hint="eastAsia"/>
                <w:lang w:val="lt-LT"/>
              </w:rPr>
            </w:pPr>
          </w:p>
        </w:tc>
      </w:tr>
      <w:tr w:rsidR="00817D3E" w14:paraId="572F9EAF"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94F" w14:textId="77777777" w:rsidR="00817D3E" w:rsidRDefault="00066E2B">
            <w:pPr>
              <w:pStyle w:val="Standard"/>
              <w:rPr>
                <w:rFonts w:hint="eastAsia"/>
              </w:rPr>
            </w:pPr>
            <w:r>
              <w:rPr>
                <w:rFonts w:ascii="Times New Roman" w:hAnsi="Times New Roman" w:cs="Times New Roman"/>
                <w:lang w:val="lt-LT"/>
              </w:rPr>
              <w:t>15.1 Subtiekėjai, kurių pajėgumais remiamasi</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C4CC" w14:textId="77777777" w:rsidR="00817D3E" w:rsidRDefault="00066E2B">
            <w:pPr>
              <w:pStyle w:val="Other"/>
              <w:tabs>
                <w:tab w:val="left" w:pos="1829"/>
                <w:tab w:val="left" w:pos="3130"/>
                <w:tab w:val="left" w:pos="4205"/>
              </w:tabs>
              <w:jc w:val="both"/>
            </w:pPr>
            <w:r>
              <w:rPr>
                <w:rStyle w:val="Other0"/>
                <w:lang w:val="lt-LT"/>
              </w:rPr>
              <w:t>PASIRINKITE</w:t>
            </w:r>
          </w:p>
          <w:p w14:paraId="11B38953" w14:textId="77777777" w:rsidR="00817D3E" w:rsidRDefault="00817D3E">
            <w:pPr>
              <w:pStyle w:val="Other"/>
              <w:tabs>
                <w:tab w:val="left" w:pos="1829"/>
                <w:tab w:val="left" w:pos="3130"/>
                <w:tab w:val="left" w:pos="4205"/>
              </w:tabs>
              <w:jc w:val="both"/>
              <w:rPr>
                <w:lang w:val="lt-LT"/>
              </w:rPr>
            </w:pPr>
          </w:p>
        </w:tc>
        <w:tc>
          <w:tcPr>
            <w:tcW w:w="237" w:type="dxa"/>
            <w:shd w:val="clear" w:color="auto" w:fill="auto"/>
            <w:tcMar>
              <w:top w:w="0" w:type="dxa"/>
              <w:left w:w="108" w:type="dxa"/>
              <w:bottom w:w="0" w:type="dxa"/>
              <w:right w:w="108" w:type="dxa"/>
            </w:tcMar>
          </w:tcPr>
          <w:p w14:paraId="2FA7E602" w14:textId="77777777" w:rsidR="00817D3E" w:rsidRDefault="00817D3E">
            <w:pPr>
              <w:pStyle w:val="Standard"/>
              <w:rPr>
                <w:rFonts w:hint="eastAsia"/>
                <w:lang w:val="lt-LT"/>
              </w:rPr>
            </w:pPr>
          </w:p>
        </w:tc>
      </w:tr>
      <w:tr w:rsidR="00817D3E" w14:paraId="63176854" w14:textId="77777777">
        <w:trPr>
          <w:trHeight w:val="300"/>
          <w:jc w:val="center"/>
        </w:trPr>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7961C" w14:textId="77777777" w:rsidR="00817D3E" w:rsidRDefault="00066E2B">
            <w:pPr>
              <w:pStyle w:val="Standard"/>
              <w:rPr>
                <w:rFonts w:hint="eastAsia"/>
              </w:rPr>
            </w:pPr>
            <w:r>
              <w:rPr>
                <w:rFonts w:ascii="Times New Roman" w:hAnsi="Times New Roman" w:cs="Times New Roman"/>
                <w:lang w:val="lt-LT"/>
              </w:rPr>
              <w:t>15.2. Subtiekėjai pasitelkiami Sutarčiai vykdyti (kurių pajėgumais nesiremiama)</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697A6" w14:textId="77777777" w:rsidR="00817D3E" w:rsidRDefault="00066E2B">
            <w:pPr>
              <w:pStyle w:val="Other"/>
              <w:tabs>
                <w:tab w:val="left" w:pos="1829"/>
                <w:tab w:val="left" w:pos="3130"/>
                <w:tab w:val="left" w:pos="4205"/>
              </w:tabs>
              <w:jc w:val="both"/>
            </w:pPr>
            <w:r>
              <w:rPr>
                <w:i w:val="0"/>
                <w:iCs w:val="0"/>
                <w:lang w:val="lt-LT"/>
              </w:rPr>
              <w:t>PASIRINKITE</w:t>
            </w:r>
          </w:p>
        </w:tc>
        <w:tc>
          <w:tcPr>
            <w:tcW w:w="237" w:type="dxa"/>
            <w:shd w:val="clear" w:color="auto" w:fill="auto"/>
            <w:tcMar>
              <w:top w:w="0" w:type="dxa"/>
              <w:left w:w="108" w:type="dxa"/>
              <w:bottom w:w="0" w:type="dxa"/>
              <w:right w:w="108" w:type="dxa"/>
            </w:tcMar>
          </w:tcPr>
          <w:p w14:paraId="2BA48F3A" w14:textId="77777777" w:rsidR="00817D3E" w:rsidRDefault="00817D3E">
            <w:pPr>
              <w:pStyle w:val="Standard"/>
              <w:rPr>
                <w:rFonts w:hint="eastAsia"/>
                <w:lang w:val="lt-LT"/>
              </w:rPr>
            </w:pPr>
          </w:p>
        </w:tc>
      </w:tr>
      <w:tr w:rsidR="00817D3E" w14:paraId="1D317EC2" w14:textId="77777777">
        <w:trPr>
          <w:trHeight w:val="300"/>
          <w:jc w:val="center"/>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A4A91" w14:textId="77777777" w:rsidR="00817D3E" w:rsidRDefault="00066E2B">
            <w:pPr>
              <w:pStyle w:val="Heading1"/>
              <w:spacing w:before="0" w:after="0"/>
            </w:pPr>
            <w:r>
              <w:rPr>
                <w:rStyle w:val="Other0"/>
                <w:rFonts w:eastAsia="NSimSun"/>
                <w:b/>
                <w:bCs/>
                <w:i w:val="0"/>
                <w:iCs w:val="0"/>
                <w:sz w:val="24"/>
                <w:szCs w:val="24"/>
                <w:lang w:val="lt-LT"/>
              </w:rPr>
              <w:t>SPECIALIŲJŲ SUTARTIES SĄLYGŲ PRIEDAI</w:t>
            </w:r>
          </w:p>
        </w:tc>
        <w:tc>
          <w:tcPr>
            <w:tcW w:w="237" w:type="dxa"/>
            <w:shd w:val="clear" w:color="auto" w:fill="auto"/>
            <w:tcMar>
              <w:top w:w="0" w:type="dxa"/>
              <w:left w:w="108" w:type="dxa"/>
              <w:bottom w:w="0" w:type="dxa"/>
              <w:right w:w="108" w:type="dxa"/>
            </w:tcMar>
          </w:tcPr>
          <w:p w14:paraId="69DB4D4D" w14:textId="77777777" w:rsidR="00817D3E" w:rsidRDefault="00817D3E">
            <w:pPr>
              <w:pStyle w:val="Standard"/>
              <w:rPr>
                <w:rFonts w:hint="eastAsia"/>
                <w:lang w:val="lt-LT"/>
              </w:rPr>
            </w:pPr>
          </w:p>
        </w:tc>
      </w:tr>
      <w:tr w:rsidR="00817D3E" w14:paraId="268C0630" w14:textId="77777777">
        <w:trPr>
          <w:trHeight w:val="300"/>
          <w:jc w:val="center"/>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8EA7" w14:textId="77777777" w:rsidR="00817D3E" w:rsidRDefault="00066E2B">
            <w:pPr>
              <w:pStyle w:val="Other"/>
              <w:tabs>
                <w:tab w:val="left" w:pos="1214"/>
              </w:tabs>
            </w:pPr>
            <w:r>
              <w:rPr>
                <w:rStyle w:val="Other0"/>
                <w:lang w:val="lt-LT"/>
              </w:rPr>
              <w:t>16.1. Priedas Nr. 1 – Techninė specifikacija</w:t>
            </w:r>
          </w:p>
          <w:p w14:paraId="24E55CA9" w14:textId="77777777" w:rsidR="00817D3E" w:rsidRDefault="00066E2B">
            <w:pPr>
              <w:pStyle w:val="Other"/>
              <w:tabs>
                <w:tab w:val="left" w:pos="1214"/>
              </w:tabs>
            </w:pPr>
            <w:r>
              <w:rPr>
                <w:rStyle w:val="Other0"/>
                <w:lang w:val="lt-LT"/>
              </w:rPr>
              <w:t>16.2. Priedas Nr. 2 – Pasiūlymas</w:t>
            </w:r>
          </w:p>
          <w:p w14:paraId="0E207785" w14:textId="77777777" w:rsidR="00817D3E" w:rsidRDefault="00817D3E">
            <w:pPr>
              <w:pStyle w:val="Standard"/>
              <w:rPr>
                <w:rFonts w:hint="eastAsia"/>
                <w:lang w:val="lt-LT"/>
              </w:rPr>
            </w:pPr>
          </w:p>
        </w:tc>
        <w:tc>
          <w:tcPr>
            <w:tcW w:w="237" w:type="dxa"/>
            <w:shd w:val="clear" w:color="auto" w:fill="auto"/>
            <w:tcMar>
              <w:top w:w="0" w:type="dxa"/>
              <w:left w:w="108" w:type="dxa"/>
              <w:bottom w:w="0" w:type="dxa"/>
              <w:right w:w="108" w:type="dxa"/>
            </w:tcMar>
          </w:tcPr>
          <w:p w14:paraId="0E95DEAB" w14:textId="77777777" w:rsidR="00817D3E" w:rsidRDefault="00817D3E">
            <w:pPr>
              <w:pStyle w:val="Standard"/>
              <w:rPr>
                <w:rFonts w:hint="eastAsia"/>
                <w:lang w:val="lt-LT"/>
              </w:rPr>
            </w:pPr>
          </w:p>
        </w:tc>
      </w:tr>
      <w:tr w:rsidR="00817D3E" w14:paraId="011845A8" w14:textId="77777777">
        <w:trPr>
          <w:trHeight w:val="300"/>
          <w:jc w:val="center"/>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1E86" w14:textId="77777777" w:rsidR="00817D3E" w:rsidRDefault="00066E2B">
            <w:pPr>
              <w:pStyle w:val="Heading1"/>
              <w:spacing w:before="0" w:after="0"/>
            </w:pPr>
            <w:r>
              <w:rPr>
                <w:rStyle w:val="Other0"/>
                <w:rFonts w:eastAsia="NSimSun"/>
                <w:b/>
                <w:bCs/>
                <w:i w:val="0"/>
                <w:iCs w:val="0"/>
                <w:sz w:val="24"/>
                <w:szCs w:val="24"/>
                <w:lang w:val="lt-LT"/>
              </w:rPr>
              <w:t>ŠALIŲ PARAŠAI</w:t>
            </w:r>
          </w:p>
        </w:tc>
        <w:tc>
          <w:tcPr>
            <w:tcW w:w="237" w:type="dxa"/>
            <w:shd w:val="clear" w:color="auto" w:fill="auto"/>
            <w:tcMar>
              <w:top w:w="0" w:type="dxa"/>
              <w:left w:w="108" w:type="dxa"/>
              <w:bottom w:w="0" w:type="dxa"/>
              <w:right w:w="108" w:type="dxa"/>
            </w:tcMar>
          </w:tcPr>
          <w:p w14:paraId="055DF8A3" w14:textId="77777777" w:rsidR="00817D3E" w:rsidRDefault="00817D3E">
            <w:pPr>
              <w:pStyle w:val="Standard"/>
              <w:rPr>
                <w:rFonts w:hint="eastAsia"/>
                <w:lang w:val="lt-LT"/>
              </w:rPr>
            </w:pPr>
          </w:p>
        </w:tc>
      </w:tr>
      <w:tr w:rsidR="00817D3E" w14:paraId="46F49539" w14:textId="77777777">
        <w:trPr>
          <w:trHeight w:hRule="exact" w:val="485"/>
          <w:jc w:val="center"/>
        </w:trPr>
        <w:tc>
          <w:tcPr>
            <w:tcW w:w="4693" w:type="dxa"/>
            <w:gridSpan w:val="2"/>
            <w:tcBorders>
              <w:top w:val="single" w:sz="4" w:space="0" w:color="000000"/>
              <w:left w:val="single" w:sz="4" w:space="0" w:color="000000"/>
            </w:tcBorders>
            <w:shd w:val="clear" w:color="auto" w:fill="auto"/>
            <w:tcMar>
              <w:top w:w="0" w:type="dxa"/>
              <w:left w:w="108" w:type="dxa"/>
              <w:bottom w:w="0" w:type="dxa"/>
              <w:right w:w="108" w:type="dxa"/>
            </w:tcMar>
          </w:tcPr>
          <w:p w14:paraId="1B34F99A" w14:textId="77777777" w:rsidR="00817D3E" w:rsidRDefault="00066E2B">
            <w:pPr>
              <w:pStyle w:val="Other"/>
              <w:ind w:firstLine="660"/>
            </w:pPr>
            <w:r>
              <w:rPr>
                <w:rStyle w:val="Other0"/>
                <w:b/>
                <w:bCs/>
                <w:lang w:val="lt-LT"/>
              </w:rPr>
              <w:t>Pirkėjo atstovo vardas, pavardė</w:t>
            </w:r>
          </w:p>
        </w:tc>
        <w:tc>
          <w:tcPr>
            <w:tcW w:w="470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A584BEE" w14:textId="77777777" w:rsidR="00817D3E" w:rsidRDefault="00066E2B">
            <w:pPr>
              <w:pStyle w:val="Other"/>
              <w:ind w:firstLine="660"/>
            </w:pPr>
            <w:r>
              <w:rPr>
                <w:rStyle w:val="Other0"/>
                <w:b/>
                <w:bCs/>
                <w:lang w:val="lt-LT"/>
              </w:rPr>
              <w:t>Tiekėjo atstovo vardas, pavardė</w:t>
            </w:r>
          </w:p>
        </w:tc>
        <w:tc>
          <w:tcPr>
            <w:tcW w:w="237" w:type="dxa"/>
            <w:shd w:val="clear" w:color="auto" w:fill="auto"/>
            <w:tcMar>
              <w:top w:w="0" w:type="dxa"/>
              <w:left w:w="108" w:type="dxa"/>
              <w:bottom w:w="0" w:type="dxa"/>
              <w:right w:w="108" w:type="dxa"/>
            </w:tcMar>
          </w:tcPr>
          <w:p w14:paraId="0865DDA4" w14:textId="77777777" w:rsidR="00817D3E" w:rsidRDefault="00817D3E">
            <w:pPr>
              <w:pStyle w:val="Standard"/>
              <w:rPr>
                <w:rFonts w:hint="eastAsia"/>
                <w:lang w:val="lt-LT"/>
              </w:rPr>
            </w:pPr>
          </w:p>
        </w:tc>
      </w:tr>
      <w:tr w:rsidR="00817D3E" w14:paraId="160D9897" w14:textId="77777777">
        <w:trPr>
          <w:trHeight w:hRule="exact" w:val="744"/>
          <w:jc w:val="center"/>
        </w:trPr>
        <w:tc>
          <w:tcPr>
            <w:tcW w:w="4693" w:type="dxa"/>
            <w:gridSpan w:val="2"/>
            <w:tcBorders>
              <w:top w:val="single" w:sz="4" w:space="0" w:color="000000"/>
              <w:left w:val="single" w:sz="4" w:space="0" w:color="000000"/>
            </w:tcBorders>
            <w:shd w:val="clear" w:color="auto" w:fill="auto"/>
            <w:tcMar>
              <w:top w:w="0" w:type="dxa"/>
              <w:left w:w="108" w:type="dxa"/>
              <w:bottom w:w="0" w:type="dxa"/>
              <w:right w:w="108" w:type="dxa"/>
            </w:tcMar>
          </w:tcPr>
          <w:p w14:paraId="300D91D6" w14:textId="77777777" w:rsidR="00817D3E" w:rsidRDefault="00066E2B">
            <w:pPr>
              <w:pStyle w:val="Other"/>
              <w:ind w:firstLine="660"/>
            </w:pPr>
            <w:r>
              <w:rPr>
                <w:rStyle w:val="Other0"/>
                <w:b/>
                <w:bCs/>
                <w:lang w:val="lt-LT"/>
              </w:rPr>
              <w:t>Atstovo pareigos</w:t>
            </w:r>
          </w:p>
        </w:tc>
        <w:tc>
          <w:tcPr>
            <w:tcW w:w="470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A08853" w14:textId="77777777" w:rsidR="00817D3E" w:rsidRDefault="00066E2B">
            <w:pPr>
              <w:pStyle w:val="Other"/>
              <w:ind w:firstLine="660"/>
            </w:pPr>
            <w:r>
              <w:rPr>
                <w:rStyle w:val="Other0"/>
                <w:b/>
                <w:bCs/>
                <w:lang w:val="lt-LT"/>
              </w:rPr>
              <w:t>Atstovo pareigos</w:t>
            </w:r>
          </w:p>
        </w:tc>
        <w:tc>
          <w:tcPr>
            <w:tcW w:w="237" w:type="dxa"/>
            <w:shd w:val="clear" w:color="auto" w:fill="auto"/>
            <w:tcMar>
              <w:top w:w="0" w:type="dxa"/>
              <w:left w:w="108" w:type="dxa"/>
              <w:bottom w:w="0" w:type="dxa"/>
              <w:right w:w="108" w:type="dxa"/>
            </w:tcMar>
          </w:tcPr>
          <w:p w14:paraId="109A99DE" w14:textId="77777777" w:rsidR="00817D3E" w:rsidRDefault="00817D3E">
            <w:pPr>
              <w:pStyle w:val="Standard"/>
              <w:rPr>
                <w:rFonts w:hint="eastAsia"/>
                <w:lang w:val="lt-LT"/>
              </w:rPr>
            </w:pPr>
          </w:p>
        </w:tc>
      </w:tr>
      <w:tr w:rsidR="00817D3E" w14:paraId="3F4D1D5B" w14:textId="77777777">
        <w:trPr>
          <w:trHeight w:hRule="exact" w:val="379"/>
          <w:jc w:val="center"/>
        </w:trPr>
        <w:tc>
          <w:tcPr>
            <w:tcW w:w="469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A3A283" w14:textId="77777777" w:rsidR="00817D3E" w:rsidRDefault="00066E2B">
            <w:pPr>
              <w:pStyle w:val="Other"/>
              <w:ind w:firstLine="660"/>
            </w:pPr>
            <w:r>
              <w:rPr>
                <w:rStyle w:val="Other0"/>
                <w:b/>
                <w:bCs/>
                <w:lang w:val="lt-LT"/>
              </w:rPr>
              <w:t>(parašas)</w:t>
            </w:r>
          </w:p>
        </w:tc>
        <w:tc>
          <w:tcPr>
            <w:tcW w:w="4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4444" w14:textId="77777777" w:rsidR="00817D3E" w:rsidRDefault="00066E2B">
            <w:pPr>
              <w:pStyle w:val="Other"/>
              <w:ind w:firstLine="660"/>
            </w:pPr>
            <w:r>
              <w:rPr>
                <w:rStyle w:val="Other0"/>
                <w:b/>
                <w:bCs/>
                <w:lang w:val="lt-LT"/>
              </w:rPr>
              <w:t>(parašas)</w:t>
            </w:r>
          </w:p>
        </w:tc>
        <w:tc>
          <w:tcPr>
            <w:tcW w:w="237" w:type="dxa"/>
            <w:shd w:val="clear" w:color="auto" w:fill="auto"/>
            <w:tcMar>
              <w:top w:w="0" w:type="dxa"/>
              <w:left w:w="108" w:type="dxa"/>
              <w:bottom w:w="0" w:type="dxa"/>
              <w:right w:w="108" w:type="dxa"/>
            </w:tcMar>
          </w:tcPr>
          <w:p w14:paraId="24ADEC40" w14:textId="77777777" w:rsidR="00817D3E" w:rsidRDefault="00817D3E">
            <w:pPr>
              <w:pStyle w:val="Standard"/>
              <w:rPr>
                <w:rFonts w:hint="eastAsia"/>
                <w:lang w:val="lt-LT"/>
              </w:rPr>
            </w:pPr>
          </w:p>
        </w:tc>
      </w:tr>
    </w:tbl>
    <w:p w14:paraId="0C6BF830" w14:textId="77777777" w:rsidR="00817D3E" w:rsidRDefault="00817D3E">
      <w:pPr>
        <w:pStyle w:val="Standard"/>
        <w:tabs>
          <w:tab w:val="left" w:pos="709"/>
        </w:tabs>
        <w:rPr>
          <w:rFonts w:ascii="Times New Roman" w:hAnsi="Times New Roman" w:cs="Times New Roman"/>
          <w:b/>
          <w:bCs/>
          <w:lang w:val="lt-LT"/>
        </w:rPr>
      </w:pPr>
    </w:p>
    <w:p w14:paraId="251D11E5" w14:textId="77777777" w:rsidR="00817D3E" w:rsidRDefault="00817D3E">
      <w:pPr>
        <w:pStyle w:val="Standard"/>
        <w:tabs>
          <w:tab w:val="left" w:pos="2977"/>
        </w:tabs>
        <w:rPr>
          <w:rFonts w:ascii="Times New Roman" w:eastAsia="Calibri" w:hAnsi="Times New Roman" w:cs="Times New Roman"/>
          <w:color w:val="0070C0"/>
          <w:lang w:val="lt-LT"/>
        </w:rPr>
      </w:pPr>
    </w:p>
    <w:sectPr w:rsidR="00817D3E">
      <w:pgSz w:w="12240" w:h="15840"/>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4512" w14:textId="77777777" w:rsidR="00066E2B" w:rsidRDefault="00066E2B">
      <w:pPr>
        <w:rPr>
          <w:rFonts w:hint="eastAsia"/>
        </w:rPr>
      </w:pPr>
      <w:r>
        <w:separator/>
      </w:r>
    </w:p>
  </w:endnote>
  <w:endnote w:type="continuationSeparator" w:id="0">
    <w:p w14:paraId="6366680C" w14:textId="77777777" w:rsidR="00066E2B" w:rsidRDefault="00066E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umberland">
    <w:charset w:val="00"/>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B4F2" w14:textId="77777777" w:rsidR="00066E2B" w:rsidRDefault="00066E2B">
      <w:pPr>
        <w:rPr>
          <w:rFonts w:hint="eastAsia"/>
        </w:rPr>
      </w:pPr>
      <w:r>
        <w:rPr>
          <w:color w:val="000000"/>
        </w:rPr>
        <w:separator/>
      </w:r>
    </w:p>
  </w:footnote>
  <w:footnote w:type="continuationSeparator" w:id="0">
    <w:p w14:paraId="03D31F72" w14:textId="77777777" w:rsidR="00066E2B" w:rsidRDefault="00066E2B">
      <w:pPr>
        <w:rPr>
          <w:rFonts w:hint="eastAsia"/>
        </w:rPr>
      </w:pPr>
      <w:r>
        <w:continuationSeparator/>
      </w:r>
    </w:p>
  </w:footnote>
  <w:footnote w:id="1">
    <w:p w14:paraId="764BE614" w14:textId="77777777" w:rsidR="00817D3E" w:rsidRDefault="00066E2B">
      <w:pPr>
        <w:pStyle w:val="Footnote"/>
        <w:rPr>
          <w:rFonts w:hint="eastAsia"/>
        </w:rPr>
      </w:pPr>
      <w:r>
        <w:rPr>
          <w:rStyle w:val="FootnoteReference"/>
        </w:rPr>
        <w:footnoteRef/>
      </w:r>
      <w:r>
        <w:t xml:space="preserve"> </w:t>
      </w:r>
      <w:hyperlink r:id="rId1" w:anchor="/" w:history="1">
        <w:r>
          <w:rPr>
            <w:rStyle w:val="Internetlink"/>
          </w:rPr>
          <w:t>https://osp.stat.gov.lt/</w:t>
        </w:r>
      </w:hyperlink>
    </w:p>
  </w:footnote>
  <w:footnote w:id="2">
    <w:p w14:paraId="59DB0004" w14:textId="77777777" w:rsidR="002E797B" w:rsidRPr="003B2F3E" w:rsidRDefault="002E797B" w:rsidP="002E797B">
      <w:pPr>
        <w:pStyle w:val="FootnoteText"/>
      </w:pPr>
      <w:r w:rsidRPr="00DC7026">
        <w:rPr>
          <w:rStyle w:val="FootnoteReference"/>
        </w:rPr>
        <w:footnoteRef/>
      </w:r>
      <w:r w:rsidRPr="00DC7026">
        <w:t xml:space="preserve"> </w:t>
      </w:r>
      <w:r w:rsidRPr="00BC0C9D">
        <w:rPr>
          <w:bCs/>
          <w:lang w:eastAsia="lt-LT"/>
        </w:rPr>
        <w:t>P</w:t>
      </w:r>
      <w:r w:rsidRPr="003B2F3E">
        <w:rPr>
          <w:bCs/>
          <w:lang w:eastAsia="lt-LT"/>
        </w:rPr>
        <w:t>rekei pagaminti ir (ar) tiekti, paslaugai teikti ar darbams atlikti sunaudojama mažiau gamtos išteklių ir (ar) sudėtyje yra pakartotinai panaudotų ir (ar) perdirbtų medžiagų.</w:t>
      </w:r>
    </w:p>
  </w:footnote>
  <w:footnote w:id="3">
    <w:p w14:paraId="419C813B" w14:textId="77777777" w:rsidR="002E797B" w:rsidRPr="00CE09B8" w:rsidRDefault="002E797B" w:rsidP="002E797B">
      <w:pPr>
        <w:ind w:right="-288" w:firstLine="144"/>
        <w:jc w:val="both"/>
        <w:rPr>
          <w:rFonts w:ascii="Times New Roman" w:hAnsi="Times New Roman" w:cs="Times New Roman"/>
          <w:sz w:val="20"/>
          <w:szCs w:val="20"/>
          <w:lang w:eastAsia="lt-LT"/>
        </w:rPr>
      </w:pPr>
      <w:r w:rsidRPr="003B2F3E">
        <w:rPr>
          <w:rStyle w:val="FootnoteReference"/>
          <w:sz w:val="20"/>
          <w:szCs w:val="20"/>
        </w:rPr>
        <w:footnoteRef/>
      </w:r>
      <w:r w:rsidRPr="003B2F3E">
        <w:rPr>
          <w:sz w:val="20"/>
          <w:szCs w:val="20"/>
        </w:rPr>
        <w:t xml:space="preserve"> </w:t>
      </w:r>
      <w:r w:rsidRPr="00CE09B8">
        <w:rPr>
          <w:rFonts w:ascii="Times New Roman" w:eastAsia="Cumberland" w:hAnsi="Times New Roman" w:cs="Times New Roman"/>
          <w:color w:val="000000"/>
          <w:sz w:val="20"/>
          <w:szCs w:val="20"/>
          <w:lang w:eastAsia="lt-LT"/>
        </w:rPr>
        <w:t>Popierius ir jo gaminiai:</w:t>
      </w:r>
    </w:p>
    <w:p w14:paraId="2C167DDD" w14:textId="77777777" w:rsidR="002E797B" w:rsidRPr="00CE09B8" w:rsidRDefault="002E797B" w:rsidP="002E797B">
      <w:pPr>
        <w:ind w:right="-288" w:firstLine="144"/>
        <w:jc w:val="both"/>
        <w:rPr>
          <w:rFonts w:ascii="Times New Roman" w:eastAsia="Cumberland" w:hAnsi="Times New Roman" w:cs="Times New Roman"/>
          <w:color w:val="000000"/>
          <w:sz w:val="20"/>
          <w:szCs w:val="20"/>
          <w:lang w:eastAsia="lt-LT"/>
        </w:rPr>
      </w:pPr>
      <w:r w:rsidRPr="00CE09B8">
        <w:rPr>
          <w:rFonts w:ascii="Times New Roman" w:eastAsia="Cumberland" w:hAnsi="Times New Roman" w:cs="Times New Roman"/>
          <w:color w:val="000000"/>
          <w:sz w:val="20"/>
          <w:szCs w:val="20"/>
          <w:lang w:eastAsia="lt-LT"/>
        </w:rPr>
        <w:t xml:space="preserve">1.1. gaminys turi būti pagamintas iš 100 proc. perdirbto popieriaus (naudoto popieriaus ir (ar) gamybos atliekų) plaušų arba </w:t>
      </w:r>
      <w:r w:rsidRPr="00CE09B8">
        <w:rPr>
          <w:rFonts w:ascii="Times New Roman" w:hAnsi="Times New Roman" w:cs="Times New Roman"/>
          <w:sz w:val="20"/>
          <w:szCs w:val="20"/>
          <w:lang w:eastAsia="lt-LT"/>
        </w:rPr>
        <w:t xml:space="preserve">ne mažiau kaip 30 proc. pirminės medienos plaušų, gautų iš miškų, sertifikuotų naudojant </w:t>
      </w:r>
      <w:r w:rsidRPr="00CE09B8">
        <w:rPr>
          <w:rFonts w:ascii="Times New Roman" w:hAnsi="Times New Roman" w:cs="Times New Roman"/>
          <w:i/>
          <w:iCs/>
          <w:color w:val="000000"/>
          <w:sz w:val="20"/>
          <w:szCs w:val="20"/>
          <w:lang w:eastAsia="lt-LT"/>
        </w:rPr>
        <w:t>Forest Stewardship Council</w:t>
      </w:r>
      <w:r w:rsidRPr="00CE09B8">
        <w:rPr>
          <w:rFonts w:ascii="Times New Roman" w:hAnsi="Times New Roman" w:cs="Times New Roman"/>
          <w:color w:val="000000"/>
          <w:sz w:val="20"/>
          <w:szCs w:val="20"/>
          <w:lang w:eastAsia="lt-LT"/>
        </w:rPr>
        <w:t xml:space="preserve"> (toliau – FSC)</w:t>
      </w:r>
      <w:r w:rsidRPr="00CE09B8">
        <w:rPr>
          <w:rFonts w:ascii="Times New Roman" w:hAnsi="Times New Roman" w:cs="Times New Roman"/>
          <w:sz w:val="20"/>
          <w:szCs w:val="20"/>
          <w:lang w:eastAsia="lt-LT"/>
        </w:rPr>
        <w:t xml:space="preserve"> ar </w:t>
      </w:r>
      <w:r w:rsidRPr="00CE09B8">
        <w:rPr>
          <w:rFonts w:ascii="Times New Roman" w:hAnsi="Times New Roman" w:cs="Times New Roman"/>
          <w:color w:val="000000"/>
          <w:sz w:val="20"/>
          <w:szCs w:val="20"/>
          <w:lang w:eastAsia="lt-LT"/>
        </w:rPr>
        <w:t xml:space="preserve">Miškų sertifikavimo sistemų pripažinimo programą (angl. </w:t>
      </w:r>
      <w:r w:rsidRPr="00CE09B8">
        <w:rPr>
          <w:rFonts w:ascii="Times New Roman" w:hAnsi="Times New Roman" w:cs="Times New Roman"/>
          <w:i/>
          <w:iCs/>
          <w:color w:val="000000"/>
          <w:sz w:val="20"/>
          <w:szCs w:val="20"/>
          <w:lang w:eastAsia="lt-LT"/>
        </w:rPr>
        <w:t>Programme for the Endorsement of Forest Certification schemes</w:t>
      </w:r>
      <w:r w:rsidRPr="00CE09B8">
        <w:rPr>
          <w:rFonts w:ascii="Times New Roman" w:hAnsi="Times New Roman" w:cs="Times New Roman"/>
          <w:color w:val="000000"/>
          <w:sz w:val="20"/>
          <w:szCs w:val="20"/>
          <w:lang w:eastAsia="lt-LT"/>
        </w:rPr>
        <w:t xml:space="preserve"> (toliau – PEFC)</w:t>
      </w:r>
      <w:r w:rsidRPr="00CE09B8">
        <w:rPr>
          <w:rFonts w:ascii="Times New Roman" w:hAnsi="Times New Roman" w:cs="Times New Roman"/>
          <w:sz w:val="20"/>
          <w:szCs w:val="20"/>
          <w:lang w:eastAsia="lt-LT"/>
        </w:rPr>
        <w:t xml:space="preserve"> arba lygiavertes miškų sertifikavimo sistemas, kita dalis – iš perdirbto popieriaus plaušų</w:t>
      </w:r>
      <w:r w:rsidRPr="00CE09B8">
        <w:rPr>
          <w:rFonts w:ascii="Times New Roman" w:eastAsia="Cumberland" w:hAnsi="Times New Roman" w:cs="Times New Roman"/>
          <w:color w:val="000000"/>
          <w:sz w:val="20"/>
          <w:szCs w:val="20"/>
          <w:lang w:eastAsia="lt-LT"/>
        </w:rPr>
        <w:t>;</w:t>
      </w:r>
    </w:p>
    <w:p w14:paraId="75E7616C" w14:textId="77777777" w:rsidR="002E797B" w:rsidRPr="00CE09B8" w:rsidRDefault="002E797B" w:rsidP="002E797B">
      <w:pPr>
        <w:ind w:right="-288" w:firstLine="144"/>
        <w:jc w:val="both"/>
        <w:rPr>
          <w:rFonts w:ascii="Times New Roman" w:hAnsi="Times New Roman" w:cs="Times New Roman"/>
          <w:sz w:val="20"/>
          <w:szCs w:val="20"/>
        </w:rPr>
      </w:pPr>
      <w:r w:rsidRPr="00CE09B8">
        <w:rPr>
          <w:rFonts w:ascii="Times New Roman" w:hAnsi="Times New Roman" w:cs="Times New Roman"/>
          <w:color w:val="000000"/>
          <w:sz w:val="20"/>
          <w:szCs w:val="20"/>
          <w:shd w:val="clear" w:color="auto" w:fill="FFFFFF"/>
          <w:lang w:eastAsia="lt-LT"/>
        </w:rPr>
        <w:t>1.2. gaminys turi būti nebalintas arba balintas nenaudojant chloro dujų.</w:t>
      </w:r>
    </w:p>
  </w:footnote>
  <w:footnote w:id="4">
    <w:p w14:paraId="58C686CC" w14:textId="77777777" w:rsidR="00817D3E" w:rsidRDefault="00066E2B">
      <w:pPr>
        <w:pStyle w:val="Standard"/>
        <w:tabs>
          <w:tab w:val="left" w:pos="567"/>
          <w:tab w:val="left" w:pos="851"/>
          <w:tab w:val="left" w:pos="992"/>
          <w:tab w:val="left" w:pos="1134"/>
        </w:tabs>
        <w:jc w:val="both"/>
        <w:rPr>
          <w:rFonts w:hint="eastAsia"/>
        </w:rPr>
      </w:pPr>
      <w:r>
        <w:rPr>
          <w:rStyle w:val="FootnoteReference"/>
        </w:rPr>
        <w:footnoteRef/>
      </w:r>
      <w:r>
        <w:rPr>
          <w:rFonts w:eastAsia="Arial" w:cs="Times New Roman"/>
          <w:sz w:val="18"/>
          <w:szCs w:val="18"/>
        </w:rPr>
        <w:t xml:space="preserve"> </w:t>
      </w:r>
      <w:r>
        <w:rPr>
          <w:rFonts w:eastAsia="Arial" w:cs="Times New Roman"/>
          <w:sz w:val="18"/>
          <w:szCs w:val="18"/>
        </w:rPr>
        <w:t>Susitarime įvardijamos Sutarties nutraukimo priežastys, nutraukimo data ir susitariama dėl apmokėjimo už iki Sutarties nutraukimo suteiktas ir priimtas Paslaugas,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E7083"/>
    <w:multiLevelType w:val="hybridMultilevel"/>
    <w:tmpl w:val="D13A459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26891F88"/>
    <w:multiLevelType w:val="multilevel"/>
    <w:tmpl w:val="B76C415A"/>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3CF24693"/>
    <w:multiLevelType w:val="multilevel"/>
    <w:tmpl w:val="3EA462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NSimSu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9"/>
  <w:autoHyphenation/>
  <w:hyphenationZone w:val="396"/>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D3E"/>
    <w:rsid w:val="00066E2B"/>
    <w:rsid w:val="000A3C8E"/>
    <w:rsid w:val="000B54C6"/>
    <w:rsid w:val="00132CB8"/>
    <w:rsid w:val="0027137D"/>
    <w:rsid w:val="002E797B"/>
    <w:rsid w:val="003621B9"/>
    <w:rsid w:val="007A20CB"/>
    <w:rsid w:val="00817D3E"/>
    <w:rsid w:val="009B077D"/>
    <w:rsid w:val="00D91E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80B0AE"/>
  <w15:docId w15:val="{5F34F45A-0534-4F78-93EA-DDB07791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val="en-US" w:eastAsia="zh-CN" w:bidi="hi-IN"/>
    </w:rPr>
  </w:style>
  <w:style w:type="paragraph" w:styleId="Heading1">
    <w:name w:val="heading 1"/>
    <w:basedOn w:val="Standard"/>
    <w:next w:val="Standard"/>
    <w:uiPriority w:val="9"/>
    <w:qFormat/>
    <w:pPr>
      <w:keepNext/>
      <w:keepLines/>
      <w:pBdr>
        <w:bottom w:val="single" w:sz="4" w:space="2" w:color="ED7D31"/>
      </w:pBdr>
      <w:spacing w:before="360" w:after="120"/>
      <w:outlineLvl w:val="0"/>
    </w:pPr>
    <w:rPr>
      <w:rFonts w:ascii="Calibri Light" w:eastAsia="Calibri Light" w:hAnsi="Calibri Light" w:cs="Times New Roman"/>
      <w:color w:val="262626"/>
      <w:sz w:val="40"/>
      <w:szCs w:val="40"/>
    </w:rPr>
  </w:style>
  <w:style w:type="paragraph" w:styleId="Heading2">
    <w:name w:val="heading 2"/>
    <w:basedOn w:val="Standard"/>
    <w:next w:val="Standard"/>
    <w:uiPriority w:val="9"/>
    <w:unhideWhenUsed/>
    <w:qFormat/>
    <w:pPr>
      <w:keepNext/>
      <w:keepLines/>
      <w:spacing w:before="120"/>
      <w:outlineLvl w:val="1"/>
    </w:pPr>
    <w:rPr>
      <w:rFonts w:ascii="Calibri Light" w:eastAsia="Calibri Light" w:hAnsi="Calibri Light" w:cs="Times New Roman"/>
      <w:color w:val="0369A3"/>
      <w:sz w:val="36"/>
      <w:szCs w:val="36"/>
    </w:rPr>
  </w:style>
  <w:style w:type="paragraph" w:styleId="Heading3">
    <w:name w:val="heading 3"/>
    <w:basedOn w:val="Standard"/>
    <w:next w:val="Standard"/>
    <w:uiPriority w:val="9"/>
    <w:unhideWhenUsed/>
    <w:qFormat/>
    <w:pPr>
      <w:keepNext/>
      <w:keepLines/>
      <w:spacing w:before="80"/>
      <w:outlineLvl w:val="2"/>
    </w:pPr>
    <w:rPr>
      <w:rFonts w:ascii="Calibri Light" w:eastAsia="Calibri Light" w:hAnsi="Calibri Light" w:cs="Times New Roman"/>
      <w:color w:val="024E7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kern w:val="3"/>
      <w:sz w:val="24"/>
      <w:szCs w:val="24"/>
      <w:lang w:val="en-US"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Spacing">
    <w:name w:val="No Spacing"/>
    <w:link w:val="NoSpacingChar"/>
    <w:uiPriority w:val="1"/>
    <w:qFormat/>
    <w:pPr>
      <w:suppressAutoHyphens/>
      <w:autoSpaceDN w:val="0"/>
      <w:textAlignment w:val="baseline"/>
    </w:pPr>
    <w:rPr>
      <w:kern w:val="3"/>
      <w:sz w:val="24"/>
      <w:szCs w:val="24"/>
      <w:lang w:val="en-US" w:eastAsia="zh-CN" w:bidi="hi-IN"/>
    </w:rPr>
  </w:style>
  <w:style w:type="paragraph" w:customStyle="1" w:styleId="Other">
    <w:name w:val="Other"/>
    <w:basedOn w:val="Standard"/>
    <w:pPr>
      <w:widowControl w:val="0"/>
    </w:pPr>
    <w:rPr>
      <w:rFonts w:ascii="Times New Roman" w:eastAsia="Times New Roman" w:hAnsi="Times New Roman" w:cs="Times New Roman"/>
      <w:i/>
      <w:iCs/>
      <w:color w:val="000000"/>
    </w:rPr>
  </w:style>
  <w:style w:type="paragraph" w:customStyle="1" w:styleId="Footnote">
    <w:name w:val="Footnote"/>
    <w:basedOn w:val="Standard"/>
    <w:pPr>
      <w:suppressLineNumbers/>
      <w:ind w:left="340" w:hanging="340"/>
    </w:pPr>
    <w:rPr>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ListParagraphChar"/>
    <w:uiPriority w:val="34"/>
    <w:qFormat/>
    <w:pPr>
      <w:spacing w:after="160"/>
      <w:ind w:left="720"/>
    </w:pPr>
  </w:style>
  <w:style w:type="paragraph" w:customStyle="1" w:styleId="xxmsonospacing">
    <w:name w:val="x_x_msonospacing"/>
    <w:basedOn w:val="Standard"/>
    <w:pPr>
      <w:spacing w:before="280" w:after="280"/>
    </w:pPr>
    <w:rPr>
      <w:rFonts w:ascii="Times New Roman" w:eastAsia="Times New Roman" w:hAnsi="Times New Roman" w:cs="Times New Roman"/>
    </w:rPr>
  </w:style>
  <w:style w:type="paragraph" w:customStyle="1" w:styleId="TableContents">
    <w:name w:val="Table Contents"/>
    <w:basedOn w:val="Standard"/>
    <w:pPr>
      <w:widowControl w:val="0"/>
      <w:suppressLineNumbers/>
    </w:pPr>
  </w:style>
  <w:style w:type="paragraph" w:styleId="CommentText">
    <w:name w:val="annotation text"/>
    <w:basedOn w:val="Standard"/>
    <w:rPr>
      <w:rFonts w:cs="Mangal"/>
      <w:sz w:val="20"/>
      <w:szCs w:val="18"/>
    </w:rPr>
  </w:style>
  <w:style w:type="paragraph" w:styleId="CommentSubject">
    <w:name w:val="annotation subject"/>
    <w:basedOn w:val="CommentText"/>
    <w:next w:val="CommentText"/>
    <w:rPr>
      <w:b/>
      <w:bCs/>
    </w:rPr>
  </w:style>
  <w:style w:type="paragraph" w:styleId="BalloonText">
    <w:name w:val="Balloon Text"/>
    <w:basedOn w:val="Standard"/>
    <w:rPr>
      <w:rFonts w:ascii="Segoe UI" w:eastAsia="Segoe UI" w:hAnsi="Segoe UI" w:cs="Mangal"/>
      <w:sz w:val="18"/>
      <w:szCs w:val="16"/>
    </w:rPr>
  </w:style>
  <w:style w:type="paragraph" w:styleId="Revision">
    <w:name w:val="Revision"/>
    <w:pPr>
      <w:autoSpaceDN w:val="0"/>
      <w:textAlignment w:val="baseline"/>
    </w:pPr>
    <w:rPr>
      <w:rFonts w:cs="Mangal"/>
      <w:kern w:val="3"/>
      <w:sz w:val="24"/>
      <w:szCs w:val="21"/>
      <w:lang w:val="en-US" w:eastAsia="zh-CN" w:bidi="hi-IN"/>
    </w:rPr>
  </w:style>
  <w:style w:type="character" w:customStyle="1" w:styleId="DefaultParagraphFontWW">
    <w:name w:val="Default Paragraph Font (WW)"/>
  </w:style>
  <w:style w:type="character" w:customStyle="1" w:styleId="Internetlink">
    <w:name w:val="Internet link"/>
    <w:rPr>
      <w:strike w:val="0"/>
      <w:dstrike w:val="0"/>
      <w:color w:val="auto"/>
      <w:u w:val="none"/>
    </w:rPr>
  </w:style>
  <w:style w:type="character" w:customStyle="1" w:styleId="VisitedInternetLink">
    <w:name w:val="Visited Internet Link"/>
    <w:rPr>
      <w:color w:val="551A8B"/>
      <w:u w:val="single"/>
    </w:rPr>
  </w:style>
  <w:style w:type="character" w:customStyle="1" w:styleId="PagrindinistekstasDiagrama">
    <w:name w:val="Pagrindinis tekstas Diagrama"/>
    <w:rPr>
      <w:rFonts w:ascii="Times New Roman" w:eastAsia="Times New Roman" w:hAnsi="Times New Roman" w:cs="Times New Roman"/>
      <w:sz w:val="24"/>
      <w:szCs w:val="20"/>
      <w:lang w:eastAsia="en-US"/>
    </w:rPr>
  </w:style>
  <w:style w:type="character" w:customStyle="1" w:styleId="Other0">
    <w:name w:val="Other_"/>
    <w:rPr>
      <w:rFonts w:ascii="Times New Roman" w:eastAsia="Times New Roman" w:hAnsi="Times New Roman" w:cs="Times New Roman"/>
      <w:i/>
      <w:iCs/>
      <w:color w:val="00000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styleId="CommentReference">
    <w:name w:val="annotation reference"/>
    <w:rPr>
      <w:sz w:val="16"/>
      <w:szCs w:val="16"/>
    </w:rPr>
  </w:style>
  <w:style w:type="character" w:customStyle="1" w:styleId="KomentarotekstasDiagrama">
    <w:name w:val="Komentaro tekstas Diagrama"/>
    <w:rPr>
      <w:rFonts w:cs="Mangal"/>
      <w:sz w:val="20"/>
      <w:szCs w:val="18"/>
    </w:rPr>
  </w:style>
  <w:style w:type="character" w:customStyle="1" w:styleId="KomentarotemaDiagrama">
    <w:name w:val="Komentaro tema Diagrama"/>
    <w:rPr>
      <w:rFonts w:cs="Mangal"/>
      <w:b/>
      <w:bCs/>
      <w:sz w:val="20"/>
      <w:szCs w:val="18"/>
    </w:rPr>
  </w:style>
  <w:style w:type="character" w:customStyle="1" w:styleId="DebesliotekstasDiagrama">
    <w:name w:val="Debesėlio tekstas Diagrama"/>
    <w:rPr>
      <w:rFonts w:ascii="Segoe UI" w:eastAsia="Segoe UI" w:hAnsi="Segoe UI" w:cs="Mangal"/>
      <w:sz w:val="18"/>
      <w:szCs w:val="16"/>
    </w:rPr>
  </w:style>
  <w:style w:type="character" w:customStyle="1" w:styleId="BetarpDiagrama">
    <w:name w:val="Be tarpų Diagrama"/>
    <w:basedOn w:val="DefaultParagraphFontWW"/>
  </w:style>
  <w:style w:type="character" w:customStyle="1" w:styleId="cf01">
    <w:name w:val="cf01"/>
    <w:rPr>
      <w:rFonts w:ascii="Segoe UI" w:eastAsia="Segoe UI" w:hAnsi="Segoe UI" w:cs="Segoe UI"/>
      <w:sz w:val="18"/>
      <w:szCs w:val="18"/>
    </w:rPr>
  </w:style>
  <w:style w:type="character" w:customStyle="1" w:styleId="Linenumbering">
    <w:name w:val="Line numbering"/>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uiPriority w:val="99"/>
    <w:rPr>
      <w:position w:val="0"/>
      <w:vertAlign w:val="superscript"/>
    </w:rPr>
  </w:style>
  <w:style w:type="numbering" w:customStyle="1" w:styleId="NoListWW">
    <w:name w:val="No List (WW)"/>
    <w:basedOn w:val="NoList"/>
    <w:pPr>
      <w:numPr>
        <w:numId w:val="1"/>
      </w:numPr>
    </w:pPr>
  </w:style>
  <w:style w:type="character" w:customStyle="1" w:styleId="NoSpacingChar">
    <w:name w:val="No Spacing Char"/>
    <w:basedOn w:val="DefaultParagraphFont"/>
    <w:link w:val="NoSpacing"/>
    <w:uiPriority w:val="1"/>
    <w:qFormat/>
    <w:rsid w:val="000B54C6"/>
    <w:rPr>
      <w:kern w:val="3"/>
      <w:sz w:val="24"/>
      <w:szCs w:val="24"/>
      <w:lang w:val="en-US" w:eastAsia="zh-CN" w:bidi="hi-IN"/>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t Char"/>
    <w:link w:val="FootnoteText"/>
    <w:uiPriority w:val="99"/>
    <w:qFormat/>
    <w:rsid w:val="002E797B"/>
    <w:rPr>
      <w:rFonts w:ascii="Times New Roman" w:hAnsi="Times New Roman"/>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E797B"/>
    <w:rPr>
      <w:kern w:val="3"/>
      <w:sz w:val="24"/>
      <w:szCs w:val="24"/>
      <w:lang w:val="en-US" w:eastAsia="zh-CN" w:bidi="hi-IN"/>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2E797B"/>
    <w:pPr>
      <w:widowControl/>
      <w:autoSpaceDN/>
      <w:spacing w:after="160" w:line="276" w:lineRule="auto"/>
      <w:textAlignment w:val="auto"/>
    </w:pPr>
    <w:rPr>
      <w:rFonts w:ascii="Times New Roman" w:hAnsi="Times New Roman"/>
      <w:kern w:val="0"/>
      <w:sz w:val="20"/>
      <w:szCs w:val="20"/>
      <w:lang w:val="lt-LT" w:eastAsia="en-US" w:bidi="ar-SA"/>
    </w:rPr>
  </w:style>
  <w:style w:type="character" w:customStyle="1" w:styleId="FootnoteTextChar1">
    <w:name w:val="Footnote Text Char1"/>
    <w:basedOn w:val="DefaultParagraphFont"/>
    <w:uiPriority w:val="99"/>
    <w:semiHidden/>
    <w:rsid w:val="002E797B"/>
    <w:rPr>
      <w:rFonts w:cs="Mangal"/>
      <w:kern w:val="3"/>
      <w:szCs w:val="1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nsa.smm.lt/wp-content/uploads/2024/03/Viesojo-pirkimo-paslaugu-sutartis_B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23ECC211-A1A6-40F6-B265-30D7E17B6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34BEC-50FE-4883-AA6F-034279EF20C5}">
  <ds:schemaRefs>
    <ds:schemaRef ds:uri="http://schemas.microsoft.com/sharepoint/v3/contenttype/forms"/>
  </ds:schemaRefs>
</ds:datastoreItem>
</file>

<file path=customXml/itemProps3.xml><?xml version="1.0" encoding="utf-8"?>
<ds:datastoreItem xmlns:ds="http://schemas.openxmlformats.org/officeDocument/2006/customXml" ds:itemID="{F2B8CEC4-206C-42EA-A069-4764F2F91BCE}">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12908</Words>
  <Characters>7359</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svietimo agentura</Company>
  <LinksUpToDate>false</LinksUpToDate>
  <CharactersWithSpaces>20227</CharactersWithSpaces>
  <SharedDoc>false</SharedDoc>
  <HLinks>
    <vt:vector size="12" baseType="variant">
      <vt:variant>
        <vt:i4>5832813</vt:i4>
      </vt:variant>
      <vt:variant>
        <vt:i4>0</vt:i4>
      </vt:variant>
      <vt:variant>
        <vt:i4>0</vt:i4>
      </vt:variant>
      <vt:variant>
        <vt:i4>5</vt:i4>
      </vt:variant>
      <vt:variant>
        <vt:lpwstr>https://www.nsa.smm.lt/wp-content/uploads/2024/03/Viesojo-pirkimo-paslaugu-sutartis_BS.pdf</vt:lpwstr>
      </vt:variant>
      <vt:variant>
        <vt:lpwstr/>
      </vt:variant>
      <vt:variant>
        <vt:i4>786466</vt:i4>
      </vt:variant>
      <vt:variant>
        <vt:i4>0</vt:i4>
      </vt:variant>
      <vt:variant>
        <vt:i4>0</vt:i4>
      </vt:variant>
      <vt:variant>
        <vt:i4>5</vt:i4>
      </vt:variant>
      <vt:variant>
        <vt:lpwstr>https://osp.stat.gov.lt/statistiniu-rodikliu-analize?indicator=S7R260</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Vilimienė</dc:creator>
  <cp:keywords/>
  <cp:lastModifiedBy>Jurgita Nainienė</cp:lastModifiedBy>
  <cp:revision>2</cp:revision>
  <cp:lastPrinted>2024-10-28T08:25:00Z</cp:lastPrinted>
  <dcterms:created xsi:type="dcterms:W3CDTF">2024-12-27T09:34:00Z</dcterms:created>
  <dcterms:modified xsi:type="dcterms:W3CDTF">2024-12-27T09:34:00Z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Nacionaline svietimo agentura</vt:lpwstr>
  </property>
  <property fmtid="{D5CDD505-2E9C-101B-9397-08002B2CF9AE}" pid="4" name="ContentTypeId">
    <vt:lpwstr>0x010100149875867A94D24C97D3673D8ECB2620</vt:lpwstr>
  </property>
</Properties>
</file>