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EDC78" w14:textId="77777777" w:rsidR="00B95A5F" w:rsidRDefault="00B95A5F" w:rsidP="00B95A5F">
      <w:pPr>
        <w:jc w:val="right"/>
        <w:rPr>
          <w:rFonts w:ascii="Arial" w:eastAsia="Arial" w:hAnsi="Arial" w:cs="Arial"/>
        </w:rPr>
      </w:pPr>
      <w:r>
        <w:rPr>
          <w:rFonts w:ascii="Arial" w:eastAsia="Arial" w:hAnsi="Arial" w:cs="Arial"/>
        </w:rPr>
        <w:t>4 priedas</w:t>
      </w:r>
    </w:p>
    <w:p w14:paraId="546CA2F0" w14:textId="77777777" w:rsidR="00B95A5F" w:rsidRDefault="00B95A5F" w:rsidP="00B95A5F">
      <w:pPr>
        <w:jc w:val="center"/>
        <w:rPr>
          <w:rFonts w:ascii="Arial" w:eastAsia="Arial" w:hAnsi="Arial" w:cs="Arial"/>
        </w:rPr>
      </w:pPr>
    </w:p>
    <w:p w14:paraId="66B3A5A1" w14:textId="77777777" w:rsidR="00B95A5F" w:rsidRPr="00B95A5F" w:rsidRDefault="00B95A5F" w:rsidP="00B95A5F">
      <w:pPr>
        <w:pStyle w:val="Heading1"/>
        <w:jc w:val="center"/>
        <w:rPr>
          <w:rFonts w:ascii="Arial" w:eastAsia="Arial" w:hAnsi="Arial" w:cs="Arial"/>
          <w:b/>
          <w:bCs/>
          <w:color w:val="auto"/>
          <w:sz w:val="22"/>
          <w:szCs w:val="22"/>
        </w:rPr>
      </w:pPr>
      <w:bookmarkStart w:id="0" w:name="_heading=h.3rdcrjn"/>
      <w:bookmarkEnd w:id="0"/>
      <w:r w:rsidRPr="00B95A5F">
        <w:rPr>
          <w:rFonts w:ascii="Arial" w:eastAsia="Arial" w:hAnsi="Arial" w:cs="Arial"/>
          <w:b/>
          <w:bCs/>
          <w:color w:val="auto"/>
          <w:sz w:val="22"/>
          <w:szCs w:val="22"/>
        </w:rPr>
        <w:t>Tiekėjų kvalifikacijos ir kiti reikalavimai</w:t>
      </w:r>
    </w:p>
    <w:p w14:paraId="14E60687" w14:textId="77777777" w:rsidR="00B95A5F" w:rsidRDefault="00B95A5F" w:rsidP="00B95A5F">
      <w:pPr>
        <w:rPr>
          <w:rFonts w:ascii="Arial" w:eastAsia="Arial" w:hAnsi="Arial" w:cs="Arial"/>
        </w:rPr>
      </w:pPr>
    </w:p>
    <w:p w14:paraId="5795383E" w14:textId="77777777" w:rsidR="00B95A5F" w:rsidRDefault="00B95A5F" w:rsidP="00B95A5F">
      <w:pPr>
        <w:numPr>
          <w:ilvl w:val="0"/>
          <w:numId w:val="1"/>
        </w:numPr>
        <w:ind w:left="0" w:firstLine="0"/>
        <w:rPr>
          <w:rFonts w:ascii="Arial" w:eastAsia="Arial" w:hAnsi="Arial" w:cs="Arial"/>
        </w:rPr>
      </w:pPr>
      <w:r>
        <w:rPr>
          <w:rFonts w:ascii="Arial" w:eastAsia="Arial" w:hAnsi="Arial" w:cs="Arial"/>
        </w:rPr>
        <w:t>Tiekėjų kvalifikacijos reikalavimai bei reikalaujami dokumentai ir informacija, patvirtinantys šiuos reikalavimus:</w:t>
      </w:r>
    </w:p>
    <w:tbl>
      <w:tblPr>
        <w:tblStyle w:val="4"/>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4253"/>
        <w:gridCol w:w="4389"/>
      </w:tblGrid>
      <w:tr w:rsidR="00B95A5F" w14:paraId="7F2160F4" w14:textId="77777777" w:rsidTr="00B95A5F">
        <w:trPr>
          <w:cantSplit/>
          <w:tblHead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29B7C24" w14:textId="77777777" w:rsidR="00B95A5F" w:rsidRDefault="00B95A5F">
            <w:pPr>
              <w:jc w:val="center"/>
              <w:rPr>
                <w:rFonts w:ascii="Arial" w:eastAsia="Arial" w:hAnsi="Arial" w:cs="Arial"/>
                <w:b/>
                <w:sz w:val="22"/>
                <w:szCs w:val="22"/>
              </w:rPr>
            </w:pPr>
            <w:r>
              <w:rPr>
                <w:rFonts w:ascii="Arial" w:eastAsia="Arial" w:hAnsi="Arial" w:cs="Arial"/>
                <w:b/>
                <w:sz w:val="22"/>
                <w:szCs w:val="22"/>
              </w:rPr>
              <w:t>Eil. Nr.</w:t>
            </w:r>
            <w:bookmarkStart w:id="1" w:name="_heading=h.26in1rg"/>
            <w:bookmarkEnd w:id="1"/>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71F62DD8" w14:textId="77777777" w:rsidR="00B95A5F" w:rsidRDefault="00B95A5F">
            <w:pPr>
              <w:jc w:val="center"/>
              <w:rPr>
                <w:rFonts w:ascii="Arial" w:eastAsia="Arial" w:hAnsi="Arial" w:cs="Arial"/>
                <w:b/>
                <w:sz w:val="22"/>
                <w:szCs w:val="22"/>
              </w:rPr>
            </w:pPr>
            <w:r>
              <w:rPr>
                <w:rFonts w:ascii="Arial" w:eastAsia="Arial" w:hAnsi="Arial" w:cs="Arial"/>
                <w:b/>
                <w:sz w:val="22"/>
                <w:szCs w:val="22"/>
              </w:rPr>
              <w:t>Kvalifikacijos reikalavimai</w:t>
            </w:r>
          </w:p>
        </w:tc>
        <w:tc>
          <w:tcPr>
            <w:tcW w:w="4388" w:type="dxa"/>
            <w:tcBorders>
              <w:top w:val="single" w:sz="4" w:space="0" w:color="000000"/>
              <w:left w:val="single" w:sz="4" w:space="0" w:color="000000"/>
              <w:bottom w:val="single" w:sz="4" w:space="0" w:color="000000"/>
              <w:right w:val="single" w:sz="4" w:space="0" w:color="000000"/>
            </w:tcBorders>
            <w:vAlign w:val="center"/>
            <w:hideMark/>
          </w:tcPr>
          <w:p w14:paraId="0C499D3A" w14:textId="77777777" w:rsidR="00B95A5F" w:rsidRDefault="00B95A5F">
            <w:pPr>
              <w:jc w:val="center"/>
              <w:rPr>
                <w:rFonts w:ascii="Arial" w:eastAsia="Arial" w:hAnsi="Arial" w:cs="Arial"/>
                <w:b/>
                <w:sz w:val="22"/>
                <w:szCs w:val="22"/>
              </w:rPr>
            </w:pPr>
            <w:r>
              <w:rPr>
                <w:rFonts w:ascii="Arial" w:eastAsia="Arial" w:hAnsi="Arial" w:cs="Arial"/>
                <w:b/>
                <w:sz w:val="22"/>
                <w:szCs w:val="22"/>
              </w:rPr>
              <w:t>Patvirtinančių dokumentų sąrašas</w:t>
            </w:r>
          </w:p>
        </w:tc>
      </w:tr>
      <w:tr w:rsidR="00B95A5F" w:rsidRPr="00B95A5F" w14:paraId="50F44A22" w14:textId="77777777" w:rsidTr="00B95A5F">
        <w:tc>
          <w:tcPr>
            <w:tcW w:w="988" w:type="dxa"/>
            <w:tcBorders>
              <w:top w:val="single" w:sz="4" w:space="0" w:color="000000"/>
              <w:left w:val="single" w:sz="4" w:space="0" w:color="000000"/>
              <w:bottom w:val="single" w:sz="4" w:space="0" w:color="000000"/>
              <w:right w:val="single" w:sz="4" w:space="0" w:color="000000"/>
            </w:tcBorders>
          </w:tcPr>
          <w:p w14:paraId="3E917B42" w14:textId="77777777" w:rsidR="00B95A5F" w:rsidRDefault="00B95A5F" w:rsidP="00A93BAD">
            <w:pPr>
              <w:numPr>
                <w:ilvl w:val="0"/>
                <w:numId w:val="2"/>
              </w:numPr>
              <w:ind w:left="318"/>
              <w:rPr>
                <w:rFonts w:ascii="Arial" w:eastAsia="Arial" w:hAnsi="Arial" w:cs="Arial"/>
                <w:color w:val="000000"/>
                <w:sz w:val="22"/>
                <w:szCs w:val="22"/>
              </w:rPr>
            </w:pPr>
          </w:p>
        </w:tc>
        <w:tc>
          <w:tcPr>
            <w:tcW w:w="4252" w:type="dxa"/>
            <w:tcBorders>
              <w:top w:val="single" w:sz="4" w:space="0" w:color="000000"/>
              <w:left w:val="single" w:sz="4" w:space="0" w:color="000000"/>
              <w:bottom w:val="single" w:sz="4" w:space="0" w:color="000000"/>
              <w:right w:val="single" w:sz="4" w:space="0" w:color="000000"/>
            </w:tcBorders>
            <w:hideMark/>
          </w:tcPr>
          <w:p w14:paraId="6E326E50" w14:textId="77777777" w:rsidR="00B95A5F" w:rsidRDefault="00B95A5F">
            <w:pPr>
              <w:widowControl w:val="0"/>
              <w:rPr>
                <w:rFonts w:ascii="Arial" w:eastAsia="Arial" w:hAnsi="Arial" w:cs="Arial"/>
                <w:sz w:val="22"/>
                <w:szCs w:val="22"/>
              </w:rPr>
            </w:pPr>
            <w:r>
              <w:rPr>
                <w:rFonts w:ascii="Arial" w:eastAsia="Arial" w:hAnsi="Arial" w:cs="Arial"/>
                <w:sz w:val="22"/>
                <w:szCs w:val="22"/>
              </w:rPr>
              <w:t>Tiekėjas per paskutinius 3 metus arba per laiką nuo tiekėjo įregistravimo dienos iki pasiūlymo pateikimo termino pabaigos pagal vieną sutartį ar kelias sutartis, sudarytas dėl to paties objekto, yra parengęs bent vieną geriamojo vandentiekio ir/ar buitinių nuotekų šalinimo tinklų statinio projektą (-us) (naujos statybos arba rekonstravimo arba kapitalinio remonto), kurio (-ių) bendra vertė ne mažesnė kaip:</w:t>
            </w:r>
          </w:p>
          <w:p w14:paraId="1FBEDD03" w14:textId="77777777" w:rsidR="00B95A5F" w:rsidRDefault="00B95A5F">
            <w:pPr>
              <w:widowControl w:val="0"/>
              <w:rPr>
                <w:rFonts w:ascii="Arial" w:eastAsia="Arial" w:hAnsi="Arial" w:cs="Arial"/>
                <w:sz w:val="22"/>
                <w:szCs w:val="22"/>
              </w:rPr>
            </w:pPr>
            <w:r>
              <w:rPr>
                <w:rFonts w:ascii="Arial" w:eastAsia="Arial" w:hAnsi="Arial" w:cs="Arial"/>
                <w:sz w:val="22"/>
                <w:szCs w:val="22"/>
              </w:rPr>
              <w:t>1 pirkimo daliai - 35.000,00 EUR be PVM</w:t>
            </w:r>
          </w:p>
          <w:p w14:paraId="78318FEE" w14:textId="77777777" w:rsidR="00B95A5F" w:rsidRDefault="00B95A5F">
            <w:pPr>
              <w:widowControl w:val="0"/>
              <w:rPr>
                <w:rFonts w:ascii="Arial" w:eastAsia="Arial" w:hAnsi="Arial" w:cs="Arial"/>
                <w:sz w:val="22"/>
                <w:szCs w:val="22"/>
              </w:rPr>
            </w:pPr>
            <w:r>
              <w:rPr>
                <w:rFonts w:ascii="Arial" w:eastAsia="Arial" w:hAnsi="Arial" w:cs="Arial"/>
                <w:sz w:val="22"/>
                <w:szCs w:val="22"/>
              </w:rPr>
              <w:t>2 pirkimo daliai - 40.000,00 EUR be PVM</w:t>
            </w:r>
          </w:p>
          <w:p w14:paraId="206BA77B" w14:textId="77777777" w:rsidR="00B95A5F" w:rsidRDefault="00B95A5F">
            <w:pPr>
              <w:widowControl w:val="0"/>
              <w:rPr>
                <w:rFonts w:ascii="Arial" w:eastAsia="Arial" w:hAnsi="Arial" w:cs="Arial"/>
                <w:sz w:val="22"/>
                <w:szCs w:val="22"/>
              </w:rPr>
            </w:pPr>
            <w:r>
              <w:rPr>
                <w:rFonts w:ascii="Arial" w:eastAsia="Arial" w:hAnsi="Arial" w:cs="Arial"/>
                <w:sz w:val="22"/>
                <w:szCs w:val="22"/>
              </w:rPr>
              <w:t>3 pirkimo daliai - 45.000,00 EUR be PVM</w:t>
            </w:r>
          </w:p>
          <w:p w14:paraId="5D04E3A3" w14:textId="77777777" w:rsidR="00B95A5F" w:rsidRDefault="00B95A5F">
            <w:pPr>
              <w:widowControl w:val="0"/>
              <w:rPr>
                <w:rFonts w:ascii="Arial" w:eastAsia="Arial" w:hAnsi="Arial" w:cs="Arial"/>
                <w:sz w:val="22"/>
                <w:szCs w:val="22"/>
              </w:rPr>
            </w:pPr>
            <w:r>
              <w:rPr>
                <w:rFonts w:ascii="Arial" w:eastAsia="Arial" w:hAnsi="Arial" w:cs="Arial"/>
                <w:sz w:val="22"/>
                <w:szCs w:val="22"/>
              </w:rPr>
              <w:t>4 pirkimo daliai - 35.000,00 EUR be PVM</w:t>
            </w:r>
          </w:p>
          <w:p w14:paraId="1F9DC8C5" w14:textId="77777777" w:rsidR="00B95A5F" w:rsidRDefault="00B95A5F">
            <w:pPr>
              <w:widowControl w:val="0"/>
              <w:rPr>
                <w:rFonts w:ascii="Arial" w:eastAsia="Arial" w:hAnsi="Arial" w:cs="Arial"/>
                <w:sz w:val="22"/>
                <w:szCs w:val="22"/>
              </w:rPr>
            </w:pPr>
            <w:r>
              <w:rPr>
                <w:rFonts w:ascii="Arial" w:eastAsia="Arial" w:hAnsi="Arial" w:cs="Arial"/>
                <w:sz w:val="22"/>
                <w:szCs w:val="22"/>
              </w:rPr>
              <w:t>5 pirkimo daliai - 15.000,00 EUR be PVM</w:t>
            </w:r>
          </w:p>
          <w:p w14:paraId="032BFE45" w14:textId="77777777" w:rsidR="00B95A5F" w:rsidRDefault="00B95A5F">
            <w:pPr>
              <w:widowControl w:val="0"/>
              <w:rPr>
                <w:rFonts w:ascii="Arial" w:eastAsia="Arial" w:hAnsi="Arial" w:cs="Arial"/>
                <w:i/>
                <w:sz w:val="22"/>
                <w:szCs w:val="22"/>
              </w:rPr>
            </w:pPr>
            <w:r>
              <w:rPr>
                <w:rFonts w:ascii="Arial" w:eastAsia="Arial" w:hAnsi="Arial" w:cs="Arial"/>
                <w:sz w:val="22"/>
                <w:szCs w:val="22"/>
              </w:rPr>
              <w:t xml:space="preserve"> </w:t>
            </w:r>
          </w:p>
          <w:p w14:paraId="49C6423B" w14:textId="77777777" w:rsidR="00B95A5F" w:rsidRDefault="00B95A5F">
            <w:pPr>
              <w:widowControl w:val="0"/>
              <w:rPr>
                <w:rFonts w:ascii="Arial" w:eastAsia="Arial" w:hAnsi="Arial" w:cs="Arial"/>
                <w:i/>
                <w:sz w:val="22"/>
                <w:szCs w:val="22"/>
              </w:rPr>
            </w:pPr>
            <w:r>
              <w:rPr>
                <w:rFonts w:ascii="Arial" w:eastAsia="Arial" w:hAnsi="Arial" w:cs="Arial"/>
                <w:i/>
                <w:sz w:val="22"/>
                <w:szCs w:val="22"/>
              </w:rPr>
              <w:t>Jeigu pasiūlymą teikia ūkio subjektų grupė – reikalavimą turi atitikti visi ūkio subjektų grupės nariai kartu (ūkio subjektų grupės narių turima patirtis sumuojama), atsižvelgiant į jų prisiimamus įsipareigojimus.</w:t>
            </w:r>
          </w:p>
          <w:p w14:paraId="55E7AEDF" w14:textId="77777777" w:rsidR="00B95A5F" w:rsidRDefault="00B95A5F">
            <w:pPr>
              <w:rPr>
                <w:rFonts w:ascii="Arial" w:eastAsia="Arial" w:hAnsi="Arial" w:cs="Arial"/>
                <w:i/>
                <w:sz w:val="22"/>
                <w:szCs w:val="22"/>
              </w:rPr>
            </w:pPr>
            <w:r>
              <w:rPr>
                <w:rFonts w:ascii="Arial" w:eastAsia="Arial" w:hAnsi="Arial" w:cs="Arial"/>
                <w:i/>
                <w:sz w:val="22"/>
                <w:szCs w:val="22"/>
              </w:rPr>
              <w:t>Tiekėjas gali remtis kitų ūkio subjektų pajėgumais tik tuo atveju, jeigu tie subjektai patys vykdys tą pirkimo sutarties dalį, kuriai reikia jų turimų pajėgumų.</w:t>
            </w:r>
          </w:p>
          <w:p w14:paraId="342C7EE6" w14:textId="77777777" w:rsidR="00B95A5F" w:rsidRDefault="00B95A5F">
            <w:pPr>
              <w:widowControl w:val="0"/>
              <w:rPr>
                <w:rFonts w:ascii="Arial" w:eastAsia="Arial" w:hAnsi="Arial" w:cs="Arial"/>
                <w:sz w:val="22"/>
                <w:szCs w:val="22"/>
              </w:rPr>
            </w:pPr>
            <w:r>
              <w:rPr>
                <w:rFonts w:ascii="Arial" w:eastAsia="Arial" w:hAnsi="Arial" w:cs="Arial"/>
                <w:i/>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388" w:type="dxa"/>
            <w:tcBorders>
              <w:top w:val="single" w:sz="4" w:space="0" w:color="000000"/>
              <w:left w:val="single" w:sz="4" w:space="0" w:color="000000"/>
              <w:bottom w:val="single" w:sz="4" w:space="0" w:color="000000"/>
              <w:right w:val="single" w:sz="4" w:space="0" w:color="000000"/>
            </w:tcBorders>
            <w:hideMark/>
          </w:tcPr>
          <w:p w14:paraId="2A0D07E3" w14:textId="77777777" w:rsidR="00B95A5F" w:rsidRDefault="00B95A5F">
            <w:pPr>
              <w:tabs>
                <w:tab w:val="left" w:pos="384"/>
              </w:tabs>
              <w:rPr>
                <w:rFonts w:ascii="Arial" w:eastAsia="Arial" w:hAnsi="Arial" w:cs="Arial"/>
                <w:color w:val="000000"/>
                <w:sz w:val="22"/>
                <w:szCs w:val="22"/>
              </w:rPr>
            </w:pPr>
            <w:r>
              <w:rPr>
                <w:rFonts w:ascii="Arial" w:eastAsia="Arial" w:hAnsi="Arial" w:cs="Arial"/>
                <w:color w:val="000000"/>
                <w:sz w:val="22"/>
                <w:szCs w:val="22"/>
              </w:rPr>
              <w:t>Pagrindinių per paskutinius 3 metus suteiktų paslaugų sąrašas, kuriame nurodytos suteiktų paslaugų bendros sumos, datos ir užsakovai. Kartu pateikti užsakovų pažymas, kuriose būtų nurodytos paslaugų bendros sumos, datos ir vieta, paslaugų gavėjai, ar paslaugos buvo suteiktos tinkamai.</w:t>
            </w:r>
          </w:p>
        </w:tc>
      </w:tr>
      <w:tr w:rsidR="00B95A5F" w:rsidRPr="00B95A5F" w14:paraId="6E1D262E" w14:textId="77777777" w:rsidTr="00B95A5F">
        <w:tc>
          <w:tcPr>
            <w:tcW w:w="988" w:type="dxa"/>
            <w:tcBorders>
              <w:top w:val="single" w:sz="4" w:space="0" w:color="000000"/>
              <w:left w:val="single" w:sz="4" w:space="0" w:color="000000"/>
              <w:bottom w:val="single" w:sz="4" w:space="0" w:color="000000"/>
              <w:right w:val="single" w:sz="4" w:space="0" w:color="000000"/>
            </w:tcBorders>
          </w:tcPr>
          <w:p w14:paraId="46CCDCCF" w14:textId="77777777" w:rsidR="00B95A5F" w:rsidRDefault="00B95A5F" w:rsidP="00A93BAD">
            <w:pPr>
              <w:numPr>
                <w:ilvl w:val="0"/>
                <w:numId w:val="2"/>
              </w:numPr>
              <w:ind w:left="318"/>
              <w:rPr>
                <w:rFonts w:ascii="Arial" w:eastAsia="Arial" w:hAnsi="Arial" w:cs="Arial"/>
                <w:color w:val="000000"/>
                <w:sz w:val="22"/>
                <w:szCs w:val="22"/>
              </w:rPr>
            </w:pPr>
          </w:p>
        </w:tc>
        <w:tc>
          <w:tcPr>
            <w:tcW w:w="4252" w:type="dxa"/>
            <w:tcBorders>
              <w:top w:val="single" w:sz="4" w:space="0" w:color="000000"/>
              <w:left w:val="single" w:sz="4" w:space="0" w:color="000000"/>
              <w:bottom w:val="single" w:sz="4" w:space="0" w:color="000000"/>
              <w:right w:val="single" w:sz="4" w:space="0" w:color="000000"/>
            </w:tcBorders>
            <w:hideMark/>
          </w:tcPr>
          <w:p w14:paraId="3C3FBE9A" w14:textId="77777777" w:rsidR="00B95A5F" w:rsidRDefault="00B95A5F">
            <w:pPr>
              <w:widowControl w:val="0"/>
              <w:rPr>
                <w:rFonts w:ascii="Arial" w:eastAsia="Arial" w:hAnsi="Arial" w:cs="Arial"/>
                <w:color w:val="000000"/>
                <w:sz w:val="22"/>
                <w:szCs w:val="22"/>
              </w:rPr>
            </w:pPr>
            <w:r>
              <w:rPr>
                <w:rFonts w:ascii="Arial" w:eastAsia="Arial" w:hAnsi="Arial" w:cs="Arial"/>
                <w:sz w:val="22"/>
                <w:szCs w:val="22"/>
              </w:rPr>
              <w:t xml:space="preserve">Tiekėjas turi turėti </w:t>
            </w:r>
            <w:r>
              <w:rPr>
                <w:rFonts w:ascii="Arial" w:eastAsia="Arial" w:hAnsi="Arial" w:cs="Arial"/>
                <w:color w:val="000000"/>
                <w:sz w:val="22"/>
                <w:szCs w:val="22"/>
              </w:rPr>
              <w:t>bent 1 specialistą ėjusį  projekto vadovo pareigas bent viename geriamojo vandentiekio ir/ar buitinių nuotekų šalinimo tinklų (naujos statybos arba rekonstravimo arba kapitalinio remonto) objekte, kur bendras geriamojo vandentiekio ir/ar buitinių nuotekų šalinimo tinklų ilgis buvo ne mažesnis kaip:</w:t>
            </w:r>
          </w:p>
          <w:p w14:paraId="747FE5C5" w14:textId="77777777" w:rsidR="00B95A5F" w:rsidRDefault="00B95A5F">
            <w:pPr>
              <w:widowControl w:val="0"/>
              <w:jc w:val="left"/>
              <w:rPr>
                <w:rFonts w:ascii="Arial" w:eastAsia="Arial" w:hAnsi="Arial" w:cs="Arial"/>
                <w:sz w:val="22"/>
                <w:szCs w:val="22"/>
              </w:rPr>
            </w:pPr>
            <w:r>
              <w:rPr>
                <w:rFonts w:ascii="Arial" w:eastAsia="Arial" w:hAnsi="Arial" w:cs="Arial"/>
                <w:sz w:val="22"/>
                <w:szCs w:val="22"/>
              </w:rPr>
              <w:t>1 pirkimo daliai – 3 400 m</w:t>
            </w:r>
          </w:p>
          <w:p w14:paraId="699EAFE0" w14:textId="77777777" w:rsidR="00B95A5F" w:rsidRDefault="00B95A5F">
            <w:pPr>
              <w:widowControl w:val="0"/>
              <w:jc w:val="left"/>
              <w:rPr>
                <w:rFonts w:ascii="Arial" w:eastAsia="Arial" w:hAnsi="Arial" w:cs="Arial"/>
                <w:sz w:val="22"/>
                <w:szCs w:val="22"/>
              </w:rPr>
            </w:pPr>
            <w:r>
              <w:rPr>
                <w:rFonts w:ascii="Arial" w:eastAsia="Arial" w:hAnsi="Arial" w:cs="Arial"/>
                <w:sz w:val="22"/>
                <w:szCs w:val="22"/>
              </w:rPr>
              <w:t>2 pirkimo daliai – 5 400 m</w:t>
            </w:r>
          </w:p>
          <w:p w14:paraId="07CE0137" w14:textId="77777777" w:rsidR="00B95A5F" w:rsidRDefault="00B95A5F">
            <w:pPr>
              <w:widowControl w:val="0"/>
              <w:jc w:val="left"/>
              <w:rPr>
                <w:rFonts w:ascii="Arial" w:eastAsia="Arial" w:hAnsi="Arial" w:cs="Arial"/>
                <w:sz w:val="22"/>
                <w:szCs w:val="22"/>
              </w:rPr>
            </w:pPr>
            <w:r>
              <w:rPr>
                <w:rFonts w:ascii="Arial" w:eastAsia="Arial" w:hAnsi="Arial" w:cs="Arial"/>
                <w:sz w:val="22"/>
                <w:szCs w:val="22"/>
              </w:rPr>
              <w:t>3 pirkimo daliai – 4 600 m</w:t>
            </w:r>
          </w:p>
          <w:p w14:paraId="0511507C" w14:textId="77777777" w:rsidR="00B95A5F" w:rsidRDefault="00B95A5F">
            <w:pPr>
              <w:widowControl w:val="0"/>
              <w:jc w:val="left"/>
              <w:rPr>
                <w:rFonts w:ascii="Arial" w:eastAsia="Arial" w:hAnsi="Arial" w:cs="Arial"/>
                <w:sz w:val="22"/>
                <w:szCs w:val="22"/>
              </w:rPr>
            </w:pPr>
            <w:r>
              <w:rPr>
                <w:rFonts w:ascii="Arial" w:eastAsia="Arial" w:hAnsi="Arial" w:cs="Arial"/>
                <w:sz w:val="22"/>
                <w:szCs w:val="22"/>
              </w:rPr>
              <w:t>4 pirkimo daliai – 3 200 m</w:t>
            </w:r>
          </w:p>
          <w:p w14:paraId="04494CB0" w14:textId="77777777" w:rsidR="00B95A5F" w:rsidRDefault="00B95A5F">
            <w:pPr>
              <w:widowControl w:val="0"/>
              <w:rPr>
                <w:rFonts w:ascii="Arial" w:eastAsia="Arial" w:hAnsi="Arial" w:cs="Arial"/>
                <w:i/>
                <w:sz w:val="22"/>
                <w:szCs w:val="22"/>
              </w:rPr>
            </w:pPr>
            <w:r>
              <w:rPr>
                <w:rFonts w:ascii="Arial" w:eastAsia="Arial" w:hAnsi="Arial" w:cs="Arial"/>
                <w:sz w:val="22"/>
                <w:szCs w:val="22"/>
              </w:rPr>
              <w:lastRenderedPageBreak/>
              <w:t>5 pirkimo daliai – 1 500 m</w:t>
            </w:r>
            <w:r>
              <w:rPr>
                <w:rFonts w:ascii="Arial" w:eastAsia="Arial" w:hAnsi="Arial" w:cs="Arial"/>
                <w:i/>
                <w:sz w:val="22"/>
                <w:szCs w:val="22"/>
              </w:rPr>
              <w:t>.</w:t>
            </w:r>
          </w:p>
        </w:tc>
        <w:tc>
          <w:tcPr>
            <w:tcW w:w="4388" w:type="dxa"/>
            <w:tcBorders>
              <w:top w:val="single" w:sz="4" w:space="0" w:color="000000"/>
              <w:left w:val="single" w:sz="4" w:space="0" w:color="000000"/>
              <w:bottom w:val="single" w:sz="4" w:space="0" w:color="000000"/>
              <w:right w:val="single" w:sz="4" w:space="0" w:color="000000"/>
            </w:tcBorders>
            <w:hideMark/>
          </w:tcPr>
          <w:p w14:paraId="0B0FB2CA" w14:textId="77777777" w:rsidR="00B95A5F" w:rsidRDefault="00B95A5F">
            <w:pPr>
              <w:tabs>
                <w:tab w:val="left" w:pos="284"/>
              </w:tabs>
              <w:rPr>
                <w:rFonts w:ascii="Arial" w:eastAsia="Arial" w:hAnsi="Arial" w:cs="Arial"/>
                <w:sz w:val="22"/>
                <w:szCs w:val="22"/>
              </w:rPr>
            </w:pPr>
            <w:r>
              <w:rPr>
                <w:rFonts w:ascii="Arial" w:eastAsia="Arial" w:hAnsi="Arial" w:cs="Arial"/>
                <w:sz w:val="22"/>
                <w:szCs w:val="22"/>
              </w:rPr>
              <w:lastRenderedPageBreak/>
              <w:t>Pateikiamas už sutarties vykdymą atsakingų specialistų sąrašas, nurodant jų vardus ir pavardes, kokiu pagrindu specialistas pasitelkiamas (darbuotojas, kvazisubtiekėjas).</w:t>
            </w:r>
          </w:p>
          <w:p w14:paraId="744AA15B" w14:textId="77777777" w:rsidR="00B95A5F" w:rsidRDefault="00B95A5F">
            <w:pPr>
              <w:tabs>
                <w:tab w:val="left" w:pos="384"/>
              </w:tabs>
              <w:rPr>
                <w:rFonts w:ascii="Arial" w:eastAsia="Arial" w:hAnsi="Arial" w:cs="Arial"/>
                <w:color w:val="000000"/>
                <w:sz w:val="22"/>
                <w:szCs w:val="22"/>
              </w:rPr>
            </w:pPr>
            <w:r>
              <w:rPr>
                <w:rFonts w:ascii="Arial" w:eastAsia="Arial" w:hAnsi="Arial" w:cs="Arial"/>
                <w:sz w:val="22"/>
                <w:szCs w:val="22"/>
              </w:rPr>
              <w:t>Jei tiekėjas siūlo ne savo darbuotojus, turi būti pateikti įrodymai (ketinimų protokolas ar tiekėjo ir specialisto pasirašyta deklaracija ar kitas dokumentas), kad siūlomas specialistas atliks jam priskirtas funkcijas (tiekėjo laimėjimo atveju).</w:t>
            </w:r>
          </w:p>
        </w:tc>
      </w:tr>
    </w:tbl>
    <w:p w14:paraId="6F4E91F1" w14:textId="77777777" w:rsidR="00B95A5F" w:rsidRDefault="00B95A5F" w:rsidP="00B95A5F">
      <w:pPr>
        <w:rPr>
          <w:rFonts w:ascii="Arial" w:eastAsia="Arial" w:hAnsi="Arial" w:cs="Arial"/>
          <w:color w:val="000000"/>
        </w:rPr>
      </w:pPr>
      <w:bookmarkStart w:id="2" w:name="_heading=h.lnxbz9"/>
      <w:bookmarkEnd w:id="2"/>
    </w:p>
    <w:p w14:paraId="3441C5A9" w14:textId="77777777" w:rsidR="00B95A5F" w:rsidRDefault="00B95A5F" w:rsidP="00B95A5F">
      <w:pPr>
        <w:pStyle w:val="ListParagraph"/>
        <w:numPr>
          <w:ilvl w:val="0"/>
          <w:numId w:val="3"/>
        </w:numPr>
        <w:rPr>
          <w:rFonts w:ascii="Arial" w:eastAsia="Arial" w:hAnsi="Arial" w:cs="Arial"/>
          <w:color w:val="000000"/>
        </w:rPr>
      </w:pPr>
      <w:r>
        <w:rPr>
          <w:rFonts w:ascii="Arial" w:eastAsia="Arial" w:hAnsi="Arial" w:cs="Arial"/>
          <w:color w:val="000000"/>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A48A8A7" w14:textId="77777777" w:rsidR="00B95A5F" w:rsidRDefault="00B95A5F" w:rsidP="00B95A5F">
      <w:pPr>
        <w:pStyle w:val="ListParagraph"/>
        <w:numPr>
          <w:ilvl w:val="0"/>
          <w:numId w:val="3"/>
        </w:numPr>
        <w:rPr>
          <w:rFonts w:ascii="Arial" w:eastAsia="Arial" w:hAnsi="Arial" w:cs="Arial"/>
          <w:color w:val="000000"/>
        </w:rPr>
      </w:pPr>
      <w:r>
        <w:rPr>
          <w:rFonts w:ascii="Arial" w:eastAsia="Arial" w:hAnsi="Arial" w:cs="Arial"/>
          <w:color w:val="000000"/>
        </w:rPr>
        <w:t>Pirkimo dokumentuose nurodytą reikalaujamą kvalifikaciją tiekėjai (ar jų personalas) privalo būti įgiję iki pasiūlymų pateikimo termino pabaigos.</w:t>
      </w:r>
    </w:p>
    <w:p w14:paraId="307AFAB7" w14:textId="77777777" w:rsidR="00B95A5F" w:rsidRDefault="00B95A5F" w:rsidP="00B95A5F">
      <w:pPr>
        <w:pStyle w:val="ListParagraph"/>
        <w:rPr>
          <w:rFonts w:ascii="Arial" w:eastAsia="Arial" w:hAnsi="Arial" w:cs="Arial"/>
          <w:color w:val="000000"/>
        </w:rPr>
      </w:pPr>
    </w:p>
    <w:p w14:paraId="78F11578" w14:textId="77777777" w:rsidR="00B95A5F" w:rsidRDefault="00B95A5F" w:rsidP="00B95A5F">
      <w:pPr>
        <w:rPr>
          <w:rFonts w:ascii="Arial" w:eastAsia="Arial" w:hAnsi="Arial" w:cs="Arial"/>
          <w:color w:val="000000"/>
        </w:rPr>
      </w:pPr>
    </w:p>
    <w:p w14:paraId="53D19860" w14:textId="77777777" w:rsidR="00B95A5F" w:rsidRDefault="00B95A5F" w:rsidP="00B95A5F">
      <w:pPr>
        <w:jc w:val="center"/>
        <w:rPr>
          <w:rFonts w:ascii="Arial" w:eastAsia="Arial" w:hAnsi="Arial" w:cs="Arial"/>
        </w:rPr>
      </w:pPr>
    </w:p>
    <w:p w14:paraId="2ACF776A" w14:textId="77777777" w:rsidR="00B95A5F" w:rsidRDefault="00B95A5F" w:rsidP="00B95A5F">
      <w:pPr>
        <w:jc w:val="center"/>
        <w:rPr>
          <w:rFonts w:ascii="Arial" w:eastAsia="Arial" w:hAnsi="Arial" w:cs="Arial"/>
        </w:rPr>
      </w:pPr>
    </w:p>
    <w:p w14:paraId="7424DD7E" w14:textId="77777777" w:rsidR="00B95A5F" w:rsidRDefault="00B95A5F" w:rsidP="00B95A5F">
      <w:pPr>
        <w:jc w:val="center"/>
        <w:rPr>
          <w:rFonts w:ascii="Arial" w:eastAsia="Arial" w:hAnsi="Arial" w:cs="Arial"/>
        </w:rPr>
      </w:pPr>
    </w:p>
    <w:p w14:paraId="7CF9C28C" w14:textId="557C3074" w:rsidR="00B95A5F" w:rsidRDefault="00B95A5F" w:rsidP="00B95A5F">
      <w:pPr>
        <w:jc w:val="center"/>
        <w:rPr>
          <w:rFonts w:ascii="Arial" w:eastAsia="Arial" w:hAnsi="Arial" w:cs="Arial"/>
        </w:rPr>
        <w:sectPr w:rsidR="00B95A5F" w:rsidSect="00B95A5F">
          <w:pgSz w:w="11906" w:h="16838"/>
          <w:pgMar w:top="1134" w:right="567" w:bottom="1134" w:left="1701" w:header="567" w:footer="567" w:gutter="0"/>
          <w:cols w:space="720"/>
        </w:sectPr>
      </w:pPr>
      <w:r>
        <w:rPr>
          <w:rFonts w:ascii="Arial" w:eastAsia="Arial" w:hAnsi="Arial" w:cs="Arial"/>
        </w:rPr>
        <w:t>_______________________</w:t>
      </w:r>
    </w:p>
    <w:p w14:paraId="224F8B1E" w14:textId="77777777" w:rsidR="00C47435" w:rsidRDefault="00C47435"/>
    <w:sectPr w:rsidR="00C47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F1E5E"/>
    <w:multiLevelType w:val="multilevel"/>
    <w:tmpl w:val="76C04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99628D"/>
    <w:multiLevelType w:val="multilevel"/>
    <w:tmpl w:val="E83E464C"/>
    <w:lvl w:ilvl="0">
      <w:start w:val="1"/>
      <w:numFmt w:val="decimal"/>
      <w:lvlText w:val="%1."/>
      <w:lvlJc w:val="left"/>
      <w:pPr>
        <w:ind w:left="1070" w:hanging="360"/>
      </w:pPr>
      <w:rPr>
        <w:rFonts w:ascii="Times New Roman" w:eastAsia="Times New Roman" w:hAnsi="Times New Roman" w:cs="Times New Roman"/>
        <w:b w:val="0"/>
        <w:i w:val="0"/>
        <w:color w:val="000000"/>
        <w:sz w:val="24"/>
        <w:szCs w:val="24"/>
      </w:rPr>
    </w:lvl>
    <w:lvl w:ilvl="1">
      <w:start w:val="1"/>
      <w:numFmt w:val="decimal"/>
      <w:lvlText w:val="%1.%2."/>
      <w:lvlJc w:val="left"/>
      <w:pPr>
        <w:ind w:left="1000" w:hanging="432"/>
      </w:pPr>
      <w:rPr>
        <w:rFonts w:ascii="Times New Roman" w:eastAsia="Times New Roman" w:hAnsi="Times New Roman" w:cs="Times New Roman"/>
        <w:b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040B01"/>
    <w:multiLevelType w:val="multilevel"/>
    <w:tmpl w:val="A622D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1371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7181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5336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5F"/>
    <w:rsid w:val="008400D5"/>
    <w:rsid w:val="00B760CF"/>
    <w:rsid w:val="00B95A5F"/>
    <w:rsid w:val="00C47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AB57"/>
  <w15:chartTrackingRefBased/>
  <w15:docId w15:val="{0E08C339-EC97-451C-A750-59026A6A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A5F"/>
    <w:pPr>
      <w:spacing w:after="0" w:line="240" w:lineRule="auto"/>
      <w:jc w:val="both"/>
    </w:pPr>
    <w:rPr>
      <w:rFonts w:ascii="Calibri" w:eastAsia="Calibri" w:hAnsi="Calibri" w:cs="Calibri"/>
      <w:kern w:val="0"/>
      <w:lang w:val="lt-LT" w:eastAsia="en-GB"/>
      <w14:ligatures w14:val="none"/>
    </w:rPr>
  </w:style>
  <w:style w:type="paragraph" w:styleId="Heading1">
    <w:name w:val="heading 1"/>
    <w:basedOn w:val="Normal"/>
    <w:next w:val="Normal"/>
    <w:link w:val="Heading1Char"/>
    <w:uiPriority w:val="9"/>
    <w:qFormat/>
    <w:rsid w:val="00B95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A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A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A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A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A5F"/>
    <w:rPr>
      <w:rFonts w:eastAsiaTheme="majorEastAsia" w:cstheme="majorBidi"/>
      <w:color w:val="272727" w:themeColor="text1" w:themeTint="D8"/>
    </w:rPr>
  </w:style>
  <w:style w:type="paragraph" w:styleId="Title">
    <w:name w:val="Title"/>
    <w:basedOn w:val="Normal"/>
    <w:next w:val="Normal"/>
    <w:link w:val="TitleChar"/>
    <w:uiPriority w:val="10"/>
    <w:qFormat/>
    <w:rsid w:val="00B95A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A5F"/>
    <w:pPr>
      <w:spacing w:before="160"/>
      <w:jc w:val="center"/>
    </w:pPr>
    <w:rPr>
      <w:i/>
      <w:iCs/>
      <w:color w:val="404040" w:themeColor="text1" w:themeTint="BF"/>
    </w:rPr>
  </w:style>
  <w:style w:type="character" w:customStyle="1" w:styleId="QuoteChar">
    <w:name w:val="Quote Char"/>
    <w:basedOn w:val="DefaultParagraphFont"/>
    <w:link w:val="Quote"/>
    <w:uiPriority w:val="29"/>
    <w:rsid w:val="00B95A5F"/>
    <w:rPr>
      <w:i/>
      <w:iCs/>
      <w:color w:val="404040" w:themeColor="text1" w:themeTint="BF"/>
    </w:rPr>
  </w:style>
  <w:style w:type="paragraph" w:styleId="ListParagraph">
    <w:name w:val="List Paragraph"/>
    <w:aliases w:val="Numbering,ERP-List Paragraph,List Paragraph11,Bullet EY,List Paragraph2,List Paragraph Red,List Paragraph1,Buletai,List Paragraph21,lp1,Bullet 1,Use Case List Paragraph,List Paragraph111,Paragraph,Sąrašo pastraipa.Bullet,Lentele"/>
    <w:basedOn w:val="Normal"/>
    <w:link w:val="ListParagraphChar"/>
    <w:uiPriority w:val="99"/>
    <w:qFormat/>
    <w:rsid w:val="00B95A5F"/>
    <w:pPr>
      <w:ind w:left="720"/>
      <w:contextualSpacing/>
    </w:pPr>
  </w:style>
  <w:style w:type="character" w:styleId="IntenseEmphasis">
    <w:name w:val="Intense Emphasis"/>
    <w:basedOn w:val="DefaultParagraphFont"/>
    <w:uiPriority w:val="21"/>
    <w:qFormat/>
    <w:rsid w:val="00B95A5F"/>
    <w:rPr>
      <w:i/>
      <w:iCs/>
      <w:color w:val="0F4761" w:themeColor="accent1" w:themeShade="BF"/>
    </w:rPr>
  </w:style>
  <w:style w:type="paragraph" w:styleId="IntenseQuote">
    <w:name w:val="Intense Quote"/>
    <w:basedOn w:val="Normal"/>
    <w:next w:val="Normal"/>
    <w:link w:val="IntenseQuoteChar"/>
    <w:uiPriority w:val="30"/>
    <w:qFormat/>
    <w:rsid w:val="00B95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A5F"/>
    <w:rPr>
      <w:i/>
      <w:iCs/>
      <w:color w:val="0F4761" w:themeColor="accent1" w:themeShade="BF"/>
    </w:rPr>
  </w:style>
  <w:style w:type="character" w:styleId="IntenseReference">
    <w:name w:val="Intense Reference"/>
    <w:basedOn w:val="DefaultParagraphFont"/>
    <w:uiPriority w:val="32"/>
    <w:qFormat/>
    <w:rsid w:val="00B95A5F"/>
    <w:rPr>
      <w:b/>
      <w:bCs/>
      <w:smallCaps/>
      <w:color w:val="0F4761" w:themeColor="accent1" w:themeShade="BF"/>
      <w:spacing w:val="5"/>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99"/>
    <w:locked/>
    <w:rsid w:val="00B95A5F"/>
  </w:style>
  <w:style w:type="table" w:customStyle="1" w:styleId="4">
    <w:name w:val="4"/>
    <w:basedOn w:val="TableNormal"/>
    <w:rsid w:val="00B95A5F"/>
    <w:pPr>
      <w:spacing w:after="0" w:line="240" w:lineRule="auto"/>
    </w:pPr>
    <w:rPr>
      <w:rFonts w:ascii="Times New Roman" w:eastAsia="Times New Roman" w:hAnsi="Times New Roman" w:cs="Times New Roman"/>
      <w:kern w:val="0"/>
      <w:sz w:val="20"/>
      <w:szCs w:val="20"/>
      <w:lang w:val="lt-LT" w:eastAsia="en-GB"/>
      <w14:ligatures w14:val="none"/>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2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1</cp:revision>
  <dcterms:created xsi:type="dcterms:W3CDTF">2024-12-19T13:35:00Z</dcterms:created>
  <dcterms:modified xsi:type="dcterms:W3CDTF">2024-12-19T13:36:00Z</dcterms:modified>
</cp:coreProperties>
</file>