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6BC3" w14:textId="77777777" w:rsidR="00F9330E" w:rsidRDefault="00F9330E" w:rsidP="00F9330E">
      <w:pPr>
        <w:rPr>
          <w:rFonts w:cs="Tahoma"/>
        </w:rPr>
      </w:pPr>
      <w:r w:rsidRPr="00172568">
        <w:rPr>
          <w:rFonts w:cs="Tahoma"/>
        </w:rPr>
        <w:t xml:space="preserve">Suinteresuotiems tiekėjams </w:t>
      </w:r>
    </w:p>
    <w:p w14:paraId="78EADF78" w14:textId="77777777" w:rsidR="00F9330E" w:rsidRDefault="00F9330E" w:rsidP="00F9330E">
      <w:pPr>
        <w:rPr>
          <w:rFonts w:cs="Tahoma"/>
        </w:rPr>
      </w:pPr>
      <w:r>
        <w:rPr>
          <w:rFonts w:cs="Tahoma"/>
        </w:rPr>
        <w:t>Teikiama CVP IS priemonėmis</w:t>
      </w:r>
    </w:p>
    <w:p w14:paraId="658BF14F" w14:textId="77777777" w:rsidR="00F9330E" w:rsidRDefault="00F9330E" w:rsidP="00F9330E">
      <w:pPr>
        <w:rPr>
          <w:rFonts w:cs="Tahoma"/>
        </w:rPr>
      </w:pPr>
    </w:p>
    <w:p w14:paraId="44B54123" w14:textId="77777777" w:rsidR="00F9330E" w:rsidRPr="00172568" w:rsidRDefault="00F9330E" w:rsidP="00F9330E">
      <w:pPr>
        <w:rPr>
          <w:rFonts w:cs="Tahoma"/>
          <w:b/>
          <w:bCs/>
        </w:rPr>
      </w:pPr>
      <w:r w:rsidRPr="00172568">
        <w:rPr>
          <w:rFonts w:cs="Tahoma"/>
          <w:b/>
          <w:bCs/>
        </w:rPr>
        <w:t>ATSAKYMA</w:t>
      </w:r>
      <w:r>
        <w:rPr>
          <w:rFonts w:cs="Tahoma"/>
          <w:b/>
          <w:bCs/>
        </w:rPr>
        <w:t>I</w:t>
      </w:r>
      <w:r w:rsidRPr="00172568">
        <w:rPr>
          <w:rFonts w:cs="Tahoma"/>
          <w:b/>
          <w:bCs/>
        </w:rPr>
        <w:t xml:space="preserve"> Į KLAUSIM</w:t>
      </w:r>
      <w:r>
        <w:rPr>
          <w:rFonts w:cs="Tahoma"/>
          <w:b/>
          <w:bCs/>
        </w:rPr>
        <w:t>US</w:t>
      </w:r>
    </w:p>
    <w:p w14:paraId="7890A298" w14:textId="77777777" w:rsidR="00F9330E" w:rsidRDefault="00F9330E" w:rsidP="00F9330E">
      <w:pPr>
        <w:rPr>
          <w:rFonts w:cs="Tahoma"/>
        </w:rPr>
      </w:pPr>
    </w:p>
    <w:p w14:paraId="5FBA9AFA" w14:textId="77777777" w:rsidR="00F9330E" w:rsidRDefault="00F9330E" w:rsidP="00F9330E">
      <w:pPr>
        <w:rPr>
          <w:rFonts w:cs="Tahoma"/>
        </w:rPr>
      </w:pPr>
      <w:r w:rsidRPr="00172568">
        <w:rPr>
          <w:rFonts w:cs="Tahoma"/>
        </w:rPr>
        <w:t>Informuojame, kad Centrinės viešųjų pirkimų informacinės sistemos priemonėmis gaut</w:t>
      </w:r>
      <w:r>
        <w:rPr>
          <w:rFonts w:cs="Tahoma"/>
        </w:rPr>
        <w:t>i</w:t>
      </w:r>
      <w:r w:rsidRPr="00172568">
        <w:rPr>
          <w:rFonts w:cs="Tahoma"/>
        </w:rPr>
        <w:t xml:space="preserve"> klausima</w:t>
      </w:r>
      <w:r>
        <w:rPr>
          <w:rFonts w:cs="Tahoma"/>
        </w:rPr>
        <w:t>i</w:t>
      </w:r>
      <w:r w:rsidRPr="00172568">
        <w:rPr>
          <w:rFonts w:cs="Tahoma"/>
        </w:rPr>
        <w:t xml:space="preserve"> (kalba netaisyta). Teikiame atsakym</w:t>
      </w:r>
      <w:r>
        <w:rPr>
          <w:rFonts w:cs="Tahoma"/>
        </w:rPr>
        <w:t>us</w:t>
      </w:r>
      <w:r w:rsidRPr="00172568">
        <w:rPr>
          <w:rFonts w:cs="Tahoma"/>
        </w:rPr>
        <w:t xml:space="preserve"> į klausim</w:t>
      </w:r>
      <w:r>
        <w:rPr>
          <w:rFonts w:cs="Tahoma"/>
        </w:rPr>
        <w:t>us</w:t>
      </w:r>
      <w:r w:rsidRPr="00172568">
        <w:rPr>
          <w:rFonts w:cs="Tahoma"/>
        </w:rPr>
        <w:t>: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709"/>
        <w:gridCol w:w="4395"/>
        <w:gridCol w:w="4677"/>
      </w:tblGrid>
      <w:tr w:rsidR="00F9330E" w:rsidRPr="00172568" w14:paraId="2B688257" w14:textId="77777777" w:rsidTr="0023230F">
        <w:tc>
          <w:tcPr>
            <w:tcW w:w="709" w:type="dxa"/>
            <w:shd w:val="clear" w:color="auto" w:fill="BDD6EE" w:themeFill="accent1" w:themeFillTint="66"/>
          </w:tcPr>
          <w:p w14:paraId="14D8491B" w14:textId="77777777" w:rsidR="00F9330E" w:rsidRPr="00172568" w:rsidRDefault="00F9330E" w:rsidP="0023230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Eil. Nr.</w:t>
            </w:r>
          </w:p>
        </w:tc>
        <w:tc>
          <w:tcPr>
            <w:tcW w:w="4395" w:type="dxa"/>
            <w:shd w:val="clear" w:color="auto" w:fill="BDD6EE" w:themeFill="accent1" w:themeFillTint="66"/>
          </w:tcPr>
          <w:p w14:paraId="487953F2" w14:textId="77777777" w:rsidR="00F9330E" w:rsidRPr="00172568" w:rsidRDefault="00F9330E" w:rsidP="0023230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Klausima</w:t>
            </w:r>
            <w:r w:rsidRPr="00172568">
              <w:rPr>
                <w:rFonts w:ascii="Tahoma" w:hAnsi="Tahoma" w:cs="Tahoma"/>
                <w:b/>
                <w:bCs/>
                <w:sz w:val="22"/>
              </w:rPr>
              <w:t>s</w:t>
            </w:r>
          </w:p>
        </w:tc>
        <w:tc>
          <w:tcPr>
            <w:tcW w:w="4677" w:type="dxa"/>
            <w:shd w:val="clear" w:color="auto" w:fill="BDD6EE" w:themeFill="accent1" w:themeFillTint="66"/>
          </w:tcPr>
          <w:p w14:paraId="71963B29" w14:textId="77777777" w:rsidR="00F9330E" w:rsidRPr="00172568" w:rsidRDefault="00F9330E" w:rsidP="0023230F">
            <w:pPr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172568">
              <w:rPr>
                <w:rFonts w:ascii="Tahoma" w:hAnsi="Tahoma" w:cs="Tahoma"/>
                <w:b/>
                <w:bCs/>
                <w:sz w:val="22"/>
              </w:rPr>
              <w:t>Atsakymas</w:t>
            </w:r>
          </w:p>
        </w:tc>
      </w:tr>
      <w:tr w:rsidR="00F9330E" w14:paraId="5CF16FF8" w14:textId="77777777" w:rsidTr="0023230F">
        <w:tc>
          <w:tcPr>
            <w:tcW w:w="709" w:type="dxa"/>
          </w:tcPr>
          <w:p w14:paraId="635D138D" w14:textId="77777777" w:rsidR="00F9330E" w:rsidRPr="00BF0CE7" w:rsidRDefault="00F9330E" w:rsidP="0023230F">
            <w:pPr>
              <w:pStyle w:val="ListParagraph"/>
              <w:tabs>
                <w:tab w:val="left" w:pos="306"/>
              </w:tabs>
              <w:ind w:left="22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1.</w:t>
            </w:r>
          </w:p>
        </w:tc>
        <w:tc>
          <w:tcPr>
            <w:tcW w:w="4395" w:type="dxa"/>
          </w:tcPr>
          <w:p w14:paraId="04C40129" w14:textId="77777777" w:rsidR="00F9330E" w:rsidRPr="000706C1" w:rsidRDefault="00F9330E" w:rsidP="0023230F">
            <w:pPr>
              <w:jc w:val="both"/>
              <w:rPr>
                <w:rFonts w:ascii="Tahoma" w:hAnsi="Tahoma" w:cs="Tahoma"/>
                <w:sz w:val="22"/>
              </w:rPr>
            </w:pPr>
            <w:r w:rsidRPr="000706C1">
              <w:rPr>
                <w:rFonts w:ascii="Tahoma" w:hAnsi="Tahoma" w:cs="Tahoma"/>
                <w:sz w:val="22"/>
              </w:rPr>
              <w:t>Prašome patikslinti kvalifikacijos reikalavimo „Tiekėjas, per pastaruosius 3 metus arba per laiką nuo Tiekėjo įregistravimo dienos (jeigu tiekėjas vykdė veiklą mažiau nei 3 metus), turi būti įvykdęs ne mažiau kaip 1 IT infrastruktūros įrangos* pirkimo–pardavimo sutartį“ taikymą. Ar šiam reikalavimui būtų laikoma atitinkančia rangos sutartis, kurios apimtyje Tiekėjas tarp kitų darbų Užsakovui tiekė ir IT infrastruktūros įrangą bei pats vykdė jos montavimo darbus?</w:t>
            </w:r>
          </w:p>
          <w:p w14:paraId="6E6D3BD0" w14:textId="77777777" w:rsidR="00F9330E" w:rsidRDefault="00F9330E" w:rsidP="0023230F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4677" w:type="dxa"/>
          </w:tcPr>
          <w:p w14:paraId="6F9C840F" w14:textId="77777777" w:rsidR="00F9330E" w:rsidRPr="000706C1" w:rsidRDefault="00F9330E" w:rsidP="0023230F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0706C1">
              <w:rPr>
                <w:rFonts w:ascii="Tahoma" w:hAnsi="Tahoma" w:cs="Tahoma"/>
                <w:sz w:val="22"/>
                <w:szCs w:val="20"/>
              </w:rPr>
              <w:t xml:space="preserve">Perkančioji organizacija neatlieka išankstinio tiekėjų pasiūlymų vertinimo. Pats tiekėjas turi įsivertinti kokius dokumentus reikia pateikti norint įrodyti atitikį pirkimo sąlygose nustatytiems </w:t>
            </w:r>
            <w:r>
              <w:rPr>
                <w:rFonts w:ascii="Tahoma" w:hAnsi="Tahoma" w:cs="Tahoma"/>
                <w:sz w:val="22"/>
                <w:szCs w:val="20"/>
              </w:rPr>
              <w:t xml:space="preserve">kvalifikacijos </w:t>
            </w:r>
            <w:r w:rsidRPr="000706C1">
              <w:rPr>
                <w:rFonts w:ascii="Tahoma" w:hAnsi="Tahoma" w:cs="Tahoma"/>
                <w:sz w:val="22"/>
                <w:szCs w:val="20"/>
              </w:rPr>
              <w:t xml:space="preserve">reikalavimams. Kita vertus Perkančioji organizacija atkreipia dėmesį, kad tiekėjo klausime cituojamas kvalifikacijos reikalavimas yra orientuotas į tiekėjo patirtį įgyvendinant IT infrastruktūros įrangos sutartį, o ne į sutarties tipą (rangos ar pirkimo–pardavimo). Todėl tokia sutartis galėtų atitikti pirkimo sąlygų reikalavimus jeigu sutarties apimtyje buvo vykdomas IT infrastruktūros įrangos tiekimas ir iš </w:t>
            </w:r>
            <w:r>
              <w:rPr>
                <w:rFonts w:ascii="Tahoma" w:hAnsi="Tahoma" w:cs="Tahoma"/>
                <w:sz w:val="22"/>
                <w:szCs w:val="20"/>
              </w:rPr>
              <w:t>kvalifikacijos atitikimui</w:t>
            </w:r>
            <w:r w:rsidRPr="000706C1">
              <w:rPr>
                <w:rFonts w:ascii="Tahoma" w:hAnsi="Tahoma" w:cs="Tahoma"/>
                <w:sz w:val="22"/>
                <w:szCs w:val="20"/>
              </w:rPr>
              <w:t xml:space="preserve"> pateiktų dokumentų Perkančioji organizacija galėtų aiškiai įsitikinti, kad rangos </w:t>
            </w:r>
            <w:r>
              <w:rPr>
                <w:rFonts w:ascii="Tahoma" w:hAnsi="Tahoma" w:cs="Tahoma"/>
                <w:sz w:val="22"/>
                <w:szCs w:val="20"/>
              </w:rPr>
              <w:t xml:space="preserve">sutarties </w:t>
            </w:r>
            <w:r w:rsidRPr="000706C1">
              <w:rPr>
                <w:rFonts w:ascii="Tahoma" w:hAnsi="Tahoma" w:cs="Tahoma"/>
                <w:sz w:val="22"/>
                <w:szCs w:val="20"/>
              </w:rPr>
              <w:t>vykdymo metu tiekėjas užsakovui turėjo perduoti IT infrastruktūros įrangą.</w:t>
            </w:r>
          </w:p>
          <w:p w14:paraId="62832A0F" w14:textId="77777777" w:rsidR="00F9330E" w:rsidRPr="002C6D24" w:rsidRDefault="00F9330E" w:rsidP="0023230F">
            <w:pPr>
              <w:jc w:val="both"/>
              <w:rPr>
                <w:rFonts w:ascii="Tahoma" w:hAnsi="Tahoma" w:cs="Tahoma"/>
                <w:sz w:val="22"/>
              </w:rPr>
            </w:pPr>
          </w:p>
        </w:tc>
      </w:tr>
    </w:tbl>
    <w:p w14:paraId="23867EA7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E8C1" w14:textId="77777777" w:rsidR="00247AB0" w:rsidRDefault="00247AB0" w:rsidP="00DD3A79">
      <w:pPr>
        <w:spacing w:line="240" w:lineRule="auto"/>
      </w:pPr>
      <w:r>
        <w:separator/>
      </w:r>
    </w:p>
  </w:endnote>
  <w:endnote w:type="continuationSeparator" w:id="0">
    <w:p w14:paraId="37A832F2" w14:textId="77777777" w:rsidR="00247AB0" w:rsidRDefault="00247AB0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F1B7E" w14:textId="77777777" w:rsidR="00247AB0" w:rsidRDefault="00247AB0" w:rsidP="00DD3A79">
      <w:pPr>
        <w:spacing w:line="240" w:lineRule="auto"/>
      </w:pPr>
      <w:r>
        <w:separator/>
      </w:r>
    </w:p>
  </w:footnote>
  <w:footnote w:type="continuationSeparator" w:id="0">
    <w:p w14:paraId="4BF1399A" w14:textId="77777777" w:rsidR="00247AB0" w:rsidRDefault="00247AB0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34D64AE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7B1C677C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0E"/>
    <w:rsid w:val="00027E7F"/>
    <w:rsid w:val="00247AB0"/>
    <w:rsid w:val="002A7375"/>
    <w:rsid w:val="003E48E6"/>
    <w:rsid w:val="00672D56"/>
    <w:rsid w:val="008435F7"/>
    <w:rsid w:val="008B378F"/>
    <w:rsid w:val="00A43CE4"/>
    <w:rsid w:val="00AB57A3"/>
    <w:rsid w:val="00B76466"/>
    <w:rsid w:val="00DD3A79"/>
    <w:rsid w:val="00F350AC"/>
    <w:rsid w:val="00F9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7A380"/>
  <w15:chartTrackingRefBased/>
  <w15:docId w15:val="{85572FEE-9BCA-47D6-8A11-8D2FE41A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30E"/>
    <w:pPr>
      <w:ind w:firstLine="0"/>
    </w:pPr>
    <w:rPr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3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3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3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3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3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3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3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  <w:rPr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  <w:rPr>
      <w:kern w:val="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F933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3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30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30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30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3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3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3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3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3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3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33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30E"/>
    <w:pPr>
      <w:spacing w:before="160" w:after="160"/>
      <w:jc w:val="center"/>
    </w:pPr>
    <w:rPr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330E"/>
    <w:rPr>
      <w:i/>
      <w:iCs/>
      <w:color w:val="404040" w:themeColor="text1" w:themeTint="BF"/>
    </w:rPr>
  </w:style>
  <w:style w:type="paragraph" w:styleId="ListParagraph">
    <w:name w:val="List Paragraph"/>
    <w:aliases w:val="Bullet EY,ERP-List Paragraph,List Paragraph11,Numbering,List Paragraph Red,List Paragraph2,Paragraph,Table of contents numbered,List Paragraph21,Buletai,lp1,Bullet 1,Use Case List Paragraph,List Paragraph111,VARNELES,Primus H 3,Γράφημα,lp"/>
    <w:basedOn w:val="Normal"/>
    <w:link w:val="ListParagraphChar"/>
    <w:uiPriority w:val="34"/>
    <w:qFormat/>
    <w:rsid w:val="00F9330E"/>
    <w:pPr>
      <w:ind w:left="720"/>
      <w:contextualSpacing/>
    </w:pPr>
    <w:rPr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330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3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30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30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aliases w:val="Smart Text Table"/>
    <w:basedOn w:val="TableNormal"/>
    <w:uiPriority w:val="39"/>
    <w:rsid w:val="00F9330E"/>
    <w:pPr>
      <w:spacing w:line="240" w:lineRule="auto"/>
      <w:ind w:firstLine="414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ERP-List Paragraph Char,List Paragraph11 Char,Numbering Char,List Paragraph Red Char,List Paragraph2 Char,Paragraph Char,Table of contents numbered Char,List Paragraph21 Char,Buletai Char,lp1 Char,Bullet 1 Char,lp Char"/>
    <w:link w:val="ListParagraph"/>
    <w:uiPriority w:val="34"/>
    <w:qFormat/>
    <w:locked/>
    <w:rsid w:val="00F93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Gudavičius</dc:creator>
  <cp:keywords/>
  <dc:description/>
  <cp:lastModifiedBy>Aidas Gudavičius</cp:lastModifiedBy>
  <cp:revision>1</cp:revision>
  <dcterms:created xsi:type="dcterms:W3CDTF">2026-01-14T09:38:00Z</dcterms:created>
  <dcterms:modified xsi:type="dcterms:W3CDTF">2026-01-14T09:39:00Z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2026-01-14T09:39:19Z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e9c51072-3924-466d-931d-2fa2aa045a4a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</Properties>
</file>