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5E3" w:rsidRPr="008705E3" w:rsidRDefault="008705E3" w:rsidP="008705E3">
      <w:pPr>
        <w:spacing w:before="11"/>
        <w:rPr>
          <w:sz w:val="22"/>
          <w:szCs w:val="22"/>
        </w:rPr>
      </w:pPr>
      <w:r>
        <w:rPr>
          <w:sz w:val="22"/>
          <w:szCs w:val="22"/>
        </w:rPr>
        <w:t xml:space="preserve">                                                                                                                                                                  </w:t>
      </w:r>
      <w:r w:rsidRPr="008705E3">
        <w:rPr>
          <w:sz w:val="22"/>
          <w:szCs w:val="22"/>
        </w:rPr>
        <w:t xml:space="preserve">Priedas Nr. 2 </w:t>
      </w:r>
    </w:p>
    <w:p w:rsidR="00B9284E" w:rsidRPr="00C96B1C" w:rsidRDefault="00B9284E" w:rsidP="00B9284E">
      <w:pPr>
        <w:spacing w:before="11"/>
        <w:rPr>
          <w:rFonts w:ascii="Calibri" w:hAnsi="Calibri"/>
          <w:lang w:eastAsia="en-US"/>
        </w:rPr>
      </w:pPr>
    </w:p>
    <w:p w:rsidR="00B9284E" w:rsidRPr="00C96B1C" w:rsidRDefault="00B9284E" w:rsidP="00B9284E">
      <w:pPr>
        <w:spacing w:before="11"/>
        <w:rPr>
          <w:rFonts w:ascii="Calibri" w:hAnsi="Calibri"/>
          <w:lang w:eastAsia="en-US"/>
        </w:rPr>
      </w:pPr>
    </w:p>
    <w:p w:rsidR="00B9284E" w:rsidRPr="00C96B1C" w:rsidRDefault="00B9284E" w:rsidP="00B9284E">
      <w:pPr>
        <w:tabs>
          <w:tab w:val="left" w:pos="709"/>
          <w:tab w:val="left" w:pos="851"/>
          <w:tab w:val="left" w:pos="993"/>
        </w:tabs>
        <w:jc w:val="center"/>
        <w:rPr>
          <w:b/>
        </w:rPr>
      </w:pPr>
      <w:r w:rsidRPr="00C96B1C">
        <w:rPr>
          <w:b/>
        </w:rPr>
        <w:t xml:space="preserve">TECHNINĖ SPECIFIKACIJA </w:t>
      </w:r>
    </w:p>
    <w:p w:rsidR="00B9284E" w:rsidRPr="00C96B1C" w:rsidRDefault="00C504D1" w:rsidP="00B9284E">
      <w:pPr>
        <w:tabs>
          <w:tab w:val="left" w:pos="709"/>
          <w:tab w:val="left" w:pos="851"/>
          <w:tab w:val="left" w:pos="993"/>
        </w:tabs>
        <w:jc w:val="center"/>
        <w:rPr>
          <w:sz w:val="22"/>
          <w:szCs w:val="22"/>
        </w:rPr>
      </w:pPr>
      <w:r w:rsidRPr="000C7EC4">
        <w:rPr>
          <w:b/>
          <w:lang w:eastAsia="en-US"/>
        </w:rPr>
        <w:t>KELEIVINIO MIKROAUTOBUSO, BENDROJI MASĖ IKI 3,5 TONŲ, NUOMOS</w:t>
      </w:r>
      <w:r w:rsidR="005979BB">
        <w:rPr>
          <w:b/>
          <w:lang w:eastAsia="en-US"/>
        </w:rPr>
        <w:t xml:space="preserve"> BE VAIRUOTOJO</w:t>
      </w:r>
    </w:p>
    <w:p w:rsidR="00B9284E" w:rsidRPr="00C96B1C" w:rsidRDefault="00B9284E" w:rsidP="00B9284E">
      <w:pPr>
        <w:tabs>
          <w:tab w:val="left" w:pos="709"/>
          <w:tab w:val="left" w:pos="851"/>
          <w:tab w:val="left" w:pos="993"/>
        </w:tabs>
        <w:jc w:val="center"/>
        <w:rPr>
          <w:sz w:val="22"/>
          <w:szCs w:val="22"/>
        </w:rPr>
      </w:pPr>
      <w:r w:rsidRPr="00C96B1C">
        <w:rPr>
          <w:sz w:val="22"/>
          <w:szCs w:val="22"/>
        </w:rPr>
        <w:t xml:space="preserve">BVPŽ kodas </w:t>
      </w:r>
      <w:r w:rsidR="00C504D1" w:rsidRPr="00C504D1">
        <w:rPr>
          <w:rFonts w:eastAsia="Calibri"/>
          <w:lang w:eastAsia="en-US"/>
        </w:rPr>
        <w:t>34110000-1</w:t>
      </w:r>
    </w:p>
    <w:p w:rsidR="00B9284E" w:rsidRPr="00271D54" w:rsidRDefault="00B9284E" w:rsidP="00B9284E">
      <w:pPr>
        <w:rPr>
          <w:color w:val="FF0000"/>
        </w:rPr>
      </w:pPr>
    </w:p>
    <w:p w:rsidR="00B9284E" w:rsidRPr="00271D54" w:rsidRDefault="00B9284E" w:rsidP="00B9284E">
      <w:pPr>
        <w:rPr>
          <w:color w:val="FF0000"/>
        </w:rPr>
      </w:pPr>
    </w:p>
    <w:tbl>
      <w:tblPr>
        <w:tblpPr w:leftFromText="180" w:rightFromText="180" w:vertAnchor="text" w:tblpXSpec="right" w:tblpY="1"/>
        <w:tblOverlap w:val="neve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602"/>
        <w:gridCol w:w="7754"/>
      </w:tblGrid>
      <w:tr w:rsidR="00B9284E" w:rsidRPr="00C96B1C" w:rsidTr="008705E3">
        <w:trPr>
          <w:trHeight w:val="482"/>
        </w:trPr>
        <w:tc>
          <w:tcPr>
            <w:tcW w:w="567" w:type="dxa"/>
            <w:tcBorders>
              <w:right w:val="single" w:sz="4" w:space="0" w:color="000000"/>
            </w:tcBorders>
          </w:tcPr>
          <w:p w:rsidR="00B9284E" w:rsidRPr="00C96B1C" w:rsidRDefault="00B9284E" w:rsidP="008705E3">
            <w:pPr>
              <w:spacing w:line="242" w:lineRule="exact"/>
              <w:ind w:left="110" w:right="69" w:hanging="5"/>
              <w:rPr>
                <w:b/>
                <w:sz w:val="20"/>
                <w:szCs w:val="20"/>
                <w:lang w:eastAsia="en-US"/>
              </w:rPr>
            </w:pPr>
            <w:r w:rsidRPr="00C96B1C">
              <w:rPr>
                <w:b/>
                <w:sz w:val="20"/>
                <w:szCs w:val="20"/>
              </w:rPr>
              <w:t>Eil. Nr.</w:t>
            </w:r>
          </w:p>
        </w:tc>
        <w:tc>
          <w:tcPr>
            <w:tcW w:w="1602" w:type="dxa"/>
            <w:tcBorders>
              <w:left w:val="single" w:sz="4" w:space="0" w:color="000000"/>
            </w:tcBorders>
          </w:tcPr>
          <w:p w:rsidR="00B9284E" w:rsidRPr="00C96B1C" w:rsidRDefault="00B9284E" w:rsidP="008705E3">
            <w:pPr>
              <w:spacing w:before="129"/>
              <w:ind w:left="114"/>
              <w:rPr>
                <w:b/>
                <w:sz w:val="20"/>
                <w:szCs w:val="20"/>
                <w:lang w:eastAsia="en-US"/>
              </w:rPr>
            </w:pPr>
            <w:r w:rsidRPr="00C96B1C">
              <w:rPr>
                <w:b/>
                <w:sz w:val="20"/>
                <w:szCs w:val="20"/>
              </w:rPr>
              <w:t>Pavadinimas</w:t>
            </w:r>
          </w:p>
        </w:tc>
        <w:tc>
          <w:tcPr>
            <w:tcW w:w="7754" w:type="dxa"/>
            <w:tcBorders>
              <w:bottom w:val="single" w:sz="4" w:space="0" w:color="auto"/>
              <w:right w:val="single" w:sz="4" w:space="0" w:color="000000"/>
            </w:tcBorders>
          </w:tcPr>
          <w:p w:rsidR="00B9284E" w:rsidRPr="00334656" w:rsidRDefault="00B9284E" w:rsidP="008705E3">
            <w:pPr>
              <w:spacing w:before="133"/>
              <w:ind w:left="2416" w:right="2412"/>
              <w:jc w:val="center"/>
              <w:rPr>
                <w:b/>
                <w:sz w:val="20"/>
                <w:szCs w:val="20"/>
                <w:lang w:eastAsia="en-US"/>
              </w:rPr>
            </w:pPr>
            <w:r w:rsidRPr="00C96B1C">
              <w:rPr>
                <w:b/>
                <w:sz w:val="20"/>
                <w:szCs w:val="20"/>
              </w:rPr>
              <w:t>Aprašymas (techninė specifikacija)</w:t>
            </w:r>
          </w:p>
        </w:tc>
      </w:tr>
      <w:tr w:rsidR="00B9284E" w:rsidRPr="00C96B1C" w:rsidTr="008705E3">
        <w:trPr>
          <w:trHeight w:val="6814"/>
        </w:trPr>
        <w:tc>
          <w:tcPr>
            <w:tcW w:w="567" w:type="dxa"/>
            <w:tcBorders>
              <w:bottom w:val="nil"/>
              <w:right w:val="single" w:sz="4" w:space="0" w:color="000000"/>
            </w:tcBorders>
          </w:tcPr>
          <w:p w:rsidR="00B9284E" w:rsidRPr="00C96B1C" w:rsidRDefault="00B9284E" w:rsidP="008705E3">
            <w:pPr>
              <w:spacing w:before="134"/>
              <w:rPr>
                <w:sz w:val="20"/>
                <w:szCs w:val="20"/>
                <w:lang w:eastAsia="en-US"/>
              </w:rPr>
            </w:pPr>
            <w:r w:rsidRPr="00C96B1C">
              <w:rPr>
                <w:sz w:val="20"/>
                <w:szCs w:val="20"/>
                <w:lang w:eastAsia="en-US"/>
              </w:rPr>
              <w:t xml:space="preserve"> </w:t>
            </w:r>
          </w:p>
          <w:p w:rsidR="00B9284E" w:rsidRPr="00C96B1C" w:rsidRDefault="00B9284E" w:rsidP="008705E3">
            <w:pPr>
              <w:spacing w:before="134"/>
              <w:rPr>
                <w:sz w:val="20"/>
                <w:szCs w:val="20"/>
                <w:lang w:eastAsia="en-US"/>
              </w:rPr>
            </w:pPr>
          </w:p>
          <w:p w:rsidR="00B9284E" w:rsidRPr="00C96B1C" w:rsidRDefault="00B9284E" w:rsidP="008705E3">
            <w:pPr>
              <w:spacing w:before="134"/>
              <w:rPr>
                <w:sz w:val="20"/>
                <w:szCs w:val="20"/>
                <w:lang w:eastAsia="en-US"/>
              </w:rPr>
            </w:pPr>
          </w:p>
          <w:p w:rsidR="00B9284E" w:rsidRPr="00C96B1C" w:rsidRDefault="00B9284E" w:rsidP="008705E3">
            <w:pPr>
              <w:spacing w:before="134"/>
              <w:rPr>
                <w:sz w:val="20"/>
                <w:szCs w:val="20"/>
                <w:lang w:eastAsia="en-US"/>
              </w:rPr>
            </w:pPr>
          </w:p>
          <w:p w:rsidR="00B9284E" w:rsidRPr="00C96B1C" w:rsidRDefault="00B9284E" w:rsidP="008705E3">
            <w:pPr>
              <w:spacing w:before="134"/>
              <w:rPr>
                <w:sz w:val="20"/>
                <w:szCs w:val="20"/>
                <w:lang w:eastAsia="en-US"/>
              </w:rPr>
            </w:pPr>
          </w:p>
          <w:p w:rsidR="00B9284E" w:rsidRPr="00C96B1C" w:rsidRDefault="00B9284E" w:rsidP="008705E3">
            <w:pPr>
              <w:spacing w:before="134"/>
              <w:rPr>
                <w:sz w:val="20"/>
                <w:szCs w:val="20"/>
                <w:lang w:eastAsia="en-US"/>
              </w:rPr>
            </w:pPr>
          </w:p>
          <w:p w:rsidR="00B9284E" w:rsidRPr="00C96B1C" w:rsidRDefault="00B9284E" w:rsidP="008705E3">
            <w:pPr>
              <w:spacing w:before="134"/>
              <w:rPr>
                <w:sz w:val="20"/>
                <w:szCs w:val="20"/>
                <w:lang w:eastAsia="en-US"/>
              </w:rPr>
            </w:pPr>
          </w:p>
          <w:p w:rsidR="00B9284E" w:rsidRPr="00C96B1C" w:rsidRDefault="00B9284E" w:rsidP="008705E3">
            <w:pPr>
              <w:spacing w:before="134"/>
              <w:jc w:val="center"/>
              <w:rPr>
                <w:sz w:val="20"/>
                <w:szCs w:val="20"/>
                <w:lang w:eastAsia="en-US"/>
              </w:rPr>
            </w:pPr>
          </w:p>
          <w:p w:rsidR="00B9284E" w:rsidRPr="00C96B1C" w:rsidRDefault="00B9284E" w:rsidP="008705E3">
            <w:pPr>
              <w:spacing w:before="134"/>
              <w:jc w:val="center"/>
              <w:rPr>
                <w:sz w:val="20"/>
                <w:szCs w:val="20"/>
                <w:lang w:eastAsia="en-US"/>
              </w:rPr>
            </w:pPr>
            <w:r w:rsidRPr="00C96B1C">
              <w:rPr>
                <w:sz w:val="20"/>
                <w:szCs w:val="20"/>
                <w:lang w:eastAsia="en-US"/>
              </w:rPr>
              <w:t>1.</w:t>
            </w:r>
          </w:p>
        </w:tc>
        <w:tc>
          <w:tcPr>
            <w:tcW w:w="1602" w:type="dxa"/>
            <w:vMerge w:val="restart"/>
            <w:tcBorders>
              <w:left w:val="single" w:sz="4" w:space="0" w:color="000000"/>
            </w:tcBorders>
          </w:tcPr>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B9284E" w:rsidRPr="00C96B1C" w:rsidRDefault="00B9284E" w:rsidP="008705E3">
            <w:pPr>
              <w:ind w:left="158" w:right="133"/>
              <w:rPr>
                <w:sz w:val="20"/>
                <w:szCs w:val="20"/>
                <w:lang w:eastAsia="en-US"/>
              </w:rPr>
            </w:pPr>
          </w:p>
          <w:p w:rsidR="00C504D1" w:rsidRPr="00C504D1" w:rsidRDefault="00C504D1" w:rsidP="008705E3">
            <w:pPr>
              <w:ind w:left="158" w:right="133"/>
              <w:rPr>
                <w:rFonts w:eastAsiaTheme="minorHAnsi"/>
                <w:sz w:val="20"/>
                <w:szCs w:val="20"/>
                <w:lang w:eastAsia="en-US"/>
              </w:rPr>
            </w:pPr>
            <w:r w:rsidRPr="00C504D1">
              <w:rPr>
                <w:rFonts w:eastAsiaTheme="minorHAnsi"/>
                <w:sz w:val="20"/>
                <w:szCs w:val="20"/>
                <w:lang w:eastAsia="en-US"/>
              </w:rPr>
              <w:t>Keleivinio mikroautobuso nuoma be vairuotojo.</w:t>
            </w:r>
          </w:p>
          <w:p w:rsidR="00B9284E" w:rsidRPr="00C96B1C" w:rsidRDefault="00B9284E" w:rsidP="008705E3">
            <w:pPr>
              <w:spacing w:before="40" w:line="295" w:lineRule="auto"/>
              <w:ind w:right="142"/>
              <w:rPr>
                <w:rFonts w:ascii="Calibri" w:hAnsi="Calibri"/>
                <w:sz w:val="19"/>
                <w:lang w:eastAsia="en-US"/>
              </w:rPr>
            </w:pPr>
          </w:p>
        </w:tc>
        <w:tc>
          <w:tcPr>
            <w:tcW w:w="7754" w:type="dxa"/>
            <w:vMerge w:val="restart"/>
            <w:tcBorders>
              <w:top w:val="single" w:sz="4" w:space="0" w:color="auto"/>
              <w:bottom w:val="single" w:sz="4" w:space="0" w:color="auto"/>
              <w:right w:val="single" w:sz="4" w:space="0" w:color="000000"/>
            </w:tcBorders>
          </w:tcPr>
          <w:p w:rsidR="008A4353" w:rsidRPr="008A4353" w:rsidRDefault="008A4353" w:rsidP="008705E3">
            <w:pPr>
              <w:tabs>
                <w:tab w:val="num" w:pos="851"/>
                <w:tab w:val="left" w:pos="7020"/>
              </w:tabs>
              <w:jc w:val="both"/>
              <w:rPr>
                <w:b/>
              </w:rPr>
            </w:pPr>
            <w:r w:rsidRPr="008A4353">
              <w:rPr>
                <w:b/>
              </w:rPr>
              <w:t>1. Pirkimo objekto paskirtis:</w:t>
            </w:r>
          </w:p>
          <w:p w:rsidR="008A4353" w:rsidRPr="000C7EC4" w:rsidRDefault="008A4353" w:rsidP="008705E3">
            <w:pPr>
              <w:tabs>
                <w:tab w:val="num" w:pos="851"/>
                <w:tab w:val="left" w:pos="1080"/>
                <w:tab w:val="left" w:pos="1620"/>
              </w:tabs>
              <w:jc w:val="both"/>
            </w:pPr>
            <w:r w:rsidRPr="000C7EC4">
              <w:t>Keleivinio mi</w:t>
            </w:r>
            <w:r>
              <w:t>kroautobuso nuoma be vairuotojo.</w:t>
            </w:r>
          </w:p>
          <w:p w:rsidR="008A4353" w:rsidRPr="000C7EC4" w:rsidRDefault="008A4353" w:rsidP="008705E3">
            <w:pPr>
              <w:tabs>
                <w:tab w:val="num" w:pos="851"/>
                <w:tab w:val="left" w:pos="1080"/>
                <w:tab w:val="left" w:pos="1620"/>
              </w:tabs>
              <w:ind w:firstLine="567"/>
              <w:jc w:val="both"/>
            </w:pPr>
          </w:p>
          <w:p w:rsidR="008A4353" w:rsidRPr="008A4353" w:rsidRDefault="008A4353" w:rsidP="008705E3">
            <w:pPr>
              <w:tabs>
                <w:tab w:val="num" w:pos="851"/>
                <w:tab w:val="left" w:pos="7020"/>
              </w:tabs>
              <w:jc w:val="both"/>
              <w:rPr>
                <w:b/>
              </w:rPr>
            </w:pPr>
            <w:r w:rsidRPr="008A4353">
              <w:rPr>
                <w:b/>
              </w:rPr>
              <w:t>2. Privalomieji reikalavimai:</w:t>
            </w:r>
          </w:p>
          <w:p w:rsidR="008A4353" w:rsidRPr="000C7EC4" w:rsidRDefault="008A4353" w:rsidP="008705E3">
            <w:pPr>
              <w:tabs>
                <w:tab w:val="left" w:pos="426"/>
                <w:tab w:val="left" w:pos="709"/>
              </w:tabs>
              <w:jc w:val="both"/>
              <w:rPr>
                <w:lang w:eastAsia="en-US"/>
              </w:rPr>
            </w:pPr>
            <w:r w:rsidRPr="000C7EC4">
              <w:rPr>
                <w:lang w:eastAsia="en-US"/>
              </w:rPr>
              <w:t>2.1. Mikroautobusas (toliau – automobilis) privalo būti pagami</w:t>
            </w:r>
            <w:r>
              <w:rPr>
                <w:lang w:eastAsia="en-US"/>
              </w:rPr>
              <w:t xml:space="preserve">ntas ne seniau kaip </w:t>
            </w:r>
            <w:r w:rsidRPr="00233B92">
              <w:rPr>
                <w:lang w:eastAsia="en-US"/>
              </w:rPr>
              <w:t>2020</w:t>
            </w:r>
            <w:r w:rsidRPr="006D3E7F">
              <w:rPr>
                <w:color w:val="FF0000"/>
                <w:lang w:eastAsia="en-US"/>
              </w:rPr>
              <w:t xml:space="preserve"> </w:t>
            </w:r>
            <w:r>
              <w:rPr>
                <w:lang w:eastAsia="en-US"/>
              </w:rPr>
              <w:t>metais</w:t>
            </w:r>
            <w:r w:rsidRPr="000C7EC4">
              <w:rPr>
                <w:lang w:eastAsia="en-US"/>
              </w:rPr>
              <w:t>.</w:t>
            </w:r>
            <w:r w:rsidR="005979BB">
              <w:rPr>
                <w:lang w:eastAsia="en-US"/>
              </w:rPr>
              <w:t xml:space="preserve"> </w:t>
            </w:r>
            <w:r w:rsidRPr="002C2065">
              <w:rPr>
                <w:lang w:eastAsia="en-US"/>
              </w:rPr>
              <w:t>Automobilis privalo būti M1 klasės.</w:t>
            </w:r>
          </w:p>
          <w:p w:rsidR="008A4353" w:rsidRPr="000C7EC4" w:rsidRDefault="008A4353" w:rsidP="008705E3">
            <w:pPr>
              <w:tabs>
                <w:tab w:val="left" w:pos="709"/>
                <w:tab w:val="left" w:pos="7020"/>
              </w:tabs>
              <w:jc w:val="both"/>
              <w:rPr>
                <w:rFonts w:eastAsia="Calibri"/>
              </w:rPr>
            </w:pPr>
            <w:r w:rsidRPr="000C7EC4">
              <w:rPr>
                <w:lang w:eastAsia="en-US"/>
              </w:rPr>
              <w:t xml:space="preserve">2.2. </w:t>
            </w:r>
            <w:r w:rsidRPr="008A4353">
              <w:rPr>
                <w:rFonts w:eastAsia="Calibri"/>
                <w:b/>
              </w:rPr>
              <w:t>Kėbulas:</w:t>
            </w:r>
          </w:p>
          <w:p w:rsidR="008A4353" w:rsidRPr="000C7EC4" w:rsidRDefault="008A4353" w:rsidP="008705E3">
            <w:pPr>
              <w:tabs>
                <w:tab w:val="left" w:pos="709"/>
                <w:tab w:val="left" w:pos="7020"/>
              </w:tabs>
              <w:jc w:val="both"/>
              <w:rPr>
                <w:rFonts w:eastAsia="Calibri"/>
              </w:rPr>
            </w:pPr>
            <w:r w:rsidRPr="000C7EC4">
              <w:rPr>
                <w:lang w:eastAsia="en-US"/>
              </w:rPr>
              <w:t>2.2.</w:t>
            </w:r>
            <w:r w:rsidRPr="000C7EC4">
              <w:rPr>
                <w:rFonts w:eastAsia="Calibri"/>
                <w:bCs/>
              </w:rPr>
              <w:t xml:space="preserve">1. keleivinis, </w:t>
            </w:r>
            <w:r w:rsidRPr="000C7EC4">
              <w:rPr>
                <w:rFonts w:eastAsia="Calibri"/>
              </w:rPr>
              <w:t>ne mažiau 7 sėdimų vietų keleiviams ir 1 sėdimoji vieta vairuotojui</w:t>
            </w:r>
            <w:r w:rsidRPr="000C7EC4">
              <w:rPr>
                <w:rFonts w:eastAsia="Calibri"/>
                <w:bCs/>
              </w:rPr>
              <w:t>;</w:t>
            </w:r>
          </w:p>
          <w:p w:rsidR="008A4353" w:rsidRPr="000C7EC4" w:rsidRDefault="008A4353" w:rsidP="008705E3">
            <w:pPr>
              <w:tabs>
                <w:tab w:val="left" w:pos="709"/>
                <w:tab w:val="left" w:pos="7020"/>
              </w:tabs>
              <w:jc w:val="both"/>
              <w:rPr>
                <w:rFonts w:eastAsia="Calibri"/>
              </w:rPr>
            </w:pPr>
            <w:r w:rsidRPr="000C7EC4">
              <w:rPr>
                <w:lang w:eastAsia="en-US"/>
              </w:rPr>
              <w:t>2.2.</w:t>
            </w:r>
            <w:r w:rsidRPr="000C7EC4">
              <w:rPr>
                <w:rFonts w:eastAsia="Calibri"/>
                <w:bCs/>
              </w:rPr>
              <w:t>2. pilnai įstiklintas keleivių salonas, keleivių skyriaus stiklai tamsinti;</w:t>
            </w:r>
          </w:p>
          <w:p w:rsidR="008A4353" w:rsidRPr="000C7EC4" w:rsidRDefault="008A4353" w:rsidP="008705E3">
            <w:pPr>
              <w:tabs>
                <w:tab w:val="left" w:pos="709"/>
                <w:tab w:val="left" w:pos="7020"/>
              </w:tabs>
              <w:jc w:val="both"/>
              <w:rPr>
                <w:rFonts w:eastAsia="Calibri"/>
              </w:rPr>
            </w:pPr>
            <w:r w:rsidRPr="000C7EC4">
              <w:rPr>
                <w:lang w:eastAsia="en-US"/>
              </w:rPr>
              <w:t>2.2.</w:t>
            </w:r>
            <w:r w:rsidRPr="000C7EC4">
              <w:rPr>
                <w:rFonts w:eastAsia="Calibri"/>
                <w:bCs/>
              </w:rPr>
              <w:t>3. bendras automobilio ilgis ne mažiau nei 5 m, aukštis ne daugiau nei 2 m;</w:t>
            </w:r>
          </w:p>
          <w:p w:rsidR="008A4353" w:rsidRPr="000C7EC4" w:rsidRDefault="008A4353" w:rsidP="008705E3">
            <w:pPr>
              <w:tabs>
                <w:tab w:val="left" w:pos="709"/>
                <w:tab w:val="left" w:pos="7020"/>
              </w:tabs>
              <w:jc w:val="both"/>
              <w:rPr>
                <w:rFonts w:eastAsia="Calibri"/>
              </w:rPr>
            </w:pPr>
            <w:r w:rsidRPr="000C7EC4">
              <w:rPr>
                <w:lang w:eastAsia="en-US"/>
              </w:rPr>
              <w:t>2.2.</w:t>
            </w:r>
            <w:r w:rsidRPr="000C7EC4">
              <w:rPr>
                <w:rFonts w:eastAsia="Calibri"/>
                <w:bCs/>
              </w:rPr>
              <w:t>4. vairas kairėje pusėje.</w:t>
            </w:r>
          </w:p>
          <w:p w:rsidR="008A4353" w:rsidRPr="000C7EC4" w:rsidRDefault="008A4353" w:rsidP="008705E3">
            <w:pPr>
              <w:tabs>
                <w:tab w:val="left" w:pos="709"/>
                <w:tab w:val="left" w:pos="7020"/>
              </w:tabs>
              <w:jc w:val="both"/>
              <w:rPr>
                <w:lang w:eastAsia="en-US"/>
              </w:rPr>
            </w:pPr>
            <w:r w:rsidRPr="000C7EC4">
              <w:rPr>
                <w:lang w:eastAsia="en-US"/>
              </w:rPr>
              <w:t xml:space="preserve">2.3. </w:t>
            </w:r>
            <w:r w:rsidRPr="008A4353">
              <w:rPr>
                <w:b/>
                <w:lang w:eastAsia="en-US"/>
              </w:rPr>
              <w:t>Variklis:</w:t>
            </w:r>
          </w:p>
          <w:p w:rsidR="008A4353" w:rsidRDefault="008A4353" w:rsidP="008705E3">
            <w:pPr>
              <w:tabs>
                <w:tab w:val="left" w:pos="709"/>
                <w:tab w:val="left" w:pos="7020"/>
              </w:tabs>
              <w:jc w:val="both"/>
              <w:rPr>
                <w:lang w:eastAsia="en-US"/>
              </w:rPr>
            </w:pPr>
            <w:r w:rsidRPr="000C7EC4">
              <w:rPr>
                <w:lang w:eastAsia="en-US"/>
              </w:rPr>
              <w:t xml:space="preserve">2.3.1. </w:t>
            </w:r>
            <w:r w:rsidRPr="002C2065">
              <w:rPr>
                <w:lang w:eastAsia="en-US"/>
              </w:rPr>
              <w:t>dyzelinis, kuris turi atitikti ne mažiau Euro 6 emisijos reikalavimus.</w:t>
            </w:r>
          </w:p>
          <w:p w:rsidR="008A4353" w:rsidRPr="000C7EC4" w:rsidRDefault="008A4353" w:rsidP="008705E3">
            <w:pPr>
              <w:tabs>
                <w:tab w:val="left" w:pos="709"/>
                <w:tab w:val="left" w:pos="7020"/>
              </w:tabs>
              <w:jc w:val="both"/>
              <w:rPr>
                <w:lang w:eastAsia="en-US"/>
              </w:rPr>
            </w:pPr>
            <w:r w:rsidRPr="000C7EC4">
              <w:rPr>
                <w:lang w:eastAsia="en-US"/>
              </w:rPr>
              <w:t xml:space="preserve">2.3.2. variklio galingumas ne mažesnis nei </w:t>
            </w:r>
            <w:r w:rsidRPr="00233B92">
              <w:rPr>
                <w:lang w:eastAsia="en-US"/>
              </w:rPr>
              <w:t xml:space="preserve">88 </w:t>
            </w:r>
            <w:r w:rsidRPr="000C7EC4">
              <w:rPr>
                <w:lang w:eastAsia="en-US"/>
              </w:rPr>
              <w:t>kW;</w:t>
            </w:r>
          </w:p>
          <w:p w:rsidR="008A4353" w:rsidRPr="000C7EC4" w:rsidRDefault="008A4353" w:rsidP="008705E3">
            <w:pPr>
              <w:tabs>
                <w:tab w:val="left" w:pos="709"/>
                <w:tab w:val="left" w:pos="7020"/>
              </w:tabs>
              <w:jc w:val="both"/>
              <w:rPr>
                <w:lang w:eastAsia="en-US"/>
              </w:rPr>
            </w:pPr>
            <w:r w:rsidRPr="000C7EC4">
              <w:rPr>
                <w:lang w:eastAsia="en-US"/>
              </w:rPr>
              <w:t>2.3.3. vidutinės gamintojo deklaruojamos kuro sąnaudos ne didesnės nei 10 l šimtui km.</w:t>
            </w:r>
          </w:p>
          <w:p w:rsidR="008A4353" w:rsidRPr="000C7EC4" w:rsidRDefault="008A4353" w:rsidP="008705E3">
            <w:pPr>
              <w:tabs>
                <w:tab w:val="left" w:pos="709"/>
                <w:tab w:val="left" w:pos="7020"/>
              </w:tabs>
              <w:jc w:val="both"/>
              <w:rPr>
                <w:lang w:eastAsia="en-US"/>
              </w:rPr>
            </w:pPr>
            <w:r w:rsidRPr="000C7EC4">
              <w:rPr>
                <w:lang w:eastAsia="en-US"/>
              </w:rPr>
              <w:t xml:space="preserve">2.4. </w:t>
            </w:r>
            <w:r w:rsidRPr="008A4353">
              <w:rPr>
                <w:b/>
                <w:lang w:eastAsia="en-US"/>
              </w:rPr>
              <w:t>Saugumas:</w:t>
            </w:r>
          </w:p>
          <w:p w:rsidR="008A4353" w:rsidRPr="000C7EC4" w:rsidRDefault="008A4353" w:rsidP="008705E3">
            <w:pPr>
              <w:tabs>
                <w:tab w:val="left" w:pos="709"/>
                <w:tab w:val="left" w:pos="7020"/>
              </w:tabs>
              <w:jc w:val="both"/>
              <w:rPr>
                <w:lang w:eastAsia="en-US"/>
              </w:rPr>
            </w:pPr>
            <w:r w:rsidRPr="000C7EC4">
              <w:rPr>
                <w:lang w:eastAsia="en-US"/>
              </w:rPr>
              <w:t>2.4.1. gamyklinė automobilio apsaugos priemonė – signalizacija su centriniu durų užraktu bei distanciniu valdymu;</w:t>
            </w:r>
          </w:p>
          <w:p w:rsidR="008A4353" w:rsidRPr="000C7EC4" w:rsidRDefault="008A4353" w:rsidP="008705E3">
            <w:pPr>
              <w:tabs>
                <w:tab w:val="left" w:pos="709"/>
                <w:tab w:val="left" w:pos="7020"/>
              </w:tabs>
              <w:jc w:val="both"/>
              <w:rPr>
                <w:lang w:eastAsia="en-US"/>
              </w:rPr>
            </w:pPr>
            <w:r w:rsidRPr="000C7EC4">
              <w:rPr>
                <w:lang w:eastAsia="en-US"/>
              </w:rPr>
              <w:t xml:space="preserve">2.4.2. saugos diržai visoms sėdimoms vietoms. </w:t>
            </w:r>
          </w:p>
          <w:p w:rsidR="008A4353" w:rsidRPr="000C7EC4" w:rsidRDefault="008A4353" w:rsidP="008705E3">
            <w:pPr>
              <w:tabs>
                <w:tab w:val="left" w:pos="709"/>
                <w:tab w:val="left" w:pos="7020"/>
              </w:tabs>
              <w:jc w:val="both"/>
              <w:rPr>
                <w:lang w:eastAsia="en-US"/>
              </w:rPr>
            </w:pPr>
            <w:r w:rsidRPr="000C7EC4">
              <w:rPr>
                <w:rFonts w:eastAsia="Calibri"/>
                <w:bCs/>
              </w:rPr>
              <w:t>2.5. Įranga:</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1. elektra valdomi langų stiklų kėlikliai priekyje;</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2. elektra valdomi ir šildomi galinio vaizdo išorės veidrodėliai;</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3. oro kondicionierius arba salono klimato kontrolė, papildomi ortakiai keleivių skyriuje;</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4. gamyklinė audiosistema (radijo imtuvas, antena, garsiakalbiai);</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 xml:space="preserve">5. </w:t>
            </w:r>
            <w:r w:rsidRPr="000C7EC4">
              <w:t>reguliuojama vairo padėtis;</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6. autopilotas;</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7. galiniai parkavimosi jutikliai ar galinio vaizdo kamera;</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8. bluetooth laisvų rankų įranga;</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9. vaistinėlė, gesintuvas, avarinis ženklas, šviesą atspindinti liemenė, ratų keitimo įrankių komplektas, atsarginis ratas arba pradurtos padangos remonto komplektas;</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10. apsaugos sistema atitinkanti draudimo reikalavimus;</w:t>
            </w:r>
          </w:p>
          <w:p w:rsidR="008A4353" w:rsidRPr="000C7EC4" w:rsidRDefault="008A4353" w:rsidP="008705E3">
            <w:pPr>
              <w:tabs>
                <w:tab w:val="left" w:pos="709"/>
                <w:tab w:val="left" w:pos="7020"/>
              </w:tabs>
              <w:jc w:val="both"/>
              <w:rPr>
                <w:lang w:eastAsia="en-US"/>
              </w:rPr>
            </w:pPr>
            <w:r w:rsidRPr="000C7EC4">
              <w:rPr>
                <w:rFonts w:eastAsia="Calibri"/>
                <w:bCs/>
              </w:rPr>
              <w:t>2.5.</w:t>
            </w:r>
            <w:r w:rsidRPr="000C7EC4">
              <w:rPr>
                <w:rFonts w:eastAsia="Calibri"/>
              </w:rPr>
              <w:t>11. automobilis turi būti techniškai tvarkingas, su galiojančia technine apžiūra.</w:t>
            </w:r>
          </w:p>
          <w:p w:rsidR="008A4353" w:rsidRPr="000C7EC4" w:rsidRDefault="008A4353" w:rsidP="008705E3">
            <w:pPr>
              <w:tabs>
                <w:tab w:val="left" w:pos="709"/>
                <w:tab w:val="left" w:pos="7020"/>
              </w:tabs>
              <w:jc w:val="both"/>
              <w:rPr>
                <w:lang w:eastAsia="en-US"/>
              </w:rPr>
            </w:pPr>
            <w:r w:rsidRPr="000C7EC4">
              <w:rPr>
                <w:rFonts w:eastAsia="Calibri"/>
                <w:bCs/>
              </w:rPr>
              <w:t>2.6</w:t>
            </w:r>
            <w:r w:rsidRPr="000C7EC4">
              <w:rPr>
                <w:rFonts w:eastAsia="Calibri"/>
              </w:rPr>
              <w:t xml:space="preserve">. </w:t>
            </w:r>
            <w:r w:rsidRPr="008A4353">
              <w:rPr>
                <w:rFonts w:eastAsia="Calibri"/>
                <w:b/>
              </w:rPr>
              <w:t>Spalva:</w:t>
            </w:r>
          </w:p>
          <w:p w:rsidR="008A4353" w:rsidRPr="000C7EC4" w:rsidRDefault="008A4353" w:rsidP="008705E3">
            <w:pPr>
              <w:tabs>
                <w:tab w:val="left" w:pos="709"/>
                <w:tab w:val="left" w:pos="7020"/>
              </w:tabs>
              <w:jc w:val="both"/>
              <w:rPr>
                <w:lang w:eastAsia="en-US"/>
              </w:rPr>
            </w:pPr>
            <w:r w:rsidRPr="000C7EC4">
              <w:rPr>
                <w:rFonts w:eastAsia="Calibri"/>
                <w:bCs/>
              </w:rPr>
              <w:t>2.6</w:t>
            </w:r>
            <w:r w:rsidRPr="000C7EC4">
              <w:rPr>
                <w:rFonts w:eastAsia="Calibri"/>
              </w:rPr>
              <w:t>.1. visos išskyrus baltą ir raudoną;</w:t>
            </w:r>
          </w:p>
          <w:p w:rsidR="008A4353" w:rsidRDefault="008A4353" w:rsidP="008705E3">
            <w:pPr>
              <w:tabs>
                <w:tab w:val="left" w:pos="709"/>
                <w:tab w:val="left" w:pos="7020"/>
              </w:tabs>
              <w:jc w:val="both"/>
            </w:pPr>
            <w:r w:rsidRPr="000C7EC4">
              <w:rPr>
                <w:rFonts w:eastAsia="Calibri"/>
                <w:bCs/>
              </w:rPr>
              <w:t>2.6</w:t>
            </w:r>
            <w:r w:rsidRPr="000C7EC4">
              <w:rPr>
                <w:rFonts w:eastAsia="Calibri"/>
              </w:rPr>
              <w:t>.</w:t>
            </w:r>
            <w:r w:rsidRPr="000C7EC4">
              <w:t>2. rekomenduotina tamsi.</w:t>
            </w:r>
          </w:p>
          <w:p w:rsidR="008A4353" w:rsidRPr="000C7EC4" w:rsidRDefault="008A4353" w:rsidP="008705E3">
            <w:pPr>
              <w:tabs>
                <w:tab w:val="left" w:pos="709"/>
                <w:tab w:val="left" w:pos="7020"/>
              </w:tabs>
              <w:jc w:val="both"/>
              <w:rPr>
                <w:b/>
                <w:u w:val="single"/>
              </w:rPr>
            </w:pPr>
            <w:r>
              <w:lastRenderedPageBreak/>
              <w:t>2.7. A</w:t>
            </w:r>
            <w:r w:rsidRPr="000C7EC4">
              <w:t>utomobilio gedimo / avarijos atveju, kai dėl techninės būklės, automobiliu toliau naudotis nėra galimybės, paslaugos teikėjas savo lėšomis organizuoja automobilio transportavimą iš gedimo / avarijos vietos į remonto vietą, ir keleivių transportavimą iš gedimo / avarijos vietos į pirkėjo dislokacijos vietą arba į artimiausią miestą, įvykiui įvykus užsienio šalyse. Transportavimo paslaugos Lietuvos teritorijoje suteikiamos ne ilgiau kaip per 2 val. nuo pranešimo apie poreikio pateikimo momento ir ne ilgiau kaip per 6 val. užsienio šalyse</w:t>
            </w:r>
            <w:r>
              <w:t>.</w:t>
            </w:r>
          </w:p>
          <w:p w:rsidR="008A4353" w:rsidRDefault="008A4353" w:rsidP="008705E3">
            <w:pPr>
              <w:tabs>
                <w:tab w:val="left" w:pos="709"/>
                <w:tab w:val="left" w:pos="7020"/>
              </w:tabs>
              <w:jc w:val="both"/>
            </w:pPr>
            <w:r>
              <w:t>2.8. J</w:t>
            </w:r>
            <w:r w:rsidRPr="000C7EC4">
              <w:t>ei dėl techninės priežiūros ar automobilio gedimo, paslaugos naudotojas negali naudotis automobiliu ilgiau kaip 6 val., paslaugos tiekėjas suteikia naudotojui analogišką pakaitinį automobilį</w:t>
            </w:r>
            <w:r>
              <w:t>.</w:t>
            </w:r>
          </w:p>
          <w:p w:rsidR="008A4353" w:rsidRDefault="008A4353" w:rsidP="008705E3">
            <w:pPr>
              <w:tabs>
                <w:tab w:val="left" w:pos="709"/>
                <w:tab w:val="left" w:pos="7020"/>
              </w:tabs>
              <w:jc w:val="both"/>
            </w:pPr>
            <w:r>
              <w:t>2.9. P</w:t>
            </w:r>
            <w:r w:rsidRPr="000C7EC4">
              <w:t>aslaugos tiekėjas užtikrina automobilio einamąją techninę priežiūrą, tepalų ar/ir skysčių pakeitimą ar/ir papildymą (išskyrus degalus, AdBlue), padangų keitimą ir kitą reikalingą priežiūrą, taip pat atlieka reikiamus remonto darbus. Techninės priežiūros ir remonto darbai privalo būti atliekami Šiaulių miesto teritorijoje. Jei darbai atliekami ne Šiaulių miesto teritorijoje, tuomet automobilio transportavimą paslaugos tiekėjas vykdo savo sąskaita</w:t>
            </w:r>
            <w:r>
              <w:t>.</w:t>
            </w:r>
          </w:p>
          <w:p w:rsidR="008A4353" w:rsidRPr="000C7EC4" w:rsidRDefault="008A4353" w:rsidP="008705E3">
            <w:pPr>
              <w:tabs>
                <w:tab w:val="left" w:pos="709"/>
                <w:tab w:val="left" w:pos="7020"/>
              </w:tabs>
              <w:jc w:val="both"/>
              <w:rPr>
                <w:b/>
                <w:u w:val="single"/>
              </w:rPr>
            </w:pPr>
            <w:r>
              <w:t>2.10. P</w:t>
            </w:r>
            <w:r w:rsidRPr="000C7EC4">
              <w:t>aslaugos teikėjas užtikrina automobilio išorės plovimą ne rečiau kaip 2 kartus per mėnesį, automobilio salono valymą ne rečiau kaip 2 kart</w:t>
            </w:r>
            <w:r>
              <w:t>us</w:t>
            </w:r>
            <w:r w:rsidRPr="000C7EC4">
              <w:t xml:space="preserve"> per mėnesį. Langų skysčio papildymą (ne mažiau kaip 5 l) mėnesiui. Langų skystis privalo atitikti vyraujančią lauko temperatūrą. Langų skystis tiekiamas gamyklos gamintojos taroje, su visa reikiama informacija apie langų skystį</w:t>
            </w:r>
            <w:r>
              <w:t>.</w:t>
            </w:r>
          </w:p>
          <w:p w:rsidR="008A4353" w:rsidRDefault="008A4353" w:rsidP="008705E3">
            <w:pPr>
              <w:tabs>
                <w:tab w:val="left" w:pos="709"/>
                <w:tab w:val="left" w:pos="7020"/>
              </w:tabs>
              <w:jc w:val="both"/>
            </w:pPr>
            <w:r>
              <w:t>2.11. A</w:t>
            </w:r>
            <w:r w:rsidRPr="000C7EC4">
              <w:t>utomobilis privalo būti draustas „Kasko“ draudimu, su nuline išskaita (franšize), galimi nuostoliai, atsiradę dėl transporto priemonės vidaus ir išorės apgadinimo, padaryto paslaugos naudotojo, yra paslaugos teikėjo rizika ir nėra kompensuojami</w:t>
            </w:r>
            <w:r>
              <w:t>.</w:t>
            </w:r>
          </w:p>
          <w:p w:rsidR="008A4353" w:rsidRPr="0091017C" w:rsidRDefault="008A4353" w:rsidP="008705E3">
            <w:pPr>
              <w:tabs>
                <w:tab w:val="left" w:pos="709"/>
                <w:tab w:val="left" w:pos="7020"/>
              </w:tabs>
              <w:ind w:firstLine="567"/>
              <w:jc w:val="both"/>
              <w:rPr>
                <w:b/>
                <w:u w:val="single"/>
              </w:rPr>
            </w:pPr>
          </w:p>
          <w:p w:rsidR="008A4353" w:rsidRPr="008A4353" w:rsidRDefault="008A4353" w:rsidP="008705E3">
            <w:pPr>
              <w:tabs>
                <w:tab w:val="left" w:pos="851"/>
                <w:tab w:val="left" w:pos="7020"/>
              </w:tabs>
              <w:jc w:val="both"/>
              <w:rPr>
                <w:b/>
              </w:rPr>
            </w:pPr>
            <w:r w:rsidRPr="008A4353">
              <w:rPr>
                <w:b/>
              </w:rPr>
              <w:t>3. Garantiniai reikalavimai:</w:t>
            </w:r>
          </w:p>
          <w:p w:rsidR="008A4353" w:rsidRDefault="008A4353" w:rsidP="008705E3">
            <w:pPr>
              <w:pStyle w:val="ListParagraph"/>
              <w:tabs>
                <w:tab w:val="left" w:pos="7020"/>
              </w:tabs>
              <w:suppressAutoHyphens w:val="0"/>
              <w:jc w:val="both"/>
            </w:pPr>
            <w:r w:rsidRPr="007E5611">
              <w:t>—</w:t>
            </w:r>
          </w:p>
          <w:p w:rsidR="008A4353" w:rsidRPr="00031F2E" w:rsidRDefault="008A4353" w:rsidP="008705E3">
            <w:pPr>
              <w:pStyle w:val="ListParagraph"/>
              <w:tabs>
                <w:tab w:val="left" w:pos="7020"/>
              </w:tabs>
              <w:suppressAutoHyphens w:val="0"/>
              <w:jc w:val="both"/>
            </w:pPr>
          </w:p>
          <w:p w:rsidR="008A4353" w:rsidRPr="008A4353" w:rsidRDefault="008A4353" w:rsidP="008705E3">
            <w:pPr>
              <w:tabs>
                <w:tab w:val="left" w:pos="851"/>
                <w:tab w:val="left" w:pos="7020"/>
              </w:tabs>
              <w:jc w:val="both"/>
              <w:rPr>
                <w:b/>
              </w:rPr>
            </w:pPr>
            <w:r>
              <w:rPr>
                <w:b/>
              </w:rPr>
              <w:t xml:space="preserve">4. </w:t>
            </w:r>
            <w:r w:rsidRPr="008A4353">
              <w:rPr>
                <w:b/>
              </w:rPr>
              <w:t>Papildoma informacija:</w:t>
            </w:r>
          </w:p>
          <w:p w:rsidR="008A4353" w:rsidRPr="000C7EC4" w:rsidRDefault="008A4353" w:rsidP="008705E3">
            <w:pPr>
              <w:tabs>
                <w:tab w:val="left" w:pos="7020"/>
              </w:tabs>
              <w:jc w:val="both"/>
              <w:rPr>
                <w:b/>
                <w:u w:val="single"/>
              </w:rPr>
            </w:pPr>
            <w:r w:rsidRPr="000C7EC4">
              <w:t>4.1. planuojama vidutinė mėnesio rida – 3000 km;</w:t>
            </w:r>
          </w:p>
          <w:p w:rsidR="008A4353" w:rsidRPr="000C7EC4" w:rsidRDefault="008A4353" w:rsidP="008705E3">
            <w:pPr>
              <w:tabs>
                <w:tab w:val="left" w:pos="7020"/>
              </w:tabs>
              <w:jc w:val="both"/>
              <w:rPr>
                <w:b/>
                <w:u w:val="single"/>
              </w:rPr>
            </w:pPr>
            <w:r w:rsidRPr="000C7EC4">
              <w:t>4.2. automobilis bus naudojamas Lietuvos Respublikos, ES ir NATO valstybių teritorijose;</w:t>
            </w:r>
          </w:p>
          <w:p w:rsidR="008A4353" w:rsidRPr="000C7EC4" w:rsidRDefault="008A4353" w:rsidP="008705E3">
            <w:pPr>
              <w:tabs>
                <w:tab w:val="left" w:pos="7020"/>
              </w:tabs>
              <w:jc w:val="both"/>
              <w:rPr>
                <w:b/>
                <w:u w:val="single"/>
              </w:rPr>
            </w:pPr>
            <w:r w:rsidRPr="000C7EC4">
              <w:t>4</w:t>
            </w:r>
            <w:r w:rsidR="005979BB">
              <w:t xml:space="preserve">.3. </w:t>
            </w:r>
            <w:r w:rsidRPr="000C7EC4">
              <w:t>nuomotam automobiliui netaikomi vairuotojų kiekio ir kilometražo apribojimai;</w:t>
            </w:r>
          </w:p>
          <w:p w:rsidR="008A4353" w:rsidRPr="000C7EC4" w:rsidRDefault="008A4353" w:rsidP="008705E3">
            <w:pPr>
              <w:rPr>
                <w:b/>
                <w:u w:val="single"/>
              </w:rPr>
            </w:pPr>
            <w:r w:rsidRPr="000C7EC4">
              <w:t>4.4. teikėjas, savo sąskaita ir rizika, nuomojamą automobilį pristato</w:t>
            </w:r>
            <w:r>
              <w:t xml:space="preserve"> </w:t>
            </w:r>
            <w:r w:rsidRPr="000C7EC4">
              <w:t>/</w:t>
            </w:r>
            <w:r>
              <w:t xml:space="preserve"> </w:t>
            </w:r>
            <w:r w:rsidRPr="000C7EC4">
              <w:t>pasiima į/iš paslaugos pirkėjo, į/iš su pirkėju iš anksto sutartą vietą ir laiką.</w:t>
            </w:r>
          </w:p>
          <w:p w:rsidR="00B9284E" w:rsidRPr="00C96B1C" w:rsidRDefault="00B9284E" w:rsidP="008705E3">
            <w:pPr>
              <w:spacing w:after="160"/>
              <w:rPr>
                <w:rFonts w:ascii="Calibri" w:hAnsi="Calibri"/>
                <w:lang w:eastAsia="en-US"/>
              </w:rPr>
            </w:pPr>
          </w:p>
        </w:tc>
      </w:tr>
      <w:tr w:rsidR="00B9284E" w:rsidRPr="00C96B1C" w:rsidTr="008705E3">
        <w:trPr>
          <w:trHeight w:val="1113"/>
        </w:trPr>
        <w:tc>
          <w:tcPr>
            <w:tcW w:w="567" w:type="dxa"/>
            <w:tcBorders>
              <w:top w:val="nil"/>
              <w:right w:val="single" w:sz="4" w:space="0" w:color="000000"/>
            </w:tcBorders>
          </w:tcPr>
          <w:p w:rsidR="00B9284E" w:rsidRDefault="00B9284E" w:rsidP="008705E3">
            <w:pPr>
              <w:rPr>
                <w:rFonts w:ascii="Calibri" w:hAnsi="Calibri"/>
                <w:lang w:eastAsia="en-US"/>
              </w:rPr>
            </w:pPr>
          </w:p>
          <w:p w:rsidR="00B9284E" w:rsidRDefault="00B9284E" w:rsidP="008705E3">
            <w:pPr>
              <w:rPr>
                <w:rFonts w:ascii="Calibri" w:hAnsi="Calibri"/>
                <w:lang w:eastAsia="en-US"/>
              </w:rPr>
            </w:pPr>
          </w:p>
          <w:p w:rsidR="00B9284E" w:rsidRDefault="00B9284E" w:rsidP="008705E3">
            <w:pPr>
              <w:rPr>
                <w:rFonts w:ascii="Calibri" w:hAnsi="Calibri"/>
                <w:lang w:eastAsia="en-US"/>
              </w:rPr>
            </w:pPr>
          </w:p>
          <w:p w:rsidR="00B9284E" w:rsidRDefault="00B9284E" w:rsidP="008705E3">
            <w:pPr>
              <w:rPr>
                <w:rFonts w:ascii="Calibri" w:hAnsi="Calibri"/>
                <w:lang w:eastAsia="en-US"/>
              </w:rPr>
            </w:pPr>
          </w:p>
          <w:p w:rsidR="00B9284E" w:rsidRDefault="00B9284E" w:rsidP="008705E3">
            <w:pPr>
              <w:rPr>
                <w:rFonts w:ascii="Calibri" w:hAnsi="Calibri"/>
                <w:lang w:eastAsia="en-US"/>
              </w:rPr>
            </w:pPr>
          </w:p>
          <w:p w:rsidR="00B9284E" w:rsidRPr="00C96B1C" w:rsidRDefault="00B9284E" w:rsidP="008705E3">
            <w:pPr>
              <w:rPr>
                <w:rFonts w:ascii="Calibri" w:hAnsi="Calibri"/>
                <w:lang w:eastAsia="en-US"/>
              </w:rPr>
            </w:pPr>
          </w:p>
        </w:tc>
        <w:tc>
          <w:tcPr>
            <w:tcW w:w="1602" w:type="dxa"/>
            <w:vMerge/>
            <w:tcBorders>
              <w:top w:val="nil"/>
              <w:left w:val="single" w:sz="4" w:space="0" w:color="000000"/>
            </w:tcBorders>
          </w:tcPr>
          <w:p w:rsidR="00B9284E" w:rsidRPr="00C96B1C" w:rsidRDefault="00B9284E" w:rsidP="008705E3">
            <w:pPr>
              <w:rPr>
                <w:rFonts w:ascii="Calibri" w:hAnsi="Calibri"/>
                <w:sz w:val="2"/>
                <w:szCs w:val="2"/>
                <w:lang w:eastAsia="en-US"/>
              </w:rPr>
            </w:pPr>
          </w:p>
        </w:tc>
        <w:tc>
          <w:tcPr>
            <w:tcW w:w="7754" w:type="dxa"/>
            <w:vMerge/>
            <w:tcBorders>
              <w:top w:val="single" w:sz="6" w:space="0" w:color="000000"/>
              <w:bottom w:val="single" w:sz="4" w:space="0" w:color="auto"/>
              <w:right w:val="single" w:sz="4" w:space="0" w:color="000000"/>
            </w:tcBorders>
          </w:tcPr>
          <w:p w:rsidR="00B9284E" w:rsidRPr="00C96B1C" w:rsidRDefault="00B9284E" w:rsidP="008705E3">
            <w:pPr>
              <w:rPr>
                <w:rFonts w:ascii="Calibri" w:hAnsi="Calibri"/>
                <w:sz w:val="2"/>
                <w:szCs w:val="2"/>
                <w:lang w:eastAsia="en-US"/>
              </w:rPr>
            </w:pPr>
          </w:p>
        </w:tc>
      </w:tr>
    </w:tbl>
    <w:p w:rsidR="005979BB" w:rsidRDefault="008705E3">
      <w:r>
        <w:rPr>
          <w:noProof/>
        </w:rPr>
        <w:br w:type="textWrapping" w:clear="all"/>
      </w: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-6809740</wp:posOffset>
                </wp:positionV>
                <wp:extent cx="1476375"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47854"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536.2pt" to="121.5pt,-5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" strokecolor="black [3200]" strokeweight=".5pt">
                <v:stroke joinstyle="miter"/>
              </v:line>
            </w:pict>
          </mc:Fallback>
        </mc:AlternateContent>
      </w:r>
      <w:r w:rsidR="007E7B2B">
        <w:t xml:space="preserve">                    </w:t>
      </w:r>
    </w:p>
    <w:p w:rsidR="007E7B2B" w:rsidRDefault="005979BB" w:rsidP="008705E3">
      <w:r>
        <w:t xml:space="preserve">                    </w:t>
      </w:r>
      <w:bookmarkStart w:id="0" w:name="_GoBack"/>
      <w:bookmarkEnd w:id="0"/>
    </w:p>
    <w:p w:rsidR="00334656" w:rsidRDefault="00334656" w:rsidP="00334656">
      <w:pPr>
        <w:spacing w:after="160" w:line="259" w:lineRule="auto"/>
      </w:pPr>
    </w:p>
    <w:sectPr w:rsidR="00334656" w:rsidSect="00334656">
      <w:pgSz w:w="11906" w:h="16838"/>
      <w:pgMar w:top="156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D6" w:rsidRDefault="008D3BD6" w:rsidP="00F52DE2">
      <w:r>
        <w:separator/>
      </w:r>
    </w:p>
  </w:endnote>
  <w:endnote w:type="continuationSeparator" w:id="0">
    <w:p w:rsidR="008D3BD6" w:rsidRDefault="008D3BD6" w:rsidP="00F5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D6" w:rsidRDefault="008D3BD6" w:rsidP="00F52DE2">
      <w:r>
        <w:separator/>
      </w:r>
    </w:p>
  </w:footnote>
  <w:footnote w:type="continuationSeparator" w:id="0">
    <w:p w:rsidR="008D3BD6" w:rsidRDefault="008D3BD6" w:rsidP="00F5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21EBB"/>
    <w:multiLevelType w:val="hybridMultilevel"/>
    <w:tmpl w:val="3F540BC0"/>
    <w:lvl w:ilvl="0" w:tplc="00C01432">
      <w:numFmt w:val="bullet"/>
      <w:lvlText w:val="•"/>
      <w:lvlJc w:val="left"/>
      <w:pPr>
        <w:ind w:left="806" w:hanging="353"/>
      </w:pPr>
      <w:rPr>
        <w:rFonts w:ascii="Times New Roman" w:eastAsia="Times New Roman" w:hAnsi="Times New Roman" w:cs="Times New Roman" w:hint="default"/>
        <w:b w:val="0"/>
        <w:bCs w:val="0"/>
        <w:i w:val="0"/>
        <w:iCs w:val="0"/>
        <w:color w:val="525254"/>
        <w:w w:val="84"/>
        <w:sz w:val="22"/>
        <w:szCs w:val="22"/>
      </w:rPr>
    </w:lvl>
    <w:lvl w:ilvl="1" w:tplc="49DE3F18">
      <w:numFmt w:val="bullet"/>
      <w:lvlText w:val="•"/>
      <w:lvlJc w:val="left"/>
      <w:pPr>
        <w:ind w:left="1520" w:hanging="353"/>
      </w:pPr>
      <w:rPr>
        <w:rFonts w:hint="default"/>
      </w:rPr>
    </w:lvl>
    <w:lvl w:ilvl="2" w:tplc="060C7C50">
      <w:numFmt w:val="bullet"/>
      <w:lvlText w:val="•"/>
      <w:lvlJc w:val="left"/>
      <w:pPr>
        <w:ind w:left="2241" w:hanging="353"/>
      </w:pPr>
      <w:rPr>
        <w:rFonts w:hint="default"/>
      </w:rPr>
    </w:lvl>
    <w:lvl w:ilvl="3" w:tplc="668ED688">
      <w:numFmt w:val="bullet"/>
      <w:lvlText w:val="•"/>
      <w:lvlJc w:val="left"/>
      <w:pPr>
        <w:ind w:left="2961" w:hanging="353"/>
      </w:pPr>
      <w:rPr>
        <w:rFonts w:hint="default"/>
      </w:rPr>
    </w:lvl>
    <w:lvl w:ilvl="4" w:tplc="BE101CB6">
      <w:numFmt w:val="bullet"/>
      <w:lvlText w:val="•"/>
      <w:lvlJc w:val="left"/>
      <w:pPr>
        <w:ind w:left="3682" w:hanging="353"/>
      </w:pPr>
      <w:rPr>
        <w:rFonts w:hint="default"/>
      </w:rPr>
    </w:lvl>
    <w:lvl w:ilvl="5" w:tplc="C37CDFE8">
      <w:numFmt w:val="bullet"/>
      <w:lvlText w:val="•"/>
      <w:lvlJc w:val="left"/>
      <w:pPr>
        <w:ind w:left="4403" w:hanging="353"/>
      </w:pPr>
      <w:rPr>
        <w:rFonts w:hint="default"/>
      </w:rPr>
    </w:lvl>
    <w:lvl w:ilvl="6" w:tplc="53AE9130">
      <w:numFmt w:val="bullet"/>
      <w:lvlText w:val="•"/>
      <w:lvlJc w:val="left"/>
      <w:pPr>
        <w:ind w:left="5123" w:hanging="353"/>
      </w:pPr>
      <w:rPr>
        <w:rFonts w:hint="default"/>
      </w:rPr>
    </w:lvl>
    <w:lvl w:ilvl="7" w:tplc="59E4E13A">
      <w:numFmt w:val="bullet"/>
      <w:lvlText w:val="•"/>
      <w:lvlJc w:val="left"/>
      <w:pPr>
        <w:ind w:left="5844" w:hanging="353"/>
      </w:pPr>
      <w:rPr>
        <w:rFonts w:hint="default"/>
      </w:rPr>
    </w:lvl>
    <w:lvl w:ilvl="8" w:tplc="F8D0EC2C">
      <w:numFmt w:val="bullet"/>
      <w:lvlText w:val="•"/>
      <w:lvlJc w:val="left"/>
      <w:pPr>
        <w:ind w:left="6565" w:hanging="353"/>
      </w:pPr>
      <w:rPr>
        <w:rFonts w:hint="default"/>
      </w:rPr>
    </w:lvl>
  </w:abstractNum>
  <w:abstractNum w:abstractNumId="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6903EF7"/>
    <w:multiLevelType w:val="hybridMultilevel"/>
    <w:tmpl w:val="A18849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493CDF"/>
    <w:multiLevelType w:val="hybridMultilevel"/>
    <w:tmpl w:val="6F6281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C24290"/>
    <w:multiLevelType w:val="hybridMultilevel"/>
    <w:tmpl w:val="BE94B9C8"/>
    <w:lvl w:ilvl="0" w:tplc="AC9EA3FC">
      <w:numFmt w:val="bullet"/>
      <w:lvlText w:val="•"/>
      <w:lvlJc w:val="left"/>
      <w:pPr>
        <w:ind w:left="810" w:hanging="353"/>
      </w:pPr>
      <w:rPr>
        <w:rFonts w:ascii="Times New Roman" w:eastAsia="Times New Roman" w:hAnsi="Times New Roman" w:cs="Times New Roman" w:hint="default"/>
        <w:b w:val="0"/>
        <w:bCs w:val="0"/>
        <w:i w:val="0"/>
        <w:iCs w:val="0"/>
        <w:color w:val="525254"/>
        <w:w w:val="103"/>
        <w:sz w:val="22"/>
        <w:szCs w:val="22"/>
      </w:rPr>
    </w:lvl>
    <w:lvl w:ilvl="1" w:tplc="659225EA">
      <w:numFmt w:val="bullet"/>
      <w:lvlText w:val="•"/>
      <w:lvlJc w:val="left"/>
      <w:pPr>
        <w:ind w:left="1538" w:hanging="353"/>
      </w:pPr>
      <w:rPr>
        <w:rFonts w:hint="default"/>
      </w:rPr>
    </w:lvl>
    <w:lvl w:ilvl="2" w:tplc="E6FCD914">
      <w:numFmt w:val="bullet"/>
      <w:lvlText w:val="•"/>
      <w:lvlJc w:val="left"/>
      <w:pPr>
        <w:ind w:left="2257" w:hanging="353"/>
      </w:pPr>
      <w:rPr>
        <w:rFonts w:hint="default"/>
      </w:rPr>
    </w:lvl>
    <w:lvl w:ilvl="3" w:tplc="81F89CF2">
      <w:numFmt w:val="bullet"/>
      <w:lvlText w:val="•"/>
      <w:lvlJc w:val="left"/>
      <w:pPr>
        <w:ind w:left="2975" w:hanging="353"/>
      </w:pPr>
      <w:rPr>
        <w:rFonts w:hint="default"/>
      </w:rPr>
    </w:lvl>
    <w:lvl w:ilvl="4" w:tplc="5B7ABC56">
      <w:numFmt w:val="bullet"/>
      <w:lvlText w:val="•"/>
      <w:lvlJc w:val="left"/>
      <w:pPr>
        <w:ind w:left="3694" w:hanging="353"/>
      </w:pPr>
      <w:rPr>
        <w:rFonts w:hint="default"/>
      </w:rPr>
    </w:lvl>
    <w:lvl w:ilvl="5" w:tplc="C120A0DA">
      <w:numFmt w:val="bullet"/>
      <w:lvlText w:val="•"/>
      <w:lvlJc w:val="left"/>
      <w:pPr>
        <w:ind w:left="4413" w:hanging="353"/>
      </w:pPr>
      <w:rPr>
        <w:rFonts w:hint="default"/>
      </w:rPr>
    </w:lvl>
    <w:lvl w:ilvl="6" w:tplc="53322F14">
      <w:numFmt w:val="bullet"/>
      <w:lvlText w:val="•"/>
      <w:lvlJc w:val="left"/>
      <w:pPr>
        <w:ind w:left="5131" w:hanging="353"/>
      </w:pPr>
      <w:rPr>
        <w:rFonts w:hint="default"/>
      </w:rPr>
    </w:lvl>
    <w:lvl w:ilvl="7" w:tplc="5B0C5B7A">
      <w:numFmt w:val="bullet"/>
      <w:lvlText w:val="•"/>
      <w:lvlJc w:val="left"/>
      <w:pPr>
        <w:ind w:left="5850" w:hanging="353"/>
      </w:pPr>
      <w:rPr>
        <w:rFonts w:hint="default"/>
      </w:rPr>
    </w:lvl>
    <w:lvl w:ilvl="8" w:tplc="D7AEA67E">
      <w:numFmt w:val="bullet"/>
      <w:lvlText w:val="•"/>
      <w:lvlJc w:val="left"/>
      <w:pPr>
        <w:ind w:left="6569" w:hanging="353"/>
      </w:pPr>
      <w:rPr>
        <w:rFonts w:hint="default"/>
      </w:rPr>
    </w:lvl>
  </w:abstractNum>
  <w:num w:numId="1">
    <w:abstractNumId w:val="0"/>
  </w:num>
  <w:num w:numId="2">
    <w:abstractNumId w:val="4"/>
  </w:num>
  <w:num w:numId="3">
    <w:abstractNumId w:val="2"/>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4E"/>
    <w:rsid w:val="000E127D"/>
    <w:rsid w:val="0014569E"/>
    <w:rsid w:val="001D4FDE"/>
    <w:rsid w:val="002772B9"/>
    <w:rsid w:val="00290B41"/>
    <w:rsid w:val="00322E0E"/>
    <w:rsid w:val="00334656"/>
    <w:rsid w:val="003C24D2"/>
    <w:rsid w:val="004F5794"/>
    <w:rsid w:val="005979BB"/>
    <w:rsid w:val="0064664E"/>
    <w:rsid w:val="00731585"/>
    <w:rsid w:val="007D156E"/>
    <w:rsid w:val="007E7B2B"/>
    <w:rsid w:val="008705E3"/>
    <w:rsid w:val="008A4353"/>
    <w:rsid w:val="008D3BD6"/>
    <w:rsid w:val="0090577E"/>
    <w:rsid w:val="009271FF"/>
    <w:rsid w:val="009334FD"/>
    <w:rsid w:val="00B20132"/>
    <w:rsid w:val="00B9284E"/>
    <w:rsid w:val="00BA6263"/>
    <w:rsid w:val="00BF13B1"/>
    <w:rsid w:val="00C504D1"/>
    <w:rsid w:val="00DA1331"/>
    <w:rsid w:val="00F52DE2"/>
    <w:rsid w:val="00F82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C429"/>
  <w15:chartTrackingRefBased/>
  <w15:docId w15:val="{9264CB6A-DDA5-4092-B3F0-2AC896B2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4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D1"/>
    <w:pPr>
      <w:suppressAutoHyphens/>
      <w:ind w:left="720"/>
      <w:contextualSpacing/>
    </w:pPr>
    <w:rPr>
      <w:lang w:eastAsia="ar-SA"/>
    </w:rPr>
  </w:style>
  <w:style w:type="paragraph" w:styleId="BalloonText">
    <w:name w:val="Balloon Text"/>
    <w:basedOn w:val="Normal"/>
    <w:link w:val="BalloonTextChar"/>
    <w:uiPriority w:val="99"/>
    <w:semiHidden/>
    <w:unhideWhenUsed/>
    <w:rsid w:val="00B20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132"/>
    <w:rPr>
      <w:rFonts w:ascii="Segoe UI" w:eastAsia="Times New Roman" w:hAnsi="Segoe UI" w:cs="Segoe UI"/>
      <w:sz w:val="18"/>
      <w:szCs w:val="18"/>
      <w:lang w:eastAsia="lt-LT"/>
    </w:rPr>
  </w:style>
  <w:style w:type="paragraph" w:styleId="Header">
    <w:name w:val="header"/>
    <w:basedOn w:val="Normal"/>
    <w:link w:val="HeaderChar"/>
    <w:uiPriority w:val="99"/>
    <w:unhideWhenUsed/>
    <w:rsid w:val="00F52DE2"/>
    <w:pPr>
      <w:tabs>
        <w:tab w:val="center" w:pos="4819"/>
        <w:tab w:val="right" w:pos="9638"/>
      </w:tabs>
    </w:pPr>
  </w:style>
  <w:style w:type="character" w:customStyle="1" w:styleId="HeaderChar">
    <w:name w:val="Header Char"/>
    <w:basedOn w:val="DefaultParagraphFont"/>
    <w:link w:val="Header"/>
    <w:uiPriority w:val="99"/>
    <w:rsid w:val="00F52DE2"/>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F52DE2"/>
    <w:pPr>
      <w:tabs>
        <w:tab w:val="center" w:pos="4819"/>
        <w:tab w:val="right" w:pos="9638"/>
      </w:tabs>
    </w:pPr>
  </w:style>
  <w:style w:type="character" w:customStyle="1" w:styleId="FooterChar">
    <w:name w:val="Footer Char"/>
    <w:basedOn w:val="DefaultParagraphFont"/>
    <w:link w:val="Footer"/>
    <w:uiPriority w:val="99"/>
    <w:rsid w:val="00F52DE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E2027-B3F2-41F8-977C-108511D8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2</Pages>
  <Words>2898</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Monkevičius</dc:creator>
  <cp:lastModifiedBy>Marius Tunkevičius</cp:lastModifiedBy>
  <cp:revision>5</cp:revision>
  <cp:lastPrinted>2023-05-03T11:49:00Z</cp:lastPrinted>
  <dcterms:created xsi:type="dcterms:W3CDTF">2022-06-21T06:08:00Z</dcterms:created>
  <dcterms:modified xsi:type="dcterms:W3CDTF">2023-07-24T11:18:00Z</dcterms:modified>
</cp:coreProperties>
</file>