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32E8" w14:textId="433A08BC" w:rsidR="00CD114E" w:rsidRDefault="00CD114E" w:rsidP="00CD114E">
      <w:pPr>
        <w:pStyle w:val="centrboldm"/>
        <w:spacing w:before="0" w:beforeAutospacing="0" w:after="0" w:afterAutospacing="0"/>
        <w:jc w:val="center"/>
      </w:pPr>
      <w:r>
        <w:rPr>
          <w:noProof/>
          <w:lang w:val="en-US" w:eastAsia="en-US"/>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lang w:val="en-US" w:eastAsia="en-US"/>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1065F9"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1065F9"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1065F9"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1065F9"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1065F9"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1065F9"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1065F9"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1065F9"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1065F9"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1065F9"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1065F9"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1065F9"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1065F9"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1065F9"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3652204C" w:rsidR="00057298" w:rsidRPr="002F71ED" w:rsidRDefault="00057298" w:rsidP="00057298">
      <w:pPr>
        <w:pStyle w:val="Pagrindiniotekstotrauka"/>
        <w:spacing w:after="0"/>
        <w:ind w:left="0"/>
        <w:jc w:val="both"/>
      </w:pPr>
      <w:r w:rsidRPr="002F71ED">
        <w:rPr>
          <w:rFonts w:eastAsia="Arial Unicode MS"/>
        </w:rPr>
        <w:t xml:space="preserve">2. </w:t>
      </w:r>
      <w:r w:rsidR="00CA2522" w:rsidRPr="002F71ED">
        <w:rPr>
          <w:rFonts w:eastAsia="Arial Unicode MS"/>
        </w:rPr>
        <w:t>Techninė specifikacija</w:t>
      </w:r>
    </w:p>
    <w:p w14:paraId="1054FB32" w14:textId="6DFCDBB0" w:rsidR="00C07417"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119631C6" w14:textId="2ED38D68" w:rsidR="00BD0C92" w:rsidRDefault="00BD0C92">
      <w:pPr>
        <w:rPr>
          <w:b/>
          <w:bCs/>
        </w:rPr>
      </w:pPr>
      <w:r>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43A38940"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7BBAE487"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E94E39" w:rsidRPr="00E94E39">
        <w:rPr>
          <w:b/>
          <w:bCs/>
        </w:rPr>
        <w:t xml:space="preserve">Spausdintuvų kasetės </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E94E39">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12EA558F" w:rsidR="0091694A" w:rsidRPr="003B5E69" w:rsidRDefault="001065F9"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E94E39">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5F2E9AF7"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E94E39">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4609A390" w:rsidR="003B5E69" w:rsidRPr="003B5E69" w:rsidRDefault="001065F9"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E94E39">
            <w:t xml:space="preserve">Prekės </w:t>
          </w:r>
        </w:sdtContent>
      </w:sdt>
      <w:r w:rsidR="003B5E69" w:rsidRPr="003B5E69">
        <w:t xml:space="preserve">turi atitikti </w:t>
      </w:r>
      <w:r w:rsidR="00CA2522">
        <w:t>TS</w:t>
      </w:r>
      <w:r w:rsidR="003B5E69" w:rsidRPr="003B5E69">
        <w:t xml:space="preserve"> reikalavimus. </w:t>
      </w:r>
    </w:p>
    <w:p w14:paraId="2B23C29A" w14:textId="0C0B31D6" w:rsidR="00544EBC" w:rsidRPr="00544EBC" w:rsidRDefault="001065F9" w:rsidP="00544EBC">
      <w:pPr>
        <w:numPr>
          <w:ilvl w:val="0"/>
          <w:numId w:val="14"/>
        </w:numPr>
        <w:autoSpaceDE w:val="0"/>
        <w:autoSpaceDN w:val="0"/>
        <w:adjustRightInd w:val="0"/>
        <w:ind w:right="-2" w:firstLine="709"/>
        <w:jc w:val="both"/>
        <w:rPr>
          <w:b/>
          <w:u w:val="single"/>
        </w:rPr>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E94E39">
            <w:t xml:space="preserve">Prekės </w:t>
          </w:r>
        </w:sdtContent>
      </w:sdt>
      <w:r w:rsidR="003B5E69" w:rsidRPr="00E67D2F">
        <w:t xml:space="preserve"> perkamos pagal poreikį</w:t>
      </w:r>
      <w:r w:rsidR="00544EBC" w:rsidRPr="00544EBC">
        <w:rPr>
          <w:rFonts w:eastAsiaTheme="minorEastAsia"/>
          <w:sz w:val="21"/>
          <w:szCs w:val="21"/>
        </w:rPr>
        <w:t xml:space="preserve"> </w:t>
      </w:r>
      <w:r w:rsidR="00544EBC" w:rsidRPr="00544EBC">
        <w:t xml:space="preserve">teikiant užsakymus. Pradinės sutarties vertė – </w:t>
      </w:r>
      <w:r w:rsidR="002F71ED">
        <w:t>2</w:t>
      </w:r>
      <w:r w:rsidR="00544EBC" w:rsidRPr="00544EBC">
        <w:t xml:space="preserve">0 000,00 EUR be PVM.. Sutarties kainos apskaičiavimui taikoma </w:t>
      </w:r>
      <w:r w:rsidR="00C81043" w:rsidRPr="00C81043">
        <w:rPr>
          <w:b/>
        </w:rPr>
        <w:t xml:space="preserve">fiksuoto </w:t>
      </w:r>
      <w:r w:rsidR="00544EBC" w:rsidRPr="00C81043">
        <w:rPr>
          <w:b/>
        </w:rPr>
        <w:t>įkainio</w:t>
      </w:r>
      <w:r w:rsidR="00C81043">
        <w:rPr>
          <w:b/>
        </w:rPr>
        <w:t xml:space="preserve"> kainodara</w:t>
      </w:r>
      <w:r w:rsidR="00544EBC" w:rsidRPr="00544EBC">
        <w:t>.</w:t>
      </w:r>
    </w:p>
    <w:p w14:paraId="4375A834" w14:textId="5F8CD338" w:rsidR="00226DAE" w:rsidRPr="00E94E39" w:rsidRDefault="001065F9" w:rsidP="00DA5327">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listItem w:displayText="Darbų atlikimo " w:value="Darbų atlikimo "/>
          </w:comboBox>
        </w:sdtPr>
        <w:sdtEndPr/>
        <w:sdtContent>
          <w:r w:rsidR="00E94E39">
            <w:t xml:space="preserve">Prekių pristatymo </w:t>
          </w:r>
        </w:sdtContent>
      </w:sdt>
      <w:r w:rsidR="003B5E69" w:rsidRPr="003B5E69">
        <w:t xml:space="preserve">terminas yra </w:t>
      </w:r>
      <w:r w:rsidR="00AA19CC" w:rsidRPr="00B457ED">
        <w:t>12</w:t>
      </w:r>
      <w:r w:rsidR="00AA19CC" w:rsidRPr="00544EBC">
        <w:rPr>
          <w:color w:val="FF0000"/>
        </w:rPr>
        <w:t xml:space="preserve"> </w:t>
      </w:r>
      <w:r w:rsidR="00AA19CC">
        <w:t>mėnesių</w:t>
      </w:r>
      <w:r w:rsidR="003B5E69" w:rsidRPr="00E67D2F">
        <w:t>,</w:t>
      </w:r>
      <w:r w:rsidR="003B5E69" w:rsidRPr="003B5E69">
        <w:t xml:space="preserve"> nuo</w:t>
      </w:r>
      <w:r w:rsidR="007327A3">
        <w:t xml:space="preserve"> sutarties sudarymo datos</w:t>
      </w:r>
      <w:r w:rsidR="00E67D2F">
        <w:t>.</w:t>
      </w:r>
      <w:r w:rsidR="00E94E39" w:rsidRPr="00E94E39">
        <w:t xml:space="preserve"> Sutarties galiojimas automatiškai pratęsiamas dar 12 mėnesių laikotarpiui, jeigu </w:t>
      </w:r>
      <w:r w:rsidR="005B1B7A">
        <w:t xml:space="preserve">sutarties šalys nepareikš noro sutartį nutraukti ir </w:t>
      </w:r>
      <w:r w:rsidR="00E94E39" w:rsidRPr="00E94E39">
        <w:t xml:space="preserve">nebus </w:t>
      </w:r>
      <w:r w:rsidR="00544EBC">
        <w:t xml:space="preserve">išpirkta </w:t>
      </w:r>
      <w:r w:rsidR="00CD1D33">
        <w:t>Maksimali sutarties kaina</w:t>
      </w:r>
      <w:r w:rsidR="00E94E39" w:rsidRPr="00E94E39">
        <w:t xml:space="preserve">. </w:t>
      </w:r>
    </w:p>
    <w:p w14:paraId="219350A1" w14:textId="4B6820F3" w:rsidR="003B5E69" w:rsidRDefault="001065F9"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E94E39">
            <w:t xml:space="preserve">Prekių pristatymo </w:t>
          </w:r>
        </w:sdtContent>
      </w:sdt>
      <w:r w:rsidR="00226DAE">
        <w:t>vieta –</w:t>
      </w:r>
      <w:r w:rsidR="00CA2522">
        <w:t xml:space="preserve"> </w:t>
      </w:r>
      <w:r w:rsidR="00E94E39" w:rsidRPr="00E94E39">
        <w:t>Taikos prospektas 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Antrat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4894473"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rsidR="00E94E39">
        <w:rPr>
          <w:color w:val="FF0000"/>
        </w:rPr>
        <w:t>.</w:t>
      </w:r>
    </w:p>
    <w:p w14:paraId="5F379C7A" w14:textId="4D7C3279"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E94E39">
            <w:t xml:space="preserve">netaiko kokybės vadybos sistemos ir (arba) aplinkos apsaugos vadybos sistemos standartų reikalavimų. </w:t>
          </w:r>
        </w:sdtContent>
      </w:sdt>
      <w:r>
        <w:t xml:space="preserve"> </w:t>
      </w:r>
    </w:p>
    <w:p w14:paraId="6FB97BCE" w14:textId="0BD5EB9F"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E94E39">
            <w:t xml:space="preserve">taiko aplinkos apsaugos rekalavimus. </w:t>
          </w:r>
        </w:sdtContent>
      </w:sdt>
      <w:r>
        <w:t xml:space="preserve"> </w:t>
      </w:r>
      <w:r w:rsidR="00E94E39">
        <w:t>Aplinkos  apsaugos reikalavimai nurodyti TS.</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247B9378"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w:t>
      </w:r>
      <w:r w:rsidR="00A97D8D">
        <w:t xml:space="preserve">jei taikoma: </w:t>
      </w:r>
      <w:r w:rsidR="006F28E3">
        <w:t>turi bent vieną pašalinimo pagrindą</w:t>
      </w:r>
      <w:r w:rsidR="00A97D8D">
        <w:t>;</w:t>
      </w:r>
      <w:r w:rsidR="00986FF0">
        <w:t xml:space="preserve"> neatitinka</w:t>
      </w:r>
      <w:r w:rsidR="006F28E3">
        <w:t xml:space="preserve"> </w:t>
      </w:r>
      <w:r w:rsidR="00986FF0">
        <w:t>kokybės vadybos sistemos ir (arba) aplinkos apsaugos vadybos sistemos standartų reikalavimų</w:t>
      </w:r>
      <w:r w:rsidR="006F28E3">
        <w:t xml:space="preserve">,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lastRenderedPageBreak/>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w:t>
      </w:r>
      <w:bookmarkStart w:id="6" w:name="_GoBack"/>
      <w:bookmarkEnd w:id="6"/>
      <w:r w:rsidRPr="003B5E69">
        <w:t>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Pagrindiniotekstotrauka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0DB25E4F" w:rsidR="00D97EC2" w:rsidRDefault="00D97EC2" w:rsidP="007F2132">
      <w:pPr>
        <w:pStyle w:val="Pagrindiniotekstotrauka3"/>
        <w:tabs>
          <w:tab w:val="num" w:pos="1276"/>
        </w:tabs>
        <w:spacing w:after="0"/>
        <w:ind w:left="0" w:firstLine="709"/>
        <w:jc w:val="both"/>
        <w:rPr>
          <w:sz w:val="24"/>
          <w:szCs w:val="24"/>
        </w:rPr>
      </w:pPr>
      <w:r>
        <w:rPr>
          <w:sz w:val="24"/>
          <w:szCs w:val="24"/>
        </w:rPr>
        <w:t>5.10.</w:t>
      </w:r>
      <w:r w:rsidR="001869C4">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328AA840" w:rsidR="00FC591F" w:rsidRPr="00FC591F" w:rsidRDefault="000A0026" w:rsidP="0082606E">
      <w:pPr>
        <w:pStyle w:val="Pagrindiniotekstotrauka3"/>
        <w:spacing w:after="0"/>
        <w:ind w:left="0" w:firstLine="709"/>
        <w:jc w:val="both"/>
        <w:rPr>
          <w:sz w:val="24"/>
          <w:szCs w:val="24"/>
        </w:rPr>
      </w:pPr>
      <w:r>
        <w:rPr>
          <w:sz w:val="24"/>
          <w:szCs w:val="24"/>
        </w:rPr>
        <w:t>5.</w:t>
      </w:r>
      <w:r w:rsidR="00BE23EC">
        <w:rPr>
          <w:sz w:val="24"/>
          <w:szCs w:val="24"/>
        </w:rPr>
        <w:t>10</w:t>
      </w:r>
      <w:r>
        <w:rPr>
          <w:sz w:val="24"/>
          <w:szCs w:val="24"/>
        </w:rPr>
        <w:t>.</w:t>
      </w:r>
      <w:r w:rsidR="001869C4">
        <w:rPr>
          <w:sz w:val="24"/>
          <w:szCs w:val="24"/>
        </w:rPr>
        <w:t>4</w:t>
      </w:r>
      <w:r>
        <w:rPr>
          <w:sz w:val="24"/>
          <w:szCs w:val="24"/>
        </w:rPr>
        <w:t xml:space="preserve">. </w:t>
      </w:r>
      <w:r w:rsidR="00E94E39" w:rsidRPr="00E94E39">
        <w:rPr>
          <w:sz w:val="24"/>
          <w:szCs w:val="24"/>
        </w:rPr>
        <w:t>Tiekėjo deklaracija</w:t>
      </w:r>
      <w:r w:rsidR="00CD1D33">
        <w:rPr>
          <w:sz w:val="24"/>
          <w:szCs w:val="24"/>
        </w:rPr>
        <w:t xml:space="preserve"> dėl atitikimo aplinkos saugos reikalavimams</w:t>
      </w:r>
      <w:r w:rsidR="00E94E39">
        <w:rPr>
          <w:sz w:val="24"/>
          <w:szCs w:val="24"/>
        </w:rPr>
        <w:t>.</w:t>
      </w:r>
    </w:p>
    <w:p w14:paraId="0657D955" w14:textId="0357C093" w:rsidR="00DA3F02" w:rsidRDefault="00FC591F" w:rsidP="000A0026">
      <w:pPr>
        <w:pStyle w:val="Pagrindiniotekstotrauka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lastRenderedPageBreak/>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2" w:name="_Toc95830100"/>
      <w:r w:rsidRPr="003B5E69">
        <w:t>8. PASIŪLYMŲ ŠIFRAVIMAS</w:t>
      </w:r>
      <w:bookmarkEnd w:id="12"/>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843DB9">
        <w:rPr>
          <w:i w:val="0"/>
          <w:szCs w:val="24"/>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65F14AE1" w14:textId="0BF22D09" w:rsidR="00C81043" w:rsidRPr="00B457ED" w:rsidRDefault="00DA3F02" w:rsidP="005C728F">
      <w:pPr>
        <w:pStyle w:val="Pagrindinistekstas"/>
        <w:numPr>
          <w:ilvl w:val="1"/>
          <w:numId w:val="9"/>
        </w:numPr>
        <w:tabs>
          <w:tab w:val="num" w:pos="1276"/>
          <w:tab w:val="num" w:pos="1418"/>
        </w:tabs>
        <w:ind w:left="0" w:firstLine="709"/>
        <w:rPr>
          <w:i w:val="0"/>
          <w:lang w:val="lt-LT"/>
        </w:rPr>
      </w:pPr>
      <w:r w:rsidRPr="00C81043">
        <w:rPr>
          <w:i w:val="0"/>
          <w:color w:val="000000"/>
          <w:lang w:val="lt-LT"/>
        </w:rPr>
        <w:t>Pirkimui pateiktus</w:t>
      </w:r>
      <w:r w:rsidRPr="00C81043">
        <w:rPr>
          <w:i w:val="0"/>
          <w:lang w:val="lt-LT"/>
        </w:rPr>
        <w:t xml:space="preserve"> pasiūlymus </w:t>
      </w:r>
      <w:r w:rsidR="00D766FF" w:rsidRPr="00C81043">
        <w:rPr>
          <w:i w:val="0"/>
          <w:lang w:val="lt-LT"/>
        </w:rPr>
        <w:t xml:space="preserve">(galutinius pasiūlymus) </w:t>
      </w:r>
      <w:r w:rsidRPr="00C81043">
        <w:rPr>
          <w:i w:val="0"/>
          <w:lang w:val="lt-LT"/>
        </w:rPr>
        <w:t xml:space="preserve">nagrinėja ir vertina </w:t>
      </w:r>
      <w:r w:rsidR="00DD51E3" w:rsidRPr="00C81043">
        <w:rPr>
          <w:i w:val="0"/>
          <w:lang w:val="lt-LT"/>
        </w:rPr>
        <w:t xml:space="preserve">Perkančiosios organizacijos </w:t>
      </w:r>
      <w:r w:rsidR="000252DB" w:rsidRPr="00C81043">
        <w:rPr>
          <w:i w:val="0"/>
          <w:color w:val="000000"/>
          <w:lang w:val="lt-LT"/>
        </w:rPr>
        <w:t>Pirkimo organizatorius</w:t>
      </w:r>
      <w:r w:rsidR="003A7887" w:rsidRPr="00C81043">
        <w:rPr>
          <w:i w:val="0"/>
          <w:color w:val="000000"/>
          <w:lang w:val="lt-LT"/>
        </w:rPr>
        <w:t xml:space="preserve"> (arba Komisija)</w:t>
      </w:r>
      <w:r w:rsidRPr="00C81043">
        <w:rPr>
          <w:i w:val="0"/>
          <w:lang w:val="lt-LT"/>
        </w:rPr>
        <w:t>.</w:t>
      </w:r>
      <w:r w:rsidR="00F32621" w:rsidRPr="00C81043">
        <w:rPr>
          <w:i w:val="0"/>
          <w:lang w:val="lt-LT"/>
        </w:rPr>
        <w:t xml:space="preserve"> </w:t>
      </w:r>
      <w:r w:rsidR="00493C99" w:rsidRPr="00C81043">
        <w:rPr>
          <w:i w:val="0"/>
          <w:lang w:val="lt-LT"/>
        </w:rPr>
        <w:t>Ekonomiškai naudingiausias pasiūlymas išrenkamas pagal</w:t>
      </w:r>
      <w:r w:rsidR="00071075" w:rsidRPr="00C81043">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kriterijų" w:value="kainos kriterijų"/>
            <w:listItem w:displayText="kainos ir kokybės kriterijus" w:value="kainos ir kokybės kriterijus"/>
          </w:comboBox>
        </w:sdtPr>
        <w:sdtEndPr/>
        <w:sdtContent>
          <w:r w:rsidR="00C81043" w:rsidRPr="00C81043">
            <w:rPr>
              <w:i w:val="0"/>
              <w:lang w:val="lt-LT"/>
            </w:rPr>
            <w:t>kainos kriterijų</w:t>
          </w:r>
        </w:sdtContent>
      </w:sdt>
      <w:r w:rsidR="00493C99" w:rsidRPr="00C81043">
        <w:rPr>
          <w:lang w:val="lt-LT"/>
        </w:rPr>
        <w:t>.</w:t>
      </w:r>
      <w:r w:rsidR="00DD51E3" w:rsidRPr="00C81043">
        <w:rPr>
          <w:i w:val="0"/>
          <w:lang w:val="lt-LT"/>
        </w:rPr>
        <w:t xml:space="preserve"> </w:t>
      </w:r>
      <w:r w:rsidR="00071075" w:rsidRPr="00B457ED">
        <w:rPr>
          <w:i w:val="0"/>
          <w:lang w:val="lt-LT"/>
        </w:rPr>
        <w:t>Pasiūlymo formoje pateiktas Perkančiosios organizacijos perkamų prekių sąrašas su jų svarbos koeficientais.</w:t>
      </w:r>
      <w:r w:rsidR="00B457ED" w:rsidRPr="00B457ED">
        <w:rPr>
          <w:i w:val="0"/>
          <w:lang w:val="lt-LT"/>
        </w:rPr>
        <w:t xml:space="preserve"> Pasiūlymai tarpusavyje palyginami pagal lyginamąją kainą. </w:t>
      </w:r>
      <w:r w:rsidR="00071075" w:rsidRPr="00B457ED">
        <w:rPr>
          <w:i w:val="0"/>
          <w:lang w:val="lt-LT"/>
        </w:rPr>
        <w:t xml:space="preserve"> </w:t>
      </w:r>
    </w:p>
    <w:p w14:paraId="0C800C5D" w14:textId="1CE1E447" w:rsidR="00DA3F02" w:rsidRPr="00C81043" w:rsidRDefault="005175FC" w:rsidP="005C728F">
      <w:pPr>
        <w:pStyle w:val="Pagrindinistekstas"/>
        <w:numPr>
          <w:ilvl w:val="1"/>
          <w:numId w:val="9"/>
        </w:numPr>
        <w:tabs>
          <w:tab w:val="num" w:pos="1276"/>
          <w:tab w:val="num" w:pos="1418"/>
        </w:tabs>
        <w:ind w:left="0" w:firstLine="709"/>
        <w:rPr>
          <w:i w:val="0"/>
          <w:lang w:val="lt-LT"/>
        </w:rPr>
      </w:pPr>
      <w:r w:rsidRPr="00C81043">
        <w:rPr>
          <w:b/>
          <w:i w:val="0"/>
          <w:lang w:val="lt-LT"/>
        </w:rPr>
        <w:tab/>
      </w:r>
      <w:r w:rsidR="00A95A68" w:rsidRPr="00C81043">
        <w:rPr>
          <w:b/>
          <w:i w:val="0"/>
          <w:color w:val="000000"/>
          <w:lang w:val="lt-LT"/>
        </w:rPr>
        <w:t>Perkančioji organizacija</w:t>
      </w:r>
      <w:r w:rsidR="00A95A68" w:rsidRPr="00C81043">
        <w:rPr>
          <w:b/>
          <w:i w:val="0"/>
          <w:lang w:val="lt-LT"/>
        </w:rPr>
        <w:t xml:space="preserve"> </w:t>
      </w:r>
      <w:r w:rsidR="00493C99" w:rsidRPr="00C81043">
        <w:rPr>
          <w:b/>
          <w:i w:val="0"/>
          <w:lang w:val="lt-LT"/>
        </w:rPr>
        <w:t>įvertina</w:t>
      </w:r>
      <w:r w:rsidR="00DA3F02" w:rsidRPr="00C81043">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lastRenderedPageBreak/>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 xml:space="preserve">Jeigu Perkančioji organizacija taikys Pirkimo sąlygų 11.3 p. numatytą pasiūlymų vertinimo tvarką,- į </w:t>
      </w:r>
      <w:r w:rsidR="001168A9">
        <w:lastRenderedPageBreak/>
        <w:t>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03C6445"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65F9">
      <w:rPr>
        <w:rStyle w:val="Puslapionumeris"/>
        <w:noProof/>
      </w:rPr>
      <w:t>6</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075"/>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065F9"/>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0934"/>
    <w:rsid w:val="0016195E"/>
    <w:rsid w:val="00161AE0"/>
    <w:rsid w:val="00163829"/>
    <w:rsid w:val="001675F4"/>
    <w:rsid w:val="00172369"/>
    <w:rsid w:val="00172833"/>
    <w:rsid w:val="001751FA"/>
    <w:rsid w:val="00176412"/>
    <w:rsid w:val="00176551"/>
    <w:rsid w:val="00182597"/>
    <w:rsid w:val="0018395D"/>
    <w:rsid w:val="001869C4"/>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1ED"/>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09FB"/>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17904"/>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686"/>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178A1"/>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4EBC"/>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6DDB"/>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B7A"/>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97D8D"/>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52B"/>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7ED"/>
    <w:rsid w:val="00B45DB7"/>
    <w:rsid w:val="00B46E69"/>
    <w:rsid w:val="00B51DAA"/>
    <w:rsid w:val="00B54FD2"/>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417"/>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043"/>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1D33"/>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4E39"/>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FABE1-17A3-4729-A5FC-A630CBFC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3191</Words>
  <Characters>23605</Characters>
  <Application>Microsoft Office Word</Application>
  <DocSecurity>0</DocSecurity>
  <Lines>196</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26743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Lidija</cp:lastModifiedBy>
  <cp:revision>6</cp:revision>
  <cp:lastPrinted>2019-09-06T05:31:00Z</cp:lastPrinted>
  <dcterms:created xsi:type="dcterms:W3CDTF">2024-06-26T07:47:00Z</dcterms:created>
  <dcterms:modified xsi:type="dcterms:W3CDTF">2026-01-15T11:10:00Z</dcterms:modified>
</cp:coreProperties>
</file>