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08C8F" w14:textId="317D0CA9" w:rsidR="00C344E9" w:rsidRPr="00232DC9" w:rsidRDefault="00AC0AD2" w:rsidP="00AC0A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7B0">
        <w:rPr>
          <w:rFonts w:ascii="Times New Roman" w:hAnsi="Times New Roman" w:cs="Times New Roman"/>
          <w:b/>
          <w:bCs/>
          <w:sz w:val="24"/>
          <w:szCs w:val="24"/>
        </w:rPr>
        <w:t xml:space="preserve">Techninė </w:t>
      </w:r>
      <w:r w:rsidRPr="00232DC9">
        <w:rPr>
          <w:rFonts w:ascii="Times New Roman" w:hAnsi="Times New Roman" w:cs="Times New Roman"/>
          <w:b/>
          <w:bCs/>
          <w:sz w:val="24"/>
          <w:szCs w:val="24"/>
        </w:rPr>
        <w:t>specifikacija</w:t>
      </w:r>
    </w:p>
    <w:tbl>
      <w:tblPr>
        <w:tblW w:w="1476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34"/>
        <w:gridCol w:w="4536"/>
        <w:gridCol w:w="3544"/>
        <w:gridCol w:w="3544"/>
      </w:tblGrid>
      <w:tr w:rsidR="00232DC9" w:rsidRPr="00232DC9" w14:paraId="19148EE7" w14:textId="024489A1" w:rsidTr="007651DD">
        <w:trPr>
          <w:trHeight w:val="20"/>
        </w:trPr>
        <w:tc>
          <w:tcPr>
            <w:tcW w:w="810" w:type="dxa"/>
          </w:tcPr>
          <w:p w14:paraId="33311B42" w14:textId="77777777" w:rsidR="00232DC9" w:rsidRPr="00232DC9" w:rsidRDefault="00232DC9" w:rsidP="008E3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7DEF8146" w14:textId="77777777" w:rsidR="00232DC9" w:rsidRPr="00232DC9" w:rsidRDefault="00232DC9" w:rsidP="008E3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334" w:type="dxa"/>
          </w:tcPr>
          <w:p w14:paraId="683F5383" w14:textId="77777777" w:rsidR="00232DC9" w:rsidRPr="00232DC9" w:rsidRDefault="00232DC9" w:rsidP="008E3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4536" w:type="dxa"/>
          </w:tcPr>
          <w:p w14:paraId="52390475" w14:textId="4482A141" w:rsidR="00232DC9" w:rsidRPr="00232DC9" w:rsidRDefault="00232DC9" w:rsidP="008E3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EA9"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  <w:t>Reikalaujamos parametrų reikšmės</w:t>
            </w:r>
            <w:r w:rsidRPr="00232DC9" w:rsidDel="00232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185EA7C" w14:textId="77777777" w:rsidR="00232DC9" w:rsidRPr="00757986" w:rsidRDefault="00232DC9" w:rsidP="0023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986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siūlomų parametrų reikšmės</w:t>
            </w:r>
          </w:p>
          <w:p w14:paraId="17D993C8" w14:textId="7981633F" w:rsidR="00232DC9" w:rsidRPr="00232DC9" w:rsidRDefault="00232DC9" w:rsidP="00232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(privaloma užpildyti)</w:t>
            </w:r>
          </w:p>
        </w:tc>
        <w:tc>
          <w:tcPr>
            <w:tcW w:w="3544" w:type="dxa"/>
          </w:tcPr>
          <w:p w14:paraId="147709EC" w14:textId="0A96A04F" w:rsidR="00232DC9" w:rsidRDefault="00232DC9" w:rsidP="0023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D928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Nuoroda į nurodytą parametrą, patvirtinantį gamintojo dokumento (</w:t>
            </w:r>
            <w:r w:rsidRPr="00D928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il"/>
              </w:rPr>
              <w:t>katalogo/ bukleto/brošiūros/instrukcijos</w:t>
            </w:r>
            <w:r w:rsidRPr="00D9283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</w:rPr>
              <w:t>) puslapį, kuriame yra atžyma apie siūlomos prekės atitikimą reikalavimui</w:t>
            </w:r>
          </w:p>
          <w:p w14:paraId="1A60A4F5" w14:textId="281502DD" w:rsidR="00232DC9" w:rsidRPr="00232DC9" w:rsidRDefault="00232DC9" w:rsidP="00232DC9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39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(privaloma užpildyti)</w:t>
            </w:r>
            <w:r w:rsidR="007651DD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*</w:t>
            </w:r>
          </w:p>
        </w:tc>
      </w:tr>
      <w:tr w:rsidR="00232DC9" w:rsidRPr="00232DC9" w14:paraId="66D3EF47" w14:textId="1C6EF4F4" w:rsidTr="007651DD">
        <w:trPr>
          <w:trHeight w:val="20"/>
        </w:trPr>
        <w:tc>
          <w:tcPr>
            <w:tcW w:w="810" w:type="dxa"/>
          </w:tcPr>
          <w:p w14:paraId="1E1B485A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14:paraId="17B373D3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Taikymo specializacija</w:t>
            </w:r>
          </w:p>
        </w:tc>
        <w:tc>
          <w:tcPr>
            <w:tcW w:w="4536" w:type="dxa"/>
          </w:tcPr>
          <w:p w14:paraId="5A6F11EF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Širdies ir kraujagyslių tyrimams skirtas ultragarsinės diagnostikos prietaisas.</w:t>
            </w:r>
          </w:p>
        </w:tc>
        <w:tc>
          <w:tcPr>
            <w:tcW w:w="3544" w:type="dxa"/>
          </w:tcPr>
          <w:p w14:paraId="265EF18D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B8075C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48114ABC" w14:textId="19FF42A5" w:rsidTr="007651DD">
        <w:trPr>
          <w:trHeight w:val="20"/>
        </w:trPr>
        <w:tc>
          <w:tcPr>
            <w:tcW w:w="810" w:type="dxa"/>
          </w:tcPr>
          <w:p w14:paraId="6B8F6DDA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14:paraId="78763615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Prietaiso architektūra </w:t>
            </w:r>
          </w:p>
        </w:tc>
        <w:tc>
          <w:tcPr>
            <w:tcW w:w="4536" w:type="dxa"/>
          </w:tcPr>
          <w:p w14:paraId="6A05C76D" w14:textId="66572010" w:rsidR="00232DC9" w:rsidRPr="00232DC9" w:rsidRDefault="00232DC9" w:rsidP="008E330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Bendras sistemos dinaminis diapazonas ne mažesnis kaip </w:t>
            </w:r>
            <w:r w:rsidR="001A0581" w:rsidRPr="00232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0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0581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3818048" w14:textId="77777777" w:rsidR="00232DC9" w:rsidRPr="00232DC9" w:rsidRDefault="00232DC9" w:rsidP="008E330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AC6ED5" w14:textId="77777777" w:rsidR="00232DC9" w:rsidRPr="00232DC9" w:rsidRDefault="00232DC9" w:rsidP="008E330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5DD928C1" w14:textId="2224D8BE" w:rsidTr="007651DD">
        <w:trPr>
          <w:trHeight w:val="20"/>
        </w:trPr>
        <w:tc>
          <w:tcPr>
            <w:tcW w:w="810" w:type="dxa"/>
          </w:tcPr>
          <w:p w14:paraId="5A6CEA88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</w:tcPr>
          <w:p w14:paraId="1F6E5440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Prietaiso ergonomika</w:t>
            </w:r>
          </w:p>
        </w:tc>
        <w:tc>
          <w:tcPr>
            <w:tcW w:w="4536" w:type="dxa"/>
          </w:tcPr>
          <w:p w14:paraId="66A2E3DA" w14:textId="06811704" w:rsidR="00232DC9" w:rsidRPr="00232DC9" w:rsidRDefault="00BE707C" w:rsidP="00B457EA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  <w:r w:rsidR="00232DC9" w:rsidRPr="00232DC9">
              <w:rPr>
                <w:rFonts w:ascii="Times New Roman" w:hAnsi="Times New Roman" w:cs="Times New Roman"/>
                <w:sz w:val="24"/>
              </w:rPr>
              <w:t>Skaitmeninė vaizdo gavimo technologija;</w:t>
            </w:r>
          </w:p>
          <w:p w14:paraId="120C22C6" w14:textId="795189F2" w:rsidR="00232DC9" w:rsidRPr="00232DC9" w:rsidRDefault="00BE707C" w:rsidP="00B457EA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  <w:r w:rsidR="00232DC9" w:rsidRPr="00232DC9">
              <w:rPr>
                <w:rFonts w:ascii="Times New Roman" w:hAnsi="Times New Roman" w:cs="Times New Roman"/>
                <w:sz w:val="24"/>
              </w:rPr>
              <w:t>Vaizdo monitoriaus padėtis reguliuojama – jį galima pasukti, palenkti bei pakelti ar nuleisti nepriklausomai nuo valdymo pulto;</w:t>
            </w:r>
          </w:p>
          <w:p w14:paraId="769ED414" w14:textId="0E83DC54" w:rsidR="00232DC9" w:rsidRPr="00232DC9" w:rsidRDefault="00BE707C" w:rsidP="00B457EA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  <w:r w:rsidR="00232DC9" w:rsidRPr="00232DC9">
              <w:rPr>
                <w:rFonts w:ascii="Times New Roman" w:hAnsi="Times New Roman" w:cs="Times New Roman"/>
                <w:sz w:val="24"/>
              </w:rPr>
              <w:t xml:space="preserve"> Valdymo pulto padėtis reguliuojama – jį galima pasukti, pakelti ar nuleisti</w:t>
            </w:r>
            <w:r w:rsidR="00B457E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14:paraId="4A4C6E54" w14:textId="77777777" w:rsidR="00232DC9" w:rsidRPr="00232DC9" w:rsidRDefault="00232DC9" w:rsidP="008E3300">
            <w:pPr>
              <w:pStyle w:val="Sraopastraipa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14:paraId="7A9BB222" w14:textId="77777777" w:rsidR="00232DC9" w:rsidRPr="00232DC9" w:rsidRDefault="00232DC9" w:rsidP="008E3300">
            <w:pPr>
              <w:pStyle w:val="Sraopastraipa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DC9" w:rsidRPr="00232DC9" w14:paraId="7F9526EA" w14:textId="420DBCA2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6EFD628E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09BAD7C0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Dvimačio vaizdo savybės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FF3A575" w14:textId="23ABE879" w:rsidR="00232DC9" w:rsidRPr="00232DC9" w:rsidRDefault="00BE707C" w:rsidP="00B457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Automatinė skenavimo parametrų optimizacija apimanti optimalios stiprinimo kompensavimo kreivės (TGC, arba DGC, arba STC) parinkimą;</w:t>
            </w:r>
          </w:p>
          <w:p w14:paraId="211F6900" w14:textId="4E6AC759" w:rsidR="00232DC9" w:rsidRPr="00232DC9" w:rsidRDefault="00BE707C" w:rsidP="00B457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Šoninio vaizdo stiprinimas;</w:t>
            </w:r>
          </w:p>
          <w:p w14:paraId="4D0BE344" w14:textId="0A480781" w:rsidR="00232DC9" w:rsidRPr="00232DC9" w:rsidRDefault="00BE707C" w:rsidP="00B457E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Aukštesnių harmonikų registravimas.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05BBB2" w14:textId="77777777" w:rsidR="00232DC9" w:rsidRPr="00232DC9" w:rsidRDefault="00232DC9" w:rsidP="008E3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0A7D7A" w14:textId="77777777" w:rsidR="00232DC9" w:rsidRPr="00232DC9" w:rsidRDefault="00232DC9" w:rsidP="008E3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5387DA57" w14:textId="417C7701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1802E32F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1D2456F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Vienmatis vaizdinimas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ABE987A" w14:textId="73BC82FD" w:rsidR="00232DC9" w:rsidRPr="00232DC9" w:rsidRDefault="00232DC9" w:rsidP="008E33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Audinių (pilkų spalvų skalėje)</w:t>
            </w:r>
            <w:r w:rsidR="00B457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96BC1D" w14:textId="77777777" w:rsidR="00232DC9" w:rsidRPr="00232DC9" w:rsidRDefault="00232DC9" w:rsidP="008E33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EE385A" w14:textId="77777777" w:rsidR="00232DC9" w:rsidRPr="00232DC9" w:rsidRDefault="00232DC9" w:rsidP="008E33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2DC9" w:rsidRPr="00232DC9" w14:paraId="0E60B73F" w14:textId="73F4D079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1DD01C0A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53D07CB4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Kraujotakos režimai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04CF3C4" w14:textId="77777777" w:rsidR="00232DC9" w:rsidRPr="00232DC9" w:rsidRDefault="00232DC9" w:rsidP="008E3300">
            <w:pPr>
              <w:pStyle w:val="Sraopastraipa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A506A84" w14:textId="77777777" w:rsidR="00232DC9" w:rsidRPr="00232DC9" w:rsidRDefault="00232DC9" w:rsidP="008E3300">
            <w:pPr>
              <w:pStyle w:val="Sraopastraipa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EEB4DC" w14:textId="77777777" w:rsidR="00232DC9" w:rsidRPr="00232DC9" w:rsidRDefault="00232DC9" w:rsidP="008E3300">
            <w:pPr>
              <w:pStyle w:val="Sraopastraipa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DC9" w:rsidRPr="00232DC9" w14:paraId="383A5525" w14:textId="0D9D1BFD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2F6295B3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7415B523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Spektrinės </w:t>
            </w:r>
            <w:proofErr w:type="spellStart"/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doplerografijos</w:t>
            </w:r>
            <w:proofErr w:type="spellEnd"/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režimai ir savybės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FD2F9FF" w14:textId="39321E14" w:rsidR="00232DC9" w:rsidRPr="00232DC9" w:rsidRDefault="00BE707C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1. PW (pulsinis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dopleris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BCD9642" w14:textId="34993FC4" w:rsidR="00232DC9" w:rsidRPr="00232DC9" w:rsidRDefault="00BE707C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2. HPRF (didelio impulsų pakartojimo dažnio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dopleris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0A4E18" w14:textId="6B60A9CF" w:rsidR="00232DC9" w:rsidRPr="00232DC9" w:rsidRDefault="00BE707C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3. CW (nuolatinės bangos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dopleris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B62F30B" w14:textId="791F2CB4" w:rsidR="00232DC9" w:rsidRPr="00232DC9" w:rsidRDefault="00BE707C" w:rsidP="00B457EA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4. Spektrinė (</w:t>
            </w:r>
            <w:r w:rsidR="00232DC9" w:rsidRPr="00B457EA">
              <w:rPr>
                <w:rFonts w:ascii="Times New Roman" w:hAnsi="Times New Roman" w:cs="Times New Roman"/>
                <w:sz w:val="24"/>
                <w:szCs w:val="24"/>
              </w:rPr>
              <w:t>PW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) audinių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doplerografija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12BE72" w14:textId="1D7DCE43" w:rsidR="00232DC9" w:rsidRPr="00232DC9" w:rsidRDefault="00BE707C" w:rsidP="00B457EA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5. Automatinė skenavimo parametrų optimizacija.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3A88C9E" w14:textId="77777777" w:rsidR="00232DC9" w:rsidRPr="00232DC9" w:rsidRDefault="00232DC9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F477800" w14:textId="77777777" w:rsidR="00232DC9" w:rsidRPr="00232DC9" w:rsidRDefault="00232DC9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410320BC" w14:textId="53D36F97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30E13725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B0D63F4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Spalvinės </w:t>
            </w:r>
            <w:proofErr w:type="spellStart"/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doplerografijos</w:t>
            </w:r>
            <w:proofErr w:type="spellEnd"/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režimai ir savybės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C0557D" w14:textId="4507C2FB" w:rsidR="00232DC9" w:rsidRPr="00232DC9" w:rsidRDefault="00BE707C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1. Spalvinė tėkmės greičio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doplerografija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9C920B" w14:textId="7780B8B9" w:rsidR="00232DC9" w:rsidRPr="00232DC9" w:rsidRDefault="00BE707C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2. Spalvinė tėkmės galios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doplerografija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9BB6F2" w14:textId="4EB4DFCB" w:rsidR="00232DC9" w:rsidRPr="00232DC9" w:rsidRDefault="00BE707C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Tripleksinis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vaizdavimas realiame laike, veikiantis su PW režimu;</w:t>
            </w:r>
          </w:p>
          <w:p w14:paraId="79C61AA2" w14:textId="6ECE9A30" w:rsidR="00232DC9" w:rsidRPr="00232DC9" w:rsidRDefault="00BE707C" w:rsidP="008E3300">
            <w:pPr>
              <w:tabs>
                <w:tab w:val="num" w:pos="10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4. Spalvinė audinių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doplerografija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spalvų skalėse koduojanti audinių judėjimo greitį.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786DC46" w14:textId="77777777" w:rsidR="00232DC9" w:rsidRPr="00232DC9" w:rsidRDefault="00232DC9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16CDAA8" w14:textId="77777777" w:rsidR="00232DC9" w:rsidRPr="00232DC9" w:rsidRDefault="00232DC9" w:rsidP="008E330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19272711" w14:textId="780D40F6" w:rsidTr="007651DD">
        <w:trPr>
          <w:trHeight w:val="20"/>
        </w:trPr>
        <w:tc>
          <w:tcPr>
            <w:tcW w:w="810" w:type="dxa"/>
            <w:tcBorders>
              <w:bottom w:val="nil"/>
            </w:tcBorders>
          </w:tcPr>
          <w:p w14:paraId="300BB4C0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4" w:type="dxa"/>
            <w:tcBorders>
              <w:bottom w:val="nil"/>
            </w:tcBorders>
          </w:tcPr>
          <w:p w14:paraId="4C21E52B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Vaizdų išsaugojimas</w:t>
            </w:r>
          </w:p>
          <w:p w14:paraId="4B617E09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762CE9D2" w14:textId="679119E2" w:rsidR="00232DC9" w:rsidRPr="00232DC9" w:rsidRDefault="00BE707C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1. Statinių ir dinaminių vaizdų archyvavimas vidinėje prietaiso atmintyje, išsaugant visą pradinę informaciją apie signalą;</w:t>
            </w:r>
          </w:p>
          <w:p w14:paraId="3413133A" w14:textId="5614B0E7" w:rsidR="00232DC9" w:rsidRPr="00232DC9" w:rsidRDefault="00BE707C" w:rsidP="008E3300">
            <w:pPr>
              <w:suppressAutoHyphens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7623" w:rsidRPr="00A9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Statinių ir dinaminių vaizdų perdavimas pagal DICOM </w:t>
            </w:r>
            <w:proofErr w:type="spellStart"/>
            <w:r w:rsidR="00C87623" w:rsidRPr="00A9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send</w:t>
            </w:r>
            <w:proofErr w:type="spellEnd"/>
            <w:r w:rsidR="00C87623" w:rsidRPr="00A9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(arba lygiavertis) protokolą į duomenų saugyklas ir darbo stotis, išsaugant visą pradinę informaciją apie signalą, su galimybe siųsti duomenis laidiniu kompiuteriniu tinklu (LAN) ir/ar bevieliu kompiuteriniu tinklu (WLAN)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D56E50" w14:textId="1358AA56" w:rsidR="00232DC9" w:rsidRPr="00232DC9" w:rsidRDefault="00BE707C" w:rsidP="007651DD">
            <w:pPr>
              <w:tabs>
                <w:tab w:val="left" w:pos="10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3. Vaizdų išsaugojimo USB jungtimi prijungiamose išorinėse laikmenose galimybė.</w:t>
            </w:r>
          </w:p>
        </w:tc>
        <w:tc>
          <w:tcPr>
            <w:tcW w:w="3544" w:type="dxa"/>
            <w:tcBorders>
              <w:bottom w:val="nil"/>
            </w:tcBorders>
          </w:tcPr>
          <w:p w14:paraId="7DE8EDD1" w14:textId="77777777" w:rsidR="00232DC9" w:rsidRPr="00232DC9" w:rsidRDefault="00232DC9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F8206CB" w14:textId="77777777" w:rsidR="00232DC9" w:rsidRPr="00232DC9" w:rsidRDefault="00232DC9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7C" w:rsidRPr="00232DC9" w14:paraId="748B6752" w14:textId="77777777" w:rsidTr="007651DD">
        <w:trPr>
          <w:trHeight w:val="20"/>
        </w:trPr>
        <w:tc>
          <w:tcPr>
            <w:tcW w:w="810" w:type="dxa"/>
            <w:tcBorders>
              <w:bottom w:val="nil"/>
            </w:tcBorders>
          </w:tcPr>
          <w:p w14:paraId="7B57F867" w14:textId="7BF87438" w:rsidR="00BE707C" w:rsidRPr="00232DC9" w:rsidRDefault="00BE707C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34" w:type="dxa"/>
            <w:tcBorders>
              <w:bottom w:val="nil"/>
            </w:tcBorders>
          </w:tcPr>
          <w:p w14:paraId="78E16E5E" w14:textId="5A8E306F" w:rsidR="00BE707C" w:rsidRPr="00232DC9" w:rsidRDefault="00BE707C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Komplektuojam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ultragarsini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davikli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savybės</w:t>
            </w:r>
          </w:p>
        </w:tc>
        <w:tc>
          <w:tcPr>
            <w:tcW w:w="4536" w:type="dxa"/>
            <w:tcBorders>
              <w:bottom w:val="nil"/>
            </w:tcBorders>
          </w:tcPr>
          <w:p w14:paraId="7B53FC2A" w14:textId="77777777" w:rsidR="00BE707C" w:rsidRDefault="00BE707C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FFDC660" w14:textId="77777777" w:rsidR="00BE707C" w:rsidRPr="00232DC9" w:rsidRDefault="00BE707C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5B0391A" w14:textId="77777777" w:rsidR="00BE707C" w:rsidRPr="00232DC9" w:rsidRDefault="00BE707C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4286BD72" w14:textId="2A4B631A" w:rsidTr="007651DD">
        <w:trPr>
          <w:trHeight w:val="20"/>
        </w:trPr>
        <w:tc>
          <w:tcPr>
            <w:tcW w:w="810" w:type="dxa"/>
            <w:tcBorders>
              <w:bottom w:val="nil"/>
            </w:tcBorders>
          </w:tcPr>
          <w:p w14:paraId="0E12736C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34" w:type="dxa"/>
            <w:tcBorders>
              <w:bottom w:val="nil"/>
            </w:tcBorders>
          </w:tcPr>
          <w:p w14:paraId="36CEFA34" w14:textId="77075350" w:rsidR="00232DC9" w:rsidRPr="00232DC9" w:rsidRDefault="00BE707C" w:rsidP="00BE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Sektorinis daviklis</w:t>
            </w:r>
          </w:p>
        </w:tc>
        <w:tc>
          <w:tcPr>
            <w:tcW w:w="4536" w:type="dxa"/>
            <w:tcBorders>
              <w:bottom w:val="nil"/>
            </w:tcBorders>
          </w:tcPr>
          <w:p w14:paraId="702E0F95" w14:textId="04A7CE8D" w:rsidR="00243902" w:rsidRDefault="00BE707C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8.1.1. </w:t>
            </w:r>
            <w:r w:rsidR="002439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kirtas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transtorakaliniams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suaugusiųjų širdies tyrimams,</w:t>
            </w:r>
          </w:p>
          <w:p w14:paraId="22961EE1" w14:textId="3DD611E1" w:rsidR="00243902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8.1.2.D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ažnių diapazonas </w:t>
            </w:r>
            <w:r w:rsidR="00083B53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53" w:rsidRPr="00B25D9F">
              <w:t>≤</w:t>
            </w:r>
            <w:r w:rsidR="00083B53">
              <w:t xml:space="preserve"> </w:t>
            </w:r>
            <w:r w:rsidR="00232DC9"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1,8 iki </w:t>
            </w:r>
            <w:r w:rsidR="00083B53" w:rsidRPr="00B25D9F">
              <w:t>≥</w:t>
            </w:r>
            <w:r w:rsidR="00083B53">
              <w:t xml:space="preserve"> </w:t>
            </w:r>
            <w:r w:rsidR="00232DC9"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 MHz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6170BC" w14:textId="1041EA50" w:rsidR="00232DC9" w:rsidRPr="00232DC9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kenavimo kampas </w:t>
            </w:r>
            <w:r w:rsidR="00083B53" w:rsidRPr="00B25D9F">
              <w:t>≥</w:t>
            </w:r>
            <w:r w:rsidR="004557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575F" w:rsidRPr="00232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nil"/>
            </w:tcBorders>
          </w:tcPr>
          <w:p w14:paraId="34917E65" w14:textId="77777777" w:rsidR="00232DC9" w:rsidRPr="00232DC9" w:rsidRDefault="00232DC9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925AF9E" w14:textId="77777777" w:rsidR="00232DC9" w:rsidRPr="00232DC9" w:rsidRDefault="00232DC9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522C95E6" w14:textId="25CF0BB4" w:rsidTr="007651DD">
        <w:trPr>
          <w:trHeight w:val="20"/>
        </w:trPr>
        <w:tc>
          <w:tcPr>
            <w:tcW w:w="810" w:type="dxa"/>
            <w:tcBorders>
              <w:bottom w:val="nil"/>
            </w:tcBorders>
          </w:tcPr>
          <w:p w14:paraId="461E9508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34" w:type="dxa"/>
            <w:tcBorders>
              <w:bottom w:val="nil"/>
            </w:tcBorders>
          </w:tcPr>
          <w:p w14:paraId="1E482CD9" w14:textId="120F656C" w:rsidR="00232DC9" w:rsidRPr="00232DC9" w:rsidRDefault="00243902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Linijinis daviklis</w:t>
            </w:r>
          </w:p>
        </w:tc>
        <w:tc>
          <w:tcPr>
            <w:tcW w:w="4536" w:type="dxa"/>
            <w:tcBorders>
              <w:bottom w:val="nil"/>
            </w:tcBorders>
          </w:tcPr>
          <w:p w14:paraId="12D650E1" w14:textId="130A4224" w:rsidR="00243902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8.2.1. S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kirtas kaklo kraujagyslių tyrimams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BADF5E" w14:textId="6F142D67" w:rsidR="00243902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8.2.2.D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ažnių diapazonas </w:t>
            </w:r>
            <w:r w:rsidR="00083B53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="00232DC9"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B53" w:rsidRPr="00B25D9F">
              <w:t>≤</w:t>
            </w:r>
            <w:r w:rsidR="00083B53">
              <w:t xml:space="preserve"> </w:t>
            </w:r>
            <w:r w:rsidR="00232DC9"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3,0 iki </w:t>
            </w:r>
            <w:r w:rsidR="00083B53" w:rsidRPr="00B25D9F">
              <w:t>≥</w:t>
            </w:r>
            <w:r w:rsidR="00083B53">
              <w:t xml:space="preserve"> </w:t>
            </w:r>
            <w:r w:rsidR="00232DC9"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 MHz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ED4B9C" w14:textId="7DCC60E5" w:rsidR="00232DC9" w:rsidRPr="00232DC9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 S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kenavimo plotis 40 ± 5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nil"/>
            </w:tcBorders>
          </w:tcPr>
          <w:p w14:paraId="4AC551CE" w14:textId="77777777" w:rsidR="00232DC9" w:rsidRPr="00232DC9" w:rsidRDefault="00232DC9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1300C0ED" w14:textId="77777777" w:rsidR="00232DC9" w:rsidRPr="00232DC9" w:rsidRDefault="00232DC9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2A481E47" w14:textId="1EF5F0FB" w:rsidTr="007651DD">
        <w:trPr>
          <w:trHeight w:val="20"/>
        </w:trPr>
        <w:tc>
          <w:tcPr>
            <w:tcW w:w="810" w:type="dxa"/>
            <w:tcBorders>
              <w:bottom w:val="nil"/>
            </w:tcBorders>
          </w:tcPr>
          <w:p w14:paraId="5B8198FC" w14:textId="18107CF5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334" w:type="dxa"/>
            <w:tcBorders>
              <w:bottom w:val="nil"/>
            </w:tcBorders>
          </w:tcPr>
          <w:p w14:paraId="15D6ECEB" w14:textId="435C6608" w:rsidR="00232DC9" w:rsidRPr="00232DC9" w:rsidRDefault="00243902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Konvekcinis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4536" w:type="dxa"/>
            <w:tcBorders>
              <w:bottom w:val="nil"/>
            </w:tcBorders>
          </w:tcPr>
          <w:p w14:paraId="70F396A5" w14:textId="7535170C" w:rsidR="00243902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8.3.1. S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kirtas abdominaliniams tyrimams, </w:t>
            </w:r>
          </w:p>
          <w:p w14:paraId="515E296F" w14:textId="72D379D0" w:rsidR="00243902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 D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ažnio diapazonas </w:t>
            </w:r>
            <w:r w:rsidR="00083B53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53" w:rsidRPr="00B25D9F">
              <w:t>≤</w:t>
            </w:r>
            <w:r w:rsidR="00083B53">
              <w:t xml:space="preserve"> 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1,5 iki </w:t>
            </w:r>
            <w:r w:rsidR="00083B53" w:rsidRPr="00B25D9F">
              <w:t>≥</w:t>
            </w:r>
            <w:r w:rsidR="00083B53">
              <w:t xml:space="preserve"> </w:t>
            </w:r>
            <w:r w:rsidR="00C87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7623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4BA007" w14:textId="50FFAE17" w:rsidR="00232DC9" w:rsidRPr="00232DC9" w:rsidRDefault="00243902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 S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kenavimo kampas </w:t>
            </w:r>
            <w:r w:rsidR="007651DD" w:rsidRPr="00B25D9F">
              <w:t>≥</w:t>
            </w:r>
            <w:r w:rsidR="006E4CA4">
              <w:t xml:space="preserve"> 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nil"/>
            </w:tcBorders>
          </w:tcPr>
          <w:p w14:paraId="4AEC4EAC" w14:textId="77777777" w:rsidR="00232DC9" w:rsidRPr="00232DC9" w:rsidRDefault="00232DC9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C2A9F74" w14:textId="77777777" w:rsidR="00232DC9" w:rsidRPr="00232DC9" w:rsidRDefault="00232DC9" w:rsidP="008E3300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71AD7D3B" w14:textId="6A340FE9" w:rsidTr="007651DD">
        <w:trPr>
          <w:trHeight w:val="20"/>
        </w:trPr>
        <w:tc>
          <w:tcPr>
            <w:tcW w:w="810" w:type="dxa"/>
            <w:tcBorders>
              <w:bottom w:val="nil"/>
            </w:tcBorders>
          </w:tcPr>
          <w:p w14:paraId="137F6835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4" w:type="dxa"/>
            <w:tcBorders>
              <w:bottom w:val="nil"/>
            </w:tcBorders>
          </w:tcPr>
          <w:p w14:paraId="19CD6FF4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Programinė įranga širdies vaizdų analizei ultragarsinės diagnostikos prietaise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794CAE0B" w14:textId="650BECCE" w:rsidR="00232DC9" w:rsidRPr="00232DC9" w:rsidRDefault="00243902" w:rsidP="0024390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2DC9" w:rsidRPr="009F5D9D">
              <w:rPr>
                <w:rFonts w:ascii="Times New Roman" w:hAnsi="Times New Roman" w:cs="Times New Roman"/>
                <w:sz w:val="24"/>
                <w:szCs w:val="24"/>
              </w:rPr>
              <w:t>Standartiniams</w:t>
            </w:r>
            <w:r w:rsidR="009F5D9D" w:rsidRPr="009F5D9D">
              <w:rPr>
                <w:rFonts w:ascii="Times New Roman" w:hAnsi="Times New Roman" w:cs="Times New Roman"/>
                <w:sz w:val="24"/>
                <w:szCs w:val="24"/>
              </w:rPr>
              <w:t xml:space="preserve"> širdies</w:t>
            </w:r>
            <w:r w:rsidR="009F5D9D" w:rsidRPr="009F5D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F5D9D" w:rsidRPr="009F5D9D">
              <w:rPr>
                <w:rFonts w:ascii="Times New Roman" w:hAnsi="Times New Roman" w:cs="Times New Roman"/>
                <w:sz w:val="24"/>
                <w:szCs w:val="24"/>
              </w:rPr>
              <w:t>tyrimo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morfometriniams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, funkciniams ir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hemodinaminiams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 xml:space="preserve"> parametrams išmatuoti ir skaičiuoti;</w:t>
            </w:r>
          </w:p>
          <w:p w14:paraId="0DBDC400" w14:textId="57384764" w:rsidR="00232DC9" w:rsidRPr="00232DC9" w:rsidRDefault="00243902" w:rsidP="00243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2. Automatizuotam tėkmės parametrų matavimui ir skaičiavimui.</w:t>
            </w:r>
          </w:p>
        </w:tc>
        <w:tc>
          <w:tcPr>
            <w:tcW w:w="3544" w:type="dxa"/>
            <w:tcBorders>
              <w:bottom w:val="nil"/>
            </w:tcBorders>
          </w:tcPr>
          <w:p w14:paraId="2D4BB37C" w14:textId="77777777" w:rsidR="00232DC9" w:rsidRPr="00232DC9" w:rsidRDefault="00232DC9" w:rsidP="008E330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6A5357A0" w14:textId="77777777" w:rsidR="00232DC9" w:rsidRPr="00232DC9" w:rsidRDefault="00232DC9" w:rsidP="008E330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201B26AC" w14:textId="1A558A3E" w:rsidTr="007651DD">
        <w:trPr>
          <w:trHeight w:val="20"/>
        </w:trPr>
        <w:tc>
          <w:tcPr>
            <w:tcW w:w="810" w:type="dxa"/>
            <w:tcBorders>
              <w:bottom w:val="nil"/>
            </w:tcBorders>
          </w:tcPr>
          <w:p w14:paraId="27AA2F1B" w14:textId="77777777" w:rsidR="00232DC9" w:rsidRPr="00AA1A7B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4" w:type="dxa"/>
            <w:tcBorders>
              <w:bottom w:val="nil"/>
            </w:tcBorders>
          </w:tcPr>
          <w:p w14:paraId="0AA6CEB8" w14:textId="77777777" w:rsidR="00AA1A7B" w:rsidRPr="00AA1A7B" w:rsidRDefault="00AA1A7B" w:rsidP="00AA1A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Palaikomos DICOM (arba lygiavertis) standarto funkcijos</w:t>
            </w:r>
          </w:p>
          <w:p w14:paraId="46DDDD39" w14:textId="32B9E9A4" w:rsidR="00232DC9" w:rsidRPr="00AA1A7B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5B2ADF1E" w14:textId="6F17849D" w:rsidR="00243902" w:rsidRDefault="00243902" w:rsidP="00243902">
            <w:pPr>
              <w:pStyle w:val="Sraopastraipa"/>
              <w:widowControl/>
              <w:tabs>
                <w:tab w:val="left" w:pos="264"/>
                <w:tab w:val="left" w:pos="547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10.1.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</w:rPr>
              <w:t>send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</w:rPr>
              <w:t xml:space="preserve"> arba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</w:rPr>
              <w:t>store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1BE1AB0D" w14:textId="74476D00" w:rsidR="00243902" w:rsidRDefault="00243902" w:rsidP="00243902">
            <w:pPr>
              <w:pStyle w:val="Sraopastraipa"/>
              <w:widowControl/>
              <w:tabs>
                <w:tab w:val="left" w:pos="264"/>
                <w:tab w:val="left" w:pos="570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10.2.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</w:rPr>
              <w:t>query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</w:rPr>
              <w:t>retrieve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247C1CA2" w14:textId="732D7D7A" w:rsidR="00232DC9" w:rsidRPr="00232DC9" w:rsidRDefault="00243902" w:rsidP="00243902">
            <w:pPr>
              <w:pStyle w:val="Sraopastraipa"/>
              <w:widowControl/>
              <w:tabs>
                <w:tab w:val="left" w:pos="264"/>
                <w:tab w:val="left" w:pos="570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10.3. </w:t>
            </w:r>
            <w:proofErr w:type="spellStart"/>
            <w:r w:rsidR="00232DC9" w:rsidRPr="00232DC9">
              <w:rPr>
                <w:rFonts w:ascii="Times New Roman" w:hAnsi="Times New Roman" w:cs="Times New Roman"/>
                <w:sz w:val="24"/>
              </w:rPr>
              <w:t>worklist</w:t>
            </w:r>
            <w:proofErr w:type="spellEnd"/>
            <w:r w:rsidR="00232DC9" w:rsidRPr="00232DC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bottom w:val="nil"/>
            </w:tcBorders>
          </w:tcPr>
          <w:p w14:paraId="1C964467" w14:textId="77777777" w:rsidR="00232DC9" w:rsidRPr="00232DC9" w:rsidRDefault="00232DC9" w:rsidP="00BE707C">
            <w:pPr>
              <w:pStyle w:val="Sraopastraipa"/>
              <w:widowControl/>
              <w:tabs>
                <w:tab w:val="left" w:pos="264"/>
                <w:tab w:val="left" w:pos="547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EA51C53" w14:textId="77777777" w:rsidR="00232DC9" w:rsidRPr="00232DC9" w:rsidRDefault="00232DC9" w:rsidP="00BE707C">
            <w:pPr>
              <w:pStyle w:val="Sraopastraipa"/>
              <w:widowControl/>
              <w:tabs>
                <w:tab w:val="left" w:pos="264"/>
                <w:tab w:val="left" w:pos="547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DC9" w:rsidRPr="00232DC9" w14:paraId="580418FB" w14:textId="7F3C9801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4CA74BB5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9103393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Vaizdo monitoriaus savybės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D97598F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Ne mažesnė kaip 21 colio įstrižainė.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3013A11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2A0683B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4587F953" w14:textId="6ECB81A9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303F4D13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077C8E00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Fiziologinių kreivių rodymas ekrane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0603D09" w14:textId="5B67DAB8" w:rsidR="00232DC9" w:rsidRPr="00232DC9" w:rsidRDefault="00243902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1. Sinchronizuota su vaizdu EKG;</w:t>
            </w:r>
          </w:p>
          <w:p w14:paraId="17127477" w14:textId="78FA6C64" w:rsidR="00232DC9" w:rsidRPr="00232DC9" w:rsidRDefault="00243902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232DC9"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Kvėpavimo kreivė.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3352E8" w14:textId="77777777" w:rsidR="00232DC9" w:rsidRPr="00232DC9" w:rsidRDefault="00232DC9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3A359F" w14:textId="77777777" w:rsidR="00232DC9" w:rsidRPr="00232DC9" w:rsidRDefault="00232DC9" w:rsidP="008E330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C9" w:rsidRPr="00232DC9" w14:paraId="3DC7C795" w14:textId="2427C6BE" w:rsidTr="007651D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</w:tcPr>
          <w:p w14:paraId="0C74BA0D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7512307A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Priedai ir jų savybės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5DABB85" w14:textId="77777777" w:rsidR="00232DC9" w:rsidRPr="00232DC9" w:rsidRDefault="00232DC9" w:rsidP="00AC0AD2">
            <w:pPr>
              <w:pStyle w:val="Sraopastraipa"/>
              <w:tabs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32DC9">
              <w:rPr>
                <w:rFonts w:ascii="Times New Roman" w:hAnsi="Times New Roman" w:cs="Times New Roman"/>
                <w:sz w:val="24"/>
              </w:rPr>
              <w:t>EKG laidų ir daugkartinių elektrodų komplektas.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A717AF2" w14:textId="77777777" w:rsidR="00232DC9" w:rsidRPr="00232DC9" w:rsidRDefault="00232DC9" w:rsidP="00AC0AD2">
            <w:pPr>
              <w:pStyle w:val="Sraopastraipa"/>
              <w:tabs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00206C" w14:textId="77777777" w:rsidR="00232DC9" w:rsidRPr="00232DC9" w:rsidRDefault="00232DC9" w:rsidP="00AC0AD2">
            <w:pPr>
              <w:pStyle w:val="Sraopastraipa"/>
              <w:tabs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DC9" w:rsidRPr="00232DC9" w14:paraId="525A6F7A" w14:textId="10E887F5" w:rsidTr="007651D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407838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2850D510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Ultragarsinio diagnostinio prietaiso apsauga nuo elektros energijos tiekimo iš elektros tinklo sutrikimų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00A7CB0" w14:textId="448E54A7" w:rsidR="00232DC9" w:rsidRPr="00232DC9" w:rsidRDefault="00232DC9" w:rsidP="0024390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Apsauginis nepertraukiamo maitinimo šaltinis („UPS“ tipo arba lygiavertis) arba prietaise integruotas atsarginio maitinimo akumuliatorius</w:t>
            </w:r>
            <w:r w:rsidR="00243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17C5A45" w14:textId="77777777" w:rsidR="00232DC9" w:rsidRPr="00232DC9" w:rsidRDefault="00232DC9" w:rsidP="008E330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B488BC" w14:textId="77777777" w:rsidR="00232DC9" w:rsidRPr="00232DC9" w:rsidRDefault="00232DC9" w:rsidP="008E330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A7B" w:rsidRPr="00232DC9" w14:paraId="1CBB338D" w14:textId="77777777" w:rsidTr="007651D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79370" w14:textId="3BCD7D57" w:rsidR="00AA1A7B" w:rsidRPr="00232DC9" w:rsidRDefault="00AA1A7B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3AD0257A" w14:textId="4AD42FE9" w:rsidR="00AA1A7B" w:rsidRPr="007651DD" w:rsidRDefault="007651DD" w:rsidP="008E3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Prietaiso / į</w:t>
            </w:r>
            <w:r w:rsidRPr="0076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rangos pagaminimo metai ir techninė būklė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3A817A" w14:textId="1DB6A398" w:rsidR="00AA1A7B" w:rsidRPr="007651DD" w:rsidRDefault="007651DD" w:rsidP="0024390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1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Nauja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</w:t>
            </w:r>
            <w:r w:rsidRPr="007651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nenaudota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</w:t>
            </w:r>
            <w:r w:rsidRPr="007651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prietaisas / </w:t>
            </w:r>
            <w:r w:rsidRPr="007651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įranga, pagaminta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</w:t>
            </w:r>
            <w:r w:rsidRPr="007651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ne </w:t>
            </w:r>
            <w:r w:rsidR="0035461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seniau</w:t>
            </w:r>
            <w:r w:rsidRPr="007651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nei </w:t>
            </w:r>
            <w:r w:rsidRPr="0035461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2023</w:t>
            </w:r>
            <w:r w:rsidRPr="007651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m.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85FC17" w14:textId="77777777" w:rsidR="00AA1A7B" w:rsidRPr="007651DD" w:rsidRDefault="00AA1A7B" w:rsidP="008E330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476AEFB" w14:textId="77777777" w:rsidR="007651DD" w:rsidRPr="007651DD" w:rsidRDefault="007651DD" w:rsidP="0076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1DD">
              <w:rPr>
                <w:rFonts w:ascii="Times New Roman" w:hAnsi="Times New Roman" w:cs="Times New Roman"/>
                <w:sz w:val="24"/>
                <w:szCs w:val="24"/>
              </w:rPr>
              <w:t>Nuorodos nebūtina pateikti. Atitiktis tikrinama įrangos pristatymo metu.</w:t>
            </w:r>
          </w:p>
          <w:p w14:paraId="0024BEDF" w14:textId="65E53031" w:rsidR="00AA1A7B" w:rsidRPr="007651DD" w:rsidRDefault="00AA1A7B" w:rsidP="008E330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A7B" w:rsidRPr="00232DC9" w14:paraId="69F7AB2E" w14:textId="77777777" w:rsidTr="007651D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A506E0" w14:textId="26BCE63A" w:rsidR="00AA1A7B" w:rsidRPr="00232DC9" w:rsidRDefault="00AA1A7B" w:rsidP="0030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7205A7F9" w14:textId="133CF410" w:rsidR="00AA1A7B" w:rsidRPr="00232DC9" w:rsidRDefault="007651DD" w:rsidP="0030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1D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BR"/>
              </w:rPr>
              <w:t>Prietaiso / į</w:t>
            </w:r>
            <w:r w:rsidR="00AA1A7B" w:rsidRPr="007651D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BR"/>
              </w:rPr>
              <w:t>rangos žymėjimas CE ženklu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09EB2C" w14:textId="77777777" w:rsidR="00AA1A7B" w:rsidRPr="00232DC9" w:rsidRDefault="00AA1A7B" w:rsidP="003057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44E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8FF098" w14:textId="77777777" w:rsidR="00AA1A7B" w:rsidRPr="00232DC9" w:rsidRDefault="00AA1A7B" w:rsidP="003057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60DC97D" w14:textId="77777777" w:rsidR="00AA1A7B" w:rsidRPr="003E415C" w:rsidRDefault="00AA1A7B" w:rsidP="003057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50344E">
              <w:rPr>
                <w:rFonts w:ascii="Times New Roman" w:eastAsia="Calibri" w:hAnsi="Times New Roman" w:cs="Times New Roman"/>
                <w:sz w:val="24"/>
                <w:szCs w:val="24"/>
              </w:rPr>
              <w:t>artu su pasiūlymu privaloma pateikti žymėjimą CE ženklu liudijančio dokumento kopiją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32DC9" w:rsidRPr="00232DC9" w14:paraId="3E1F8063" w14:textId="7FEE801D" w:rsidTr="007651D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73759B" w14:textId="7C7F34C2" w:rsidR="00232DC9" w:rsidRPr="00232DC9" w:rsidRDefault="00AA1A7B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1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2DC9" w:rsidRPr="0023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5273B6CA" w14:textId="77777777" w:rsidR="00232DC9" w:rsidRPr="00232DC9" w:rsidRDefault="00232DC9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Garantinio aptarnavimo laikotarpis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C384A69" w14:textId="77777777" w:rsidR="00232DC9" w:rsidRPr="00232DC9" w:rsidRDefault="00232DC9" w:rsidP="008E33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DC9">
              <w:rPr>
                <w:rFonts w:ascii="Times New Roman" w:hAnsi="Times New Roman" w:cs="Times New Roman"/>
                <w:sz w:val="24"/>
                <w:szCs w:val="24"/>
              </w:rPr>
              <w:t>Ne mažiau kaip 24 mėnesiai.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2C804E" w14:textId="77777777" w:rsidR="00232DC9" w:rsidRPr="00232DC9" w:rsidRDefault="00232DC9" w:rsidP="008E33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B5E758" w14:textId="4DC3AA54" w:rsidR="00232DC9" w:rsidRPr="00232DC9" w:rsidRDefault="00FD344D" w:rsidP="008E33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15C">
              <w:rPr>
                <w:rFonts w:ascii="Times New Roman" w:hAnsi="Times New Roman" w:cs="Times New Roman"/>
                <w:sz w:val="24"/>
                <w:szCs w:val="24"/>
              </w:rPr>
              <w:t>Nebūtina pateikti nuorodos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A7B" w:rsidRPr="00232DC9" w14:paraId="4F633C51" w14:textId="77777777" w:rsidTr="007651D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E8DB01" w14:textId="1FDD26B7" w:rsidR="00AA1A7B" w:rsidRPr="00232DC9" w:rsidDel="00AA1A7B" w:rsidRDefault="007651DD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71267F3D" w14:textId="19E50C82" w:rsidR="00AA1A7B" w:rsidRPr="00232DC9" w:rsidRDefault="00AA1A7B" w:rsidP="008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Tiekėjas turi turėti gamintojo įgaliojimą atlikti siūlom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 prietaiso / įrangos</w:t>
            </w: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garantinį aptarnavimą  ir priežiūrą arba turi rašytinį susitarimą su kitu ūkio subjektu, kuris yra gamintojo įgaliotas atlikti siūlom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 prietaiso / įrangos</w:t>
            </w: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garantinį aptarnavimą ir priežiūrą.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CEC4B1B" w14:textId="1380B40B" w:rsidR="00AA1A7B" w:rsidRPr="00232DC9" w:rsidRDefault="00AA1A7B" w:rsidP="008E33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0A4611" w14:textId="77777777" w:rsidR="00AA1A7B" w:rsidRPr="00232DC9" w:rsidRDefault="00AA1A7B" w:rsidP="008E33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2ECC5F" w14:textId="50175C0D" w:rsidR="00AA1A7B" w:rsidRPr="003E415C" w:rsidRDefault="00AA1A7B" w:rsidP="00AA1A7B">
            <w:pPr>
              <w:widowControl w:val="0"/>
              <w:tabs>
                <w:tab w:val="left" w:pos="34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Kartu su pasiūlymu pateikiamas d</w:t>
            </w:r>
            <w:r w:rsidRPr="0050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okumentas, patvirtinantis, kad tiekėjas yra oficialus </w:t>
            </w: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siūlom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 prietaiso / įrangos</w:t>
            </w:r>
            <w:r w:rsidRPr="0050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gamintojo </w:t>
            </w:r>
            <w:r w:rsidRPr="005034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atstovas, įgaliotas atlikti </w:t>
            </w: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siūlom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 prietaiso / įrangos</w:t>
            </w:r>
            <w:r w:rsidRPr="0050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garantinį aptarnavimą, arba sudaręs rašytinį susitarimą su kitu ūkio subjektu, kuris yra gamintojo įgaliotas atlikti </w:t>
            </w: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siūlom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 prietaiso / įrangos</w:t>
            </w:r>
            <w:r w:rsidRPr="0050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garantinį aptarnavimą ir sutinka teikti </w:t>
            </w:r>
            <w:r w:rsidRPr="005034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siūlom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 prietaiso / įrangos</w:t>
            </w:r>
            <w:r w:rsidRPr="0050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garantinį aptarnavimą.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2E0244" w14:textId="64F07657" w:rsidR="00AA1A7B" w:rsidRPr="007651DD" w:rsidRDefault="007651DD" w:rsidP="007651DD">
      <w:pPr>
        <w:shd w:val="clear" w:color="auto" w:fill="FFFFFF"/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Cs w:val="20"/>
        </w:rPr>
      </w:pPr>
      <w:r>
        <w:rPr>
          <w:rFonts w:ascii="Times New Roman" w:hAnsi="Times New Roman"/>
          <w:sz w:val="24"/>
        </w:rPr>
        <w:lastRenderedPageBreak/>
        <w:t>*</w:t>
      </w:r>
      <w:r w:rsidR="00232DC9" w:rsidRPr="007651DD">
        <w:rPr>
          <w:rFonts w:ascii="Times New Roman" w:hAnsi="Times New Roman"/>
          <w:sz w:val="24"/>
        </w:rPr>
        <w:t>Kartu su pasiūlymu turi būti pateikiamos įrangos naudojimosi instrukcijos</w:t>
      </w:r>
      <w:r w:rsidR="00FD344D" w:rsidRPr="007651DD">
        <w:rPr>
          <w:rFonts w:ascii="Times New Roman" w:hAnsi="Times New Roman"/>
          <w:sz w:val="24"/>
        </w:rPr>
        <w:t>,</w:t>
      </w:r>
      <w:r w:rsidR="00232DC9" w:rsidRPr="007651DD">
        <w:rPr>
          <w:rFonts w:ascii="Times New Roman" w:hAnsi="Times New Roman"/>
          <w:sz w:val="24"/>
        </w:rPr>
        <w:t xml:space="preserve"> gamintojo parengti techniniai aprašai </w:t>
      </w:r>
      <w:bookmarkStart w:id="0" w:name="_Hlk166067944"/>
      <w:r w:rsidR="00232DC9" w:rsidRPr="007651DD">
        <w:rPr>
          <w:rFonts w:ascii="Times New Roman" w:hAnsi="Times New Roman"/>
          <w:sz w:val="24"/>
        </w:rPr>
        <w:t>ar kiti dokumentai</w:t>
      </w:r>
      <w:r w:rsidR="00FD344D" w:rsidRPr="007651DD">
        <w:rPr>
          <w:rFonts w:ascii="Times New Roman" w:hAnsi="Times New Roman"/>
          <w:sz w:val="24"/>
        </w:rPr>
        <w:t xml:space="preserve"> lietuvių kalba (</w:t>
      </w:r>
      <w:r w:rsidR="00FD344D" w:rsidRPr="007651DD">
        <w:rPr>
          <w:rFonts w:ascii="Times New Roman" w:hAnsi="Times New Roman"/>
          <w:i/>
          <w:iCs/>
          <w:sz w:val="24"/>
        </w:rPr>
        <w:t>priimtin</w:t>
      </w:r>
      <w:r w:rsidR="00BE707C" w:rsidRPr="007651DD">
        <w:rPr>
          <w:rFonts w:ascii="Times New Roman" w:hAnsi="Times New Roman"/>
          <w:i/>
          <w:iCs/>
          <w:sz w:val="24"/>
        </w:rPr>
        <w:t xml:space="preserve">i dokumentai </w:t>
      </w:r>
      <w:r w:rsidR="0045575F">
        <w:rPr>
          <w:rFonts w:ascii="Times New Roman" w:hAnsi="Times New Roman"/>
          <w:i/>
          <w:iCs/>
          <w:sz w:val="24"/>
        </w:rPr>
        <w:t>anglų</w:t>
      </w:r>
      <w:r w:rsidR="0045575F" w:rsidRPr="007651DD">
        <w:rPr>
          <w:rFonts w:ascii="Times New Roman" w:hAnsi="Times New Roman"/>
          <w:i/>
          <w:iCs/>
          <w:sz w:val="24"/>
        </w:rPr>
        <w:t xml:space="preserve"> </w:t>
      </w:r>
      <w:r w:rsidR="00BE707C" w:rsidRPr="007651DD">
        <w:rPr>
          <w:rFonts w:ascii="Times New Roman" w:hAnsi="Times New Roman"/>
          <w:i/>
          <w:iCs/>
          <w:sz w:val="24"/>
        </w:rPr>
        <w:t>kalba su</w:t>
      </w:r>
      <w:r w:rsidR="00FD344D" w:rsidRPr="007651DD">
        <w:rPr>
          <w:rFonts w:ascii="Times New Roman" w:hAnsi="Times New Roman"/>
          <w:i/>
          <w:iCs/>
          <w:sz w:val="24"/>
        </w:rPr>
        <w:t xml:space="preserve"> išnašo</w:t>
      </w:r>
      <w:r w:rsidR="00BE707C" w:rsidRPr="007651DD">
        <w:rPr>
          <w:rFonts w:ascii="Times New Roman" w:hAnsi="Times New Roman"/>
          <w:i/>
          <w:iCs/>
          <w:sz w:val="24"/>
        </w:rPr>
        <w:t>mis, kuriose būtų</w:t>
      </w:r>
      <w:r w:rsidR="00FD344D" w:rsidRPr="007651DD">
        <w:rPr>
          <w:rFonts w:ascii="Times New Roman" w:hAnsi="Times New Roman"/>
          <w:i/>
          <w:iCs/>
          <w:sz w:val="24"/>
        </w:rPr>
        <w:t xml:space="preserve"> </w:t>
      </w:r>
      <w:r w:rsidR="00BE707C" w:rsidRPr="007651DD">
        <w:rPr>
          <w:rFonts w:ascii="Times New Roman" w:hAnsi="Times New Roman"/>
          <w:i/>
          <w:iCs/>
          <w:sz w:val="24"/>
        </w:rPr>
        <w:t xml:space="preserve">reikiamo teksto </w:t>
      </w:r>
      <w:r w:rsidR="00FD344D" w:rsidRPr="007651DD">
        <w:rPr>
          <w:rFonts w:ascii="Times New Roman" w:hAnsi="Times New Roman"/>
          <w:i/>
          <w:iCs/>
          <w:sz w:val="24"/>
        </w:rPr>
        <w:t>vertim</w:t>
      </w:r>
      <w:r w:rsidR="00BE707C" w:rsidRPr="007651DD">
        <w:rPr>
          <w:rFonts w:ascii="Times New Roman" w:hAnsi="Times New Roman"/>
          <w:i/>
          <w:iCs/>
          <w:sz w:val="24"/>
        </w:rPr>
        <w:t>as</w:t>
      </w:r>
      <w:r w:rsidR="00FD344D" w:rsidRPr="007651DD">
        <w:rPr>
          <w:rFonts w:ascii="Times New Roman" w:hAnsi="Times New Roman"/>
          <w:i/>
          <w:iCs/>
          <w:sz w:val="24"/>
        </w:rPr>
        <w:t xml:space="preserve"> į lietuvių kalbą</w:t>
      </w:r>
      <w:r w:rsidR="00FD344D" w:rsidRPr="007651DD">
        <w:rPr>
          <w:rFonts w:ascii="Times New Roman" w:hAnsi="Times New Roman"/>
          <w:sz w:val="24"/>
        </w:rPr>
        <w:t>)</w:t>
      </w:r>
      <w:r w:rsidR="00232DC9" w:rsidRPr="007651DD">
        <w:rPr>
          <w:rFonts w:ascii="Times New Roman" w:hAnsi="Times New Roman"/>
          <w:sz w:val="24"/>
        </w:rPr>
        <w:t>, patvirtinantys atitiktį techniniams reikalavimams</w:t>
      </w:r>
      <w:bookmarkEnd w:id="0"/>
      <w:r w:rsidR="00232DC9" w:rsidRPr="007651DD">
        <w:rPr>
          <w:rFonts w:ascii="Times New Roman" w:hAnsi="Times New Roman"/>
          <w:sz w:val="24"/>
        </w:rPr>
        <w:t xml:space="preserve">. </w:t>
      </w:r>
      <w:bookmarkStart w:id="1" w:name="_Hlk166067977"/>
      <w:r w:rsidR="00FD344D" w:rsidRPr="007651DD">
        <w:rPr>
          <w:rFonts w:ascii="Times New Roman" w:hAnsi="Times New Roman"/>
          <w:sz w:val="24"/>
        </w:rPr>
        <w:t xml:space="preserve">Iškilus klausimams ar neaiškumams dėl siūlomos įrangos atitikties techninės specifikacijos reikalavimams, ir </w:t>
      </w:r>
      <w:r w:rsidR="00BE707C" w:rsidRPr="007651DD">
        <w:rPr>
          <w:rFonts w:ascii="Times New Roman" w:hAnsi="Times New Roman"/>
          <w:sz w:val="24"/>
        </w:rPr>
        <w:t>Centrinės viešųjų pirkimų informacinės sistemos (</w:t>
      </w:r>
      <w:r w:rsidR="00FD344D" w:rsidRPr="007651DD">
        <w:rPr>
          <w:rFonts w:ascii="Times New Roman" w:hAnsi="Times New Roman"/>
          <w:sz w:val="24"/>
        </w:rPr>
        <w:t>CVP IS</w:t>
      </w:r>
      <w:r w:rsidR="00BE707C" w:rsidRPr="007651DD">
        <w:rPr>
          <w:rFonts w:ascii="Times New Roman" w:hAnsi="Times New Roman"/>
          <w:sz w:val="24"/>
        </w:rPr>
        <w:t>)</w:t>
      </w:r>
      <w:r w:rsidR="00FD344D" w:rsidRPr="007651DD">
        <w:rPr>
          <w:rFonts w:ascii="Times New Roman" w:hAnsi="Times New Roman"/>
          <w:sz w:val="24"/>
        </w:rPr>
        <w:t xml:space="preserve"> priemonėmis paprašius, tiekėjas privalo per nurodytą terminą pateikti įrangos gamintojo parengtus katalogus, patvirtinančius atitiktį techniniams reikalavimams, </w:t>
      </w:r>
      <w:r w:rsidR="00D17666">
        <w:rPr>
          <w:rFonts w:ascii="Times New Roman" w:hAnsi="Times New Roman"/>
          <w:sz w:val="24"/>
        </w:rPr>
        <w:t>anglų</w:t>
      </w:r>
      <w:r w:rsidR="00D17666" w:rsidRPr="007651DD">
        <w:rPr>
          <w:rFonts w:ascii="Times New Roman" w:hAnsi="Times New Roman"/>
          <w:sz w:val="24"/>
        </w:rPr>
        <w:t xml:space="preserve"> </w:t>
      </w:r>
      <w:r w:rsidR="00FD344D" w:rsidRPr="007651DD">
        <w:rPr>
          <w:rFonts w:ascii="Times New Roman" w:hAnsi="Times New Roman"/>
          <w:sz w:val="24"/>
        </w:rPr>
        <w:t xml:space="preserve">kalba. </w:t>
      </w:r>
      <w:r w:rsidR="00232DC9" w:rsidRPr="007651DD">
        <w:rPr>
          <w:rFonts w:ascii="Times New Roman" w:hAnsi="Times New Roman"/>
          <w:b/>
          <w:sz w:val="24"/>
        </w:rPr>
        <w:t>Gamintojo deklaracijos dėl atitikties techniniams reikalavimams, kurių negalima objektyviai patikrinti, nebus vertinamos</w:t>
      </w:r>
      <w:r w:rsidR="00232DC9" w:rsidRPr="007651DD">
        <w:rPr>
          <w:rFonts w:ascii="Times New Roman" w:hAnsi="Times New Roman"/>
          <w:sz w:val="24"/>
        </w:rPr>
        <w:t xml:space="preserve">. </w:t>
      </w:r>
      <w:bookmarkEnd w:id="1"/>
      <w:r w:rsidR="00FD344D" w:rsidRPr="007651DD">
        <w:rPr>
          <w:rFonts w:ascii="Times New Roman" w:hAnsi="Times New Roman"/>
          <w:sz w:val="24"/>
        </w:rPr>
        <w:t>Techninės specifikacijos lentelėje</w:t>
      </w:r>
      <w:r w:rsidR="00232DC9" w:rsidRPr="007651DD">
        <w:rPr>
          <w:rFonts w:ascii="Times New Roman" w:hAnsi="Times New Roman"/>
          <w:sz w:val="24"/>
        </w:rPr>
        <w:t xml:space="preserve"> būtina pateikti aiškias nuorodas į dokumentus bei paženklinti konkretų techninės specifikacijos punktą pagrindžiantį tekstą.</w:t>
      </w:r>
    </w:p>
    <w:sectPr w:rsidR="00AA1A7B" w:rsidRPr="007651DD" w:rsidSect="00232DC9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CFEE5" w14:textId="77777777" w:rsidR="00F2289B" w:rsidRDefault="00F2289B" w:rsidP="00232DC9">
      <w:pPr>
        <w:spacing w:after="0" w:line="240" w:lineRule="auto"/>
      </w:pPr>
      <w:r>
        <w:separator/>
      </w:r>
    </w:p>
  </w:endnote>
  <w:endnote w:type="continuationSeparator" w:id="0">
    <w:p w14:paraId="023B54E3" w14:textId="77777777" w:rsidR="00F2289B" w:rsidRDefault="00F2289B" w:rsidP="0023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08AE" w14:textId="77777777" w:rsidR="00F2289B" w:rsidRDefault="00F2289B" w:rsidP="00232DC9">
      <w:pPr>
        <w:spacing w:after="0" w:line="240" w:lineRule="auto"/>
      </w:pPr>
      <w:r>
        <w:separator/>
      </w:r>
    </w:p>
  </w:footnote>
  <w:footnote w:type="continuationSeparator" w:id="0">
    <w:p w14:paraId="3D694BDD" w14:textId="77777777" w:rsidR="00F2289B" w:rsidRDefault="00F2289B" w:rsidP="0023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11D2" w14:textId="77777777" w:rsidR="00232DC9" w:rsidRPr="002354CD" w:rsidRDefault="00232DC9" w:rsidP="00232DC9">
    <w:pPr>
      <w:jc w:val="right"/>
      <w:rPr>
        <w:rFonts w:ascii="Times New Roman" w:hAnsi="Times New Roman" w:cs="Times New Roman"/>
        <w:sz w:val="24"/>
        <w:szCs w:val="24"/>
      </w:rPr>
    </w:pPr>
    <w:r w:rsidRPr="002354CD">
      <w:rPr>
        <w:rFonts w:ascii="Times New Roman" w:hAnsi="Times New Roman" w:cs="Times New Roman"/>
        <w:sz w:val="24"/>
        <w:szCs w:val="24"/>
      </w:rPr>
      <w:t>Pirkimo sąlygų 1 priedas</w:t>
    </w:r>
  </w:p>
  <w:p w14:paraId="1DF95766" w14:textId="77777777" w:rsidR="00232DC9" w:rsidRDefault="00232D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5667A"/>
    <w:multiLevelType w:val="hybridMultilevel"/>
    <w:tmpl w:val="B4FC9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05E1F"/>
    <w:multiLevelType w:val="hybridMultilevel"/>
    <w:tmpl w:val="1D14F070"/>
    <w:lvl w:ilvl="0" w:tplc="1E3EB8A0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178422170">
    <w:abstractNumId w:val="1"/>
  </w:num>
  <w:num w:numId="2" w16cid:durableId="106098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D2"/>
    <w:rsid w:val="00053F6A"/>
    <w:rsid w:val="00083B53"/>
    <w:rsid w:val="00085677"/>
    <w:rsid w:val="00096367"/>
    <w:rsid w:val="000D5170"/>
    <w:rsid w:val="00161B9F"/>
    <w:rsid w:val="001A0581"/>
    <w:rsid w:val="00207888"/>
    <w:rsid w:val="002227B0"/>
    <w:rsid w:val="00232DC9"/>
    <w:rsid w:val="00243902"/>
    <w:rsid w:val="00271B1D"/>
    <w:rsid w:val="0035461B"/>
    <w:rsid w:val="0045575F"/>
    <w:rsid w:val="00474B18"/>
    <w:rsid w:val="00585CC2"/>
    <w:rsid w:val="0059350A"/>
    <w:rsid w:val="006E4CA4"/>
    <w:rsid w:val="00714067"/>
    <w:rsid w:val="007260A0"/>
    <w:rsid w:val="007651DD"/>
    <w:rsid w:val="00817458"/>
    <w:rsid w:val="00845313"/>
    <w:rsid w:val="00871E2A"/>
    <w:rsid w:val="00936A70"/>
    <w:rsid w:val="00956F96"/>
    <w:rsid w:val="00965FCF"/>
    <w:rsid w:val="0097655C"/>
    <w:rsid w:val="009A4D97"/>
    <w:rsid w:val="009C7B10"/>
    <w:rsid w:val="009F5D9D"/>
    <w:rsid w:val="00A6374A"/>
    <w:rsid w:val="00AA1A7B"/>
    <w:rsid w:val="00AC0AD2"/>
    <w:rsid w:val="00B457EA"/>
    <w:rsid w:val="00BE707C"/>
    <w:rsid w:val="00BF78B8"/>
    <w:rsid w:val="00C344E9"/>
    <w:rsid w:val="00C87623"/>
    <w:rsid w:val="00D069E2"/>
    <w:rsid w:val="00D17666"/>
    <w:rsid w:val="00D373A7"/>
    <w:rsid w:val="00E0590A"/>
    <w:rsid w:val="00E0677D"/>
    <w:rsid w:val="00F15B66"/>
    <w:rsid w:val="00F17B1B"/>
    <w:rsid w:val="00F219BF"/>
    <w:rsid w:val="00F2289B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E102"/>
  <w15:chartTrackingRefBased/>
  <w15:docId w15:val="{66F5F621-5C4A-4676-B6D0-9016CCF2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AC0AD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AC0AD2"/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AC0AD2"/>
    <w:pPr>
      <w:widowControl w:val="0"/>
      <w:autoSpaceDE w:val="0"/>
      <w:autoSpaceDN w:val="0"/>
      <w:spacing w:after="0" w:line="240" w:lineRule="auto"/>
      <w:ind w:left="347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rastasis1">
    <w:name w:val="Įprastasis1"/>
    <w:rsid w:val="00AC0AD2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kern w:val="0"/>
      <w:sz w:val="24"/>
      <w:szCs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32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2DC9"/>
  </w:style>
  <w:style w:type="paragraph" w:styleId="Porat">
    <w:name w:val="footer"/>
    <w:basedOn w:val="prastasis"/>
    <w:link w:val="PoratDiagrama"/>
    <w:uiPriority w:val="99"/>
    <w:unhideWhenUsed/>
    <w:rsid w:val="00232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32DC9"/>
  </w:style>
  <w:style w:type="paragraph" w:styleId="Pataisymai">
    <w:name w:val="Revision"/>
    <w:hidden/>
    <w:uiPriority w:val="99"/>
    <w:semiHidden/>
    <w:rsid w:val="00232DC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32D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2D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2D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2D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3669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Tamošaitienė</dc:creator>
  <cp:keywords/>
  <dc:description/>
  <cp:lastModifiedBy>Aušra Sidaraitė-Markevičienė</cp:lastModifiedBy>
  <cp:revision>9</cp:revision>
  <dcterms:created xsi:type="dcterms:W3CDTF">2024-11-13T08:52:00Z</dcterms:created>
  <dcterms:modified xsi:type="dcterms:W3CDTF">2024-12-20T11:20:00Z</dcterms:modified>
</cp:coreProperties>
</file>