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2B72BD16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55378E" w:rsidRPr="0055378E">
        <w:rPr>
          <w:rFonts w:ascii="Times New Roman" w:hAnsi="Times New Roman" w:cs="Times New Roman"/>
          <w:bCs/>
          <w:sz w:val="32"/>
          <w:szCs w:val="32"/>
          <w:lang w:val="lt-LT"/>
        </w:rPr>
        <w:t xml:space="preserve">LOR vaizdo endoskopinė </w:t>
      </w:r>
      <w:proofErr w:type="gramStart"/>
      <w:r w:rsidR="0055378E" w:rsidRPr="0055378E">
        <w:rPr>
          <w:rFonts w:ascii="Times New Roman" w:hAnsi="Times New Roman" w:cs="Times New Roman"/>
          <w:bCs/>
          <w:sz w:val="32"/>
          <w:szCs w:val="32"/>
          <w:lang w:val="lt-LT"/>
        </w:rPr>
        <w:t>sistem</w:t>
      </w:r>
      <w:r w:rsidR="0055378E">
        <w:rPr>
          <w:rFonts w:ascii="Times New Roman" w:hAnsi="Times New Roman" w:cs="Times New Roman"/>
          <w:bCs/>
          <w:sz w:val="32"/>
          <w:szCs w:val="32"/>
          <w:lang w:val="lt-LT"/>
        </w:rPr>
        <w:t>A</w:t>
      </w:r>
      <w:r w:rsidRPr="0055378E">
        <w:rPr>
          <w:rFonts w:ascii="Times New Roman" w:hAnsi="Times New Roman" w:cs="Times New Roman"/>
          <w:sz w:val="32"/>
          <w:szCs w:val="32"/>
        </w:rPr>
        <w:t>“</w:t>
      </w:r>
      <w:r w:rsidR="0055378E">
        <w:rPr>
          <w:rFonts w:ascii="Times New Roman" w:hAnsi="Times New Roman" w:cs="Times New Roman"/>
          <w:sz w:val="32"/>
          <w:szCs w:val="32"/>
        </w:rPr>
        <w:t xml:space="preserve"> </w:t>
      </w:r>
      <w:r w:rsidRPr="0055378E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D90EB7">
        <w:rPr>
          <w:rFonts w:ascii="Times New Roman" w:hAnsi="Times New Roman" w:cs="Times New Roman"/>
          <w:sz w:val="32"/>
          <w:szCs w:val="32"/>
        </w:rPr>
        <w:t>viešajame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25C23AB8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sausio</w:t>
      </w:r>
      <w:proofErr w:type="spellEnd"/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proofErr w:type="gram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67B106A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53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45AB" w14:textId="77777777" w:rsidR="00145DD3" w:rsidRDefault="00145DD3" w:rsidP="00210C8D">
      <w:pPr>
        <w:spacing w:after="0" w:line="240" w:lineRule="auto"/>
      </w:pPr>
      <w:r>
        <w:separator/>
      </w:r>
    </w:p>
  </w:endnote>
  <w:endnote w:type="continuationSeparator" w:id="0">
    <w:p w14:paraId="12E3FF8B" w14:textId="77777777" w:rsidR="00145DD3" w:rsidRDefault="00145DD3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018D" w14:textId="77777777" w:rsidR="00145DD3" w:rsidRDefault="00145DD3" w:rsidP="00210C8D">
      <w:pPr>
        <w:spacing w:after="0" w:line="240" w:lineRule="auto"/>
      </w:pPr>
      <w:r>
        <w:separator/>
      </w:r>
    </w:p>
  </w:footnote>
  <w:footnote w:type="continuationSeparator" w:id="0">
    <w:p w14:paraId="2C89B730" w14:textId="77777777" w:rsidR="00145DD3" w:rsidRDefault="00145DD3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45DD3"/>
    <w:rsid w:val="001E75AC"/>
    <w:rsid w:val="00210C8D"/>
    <w:rsid w:val="0021643A"/>
    <w:rsid w:val="00253522"/>
    <w:rsid w:val="002C6573"/>
    <w:rsid w:val="002E2372"/>
    <w:rsid w:val="003405A0"/>
    <w:rsid w:val="00340AD5"/>
    <w:rsid w:val="004115A6"/>
    <w:rsid w:val="004E7075"/>
    <w:rsid w:val="0055378E"/>
    <w:rsid w:val="005A6B92"/>
    <w:rsid w:val="005A75CF"/>
    <w:rsid w:val="00631457"/>
    <w:rsid w:val="00637F3B"/>
    <w:rsid w:val="00742854"/>
    <w:rsid w:val="00794A6F"/>
    <w:rsid w:val="009B3D73"/>
    <w:rsid w:val="00B44D05"/>
    <w:rsid w:val="00B87A9D"/>
    <w:rsid w:val="00C370FE"/>
    <w:rsid w:val="00C3740D"/>
    <w:rsid w:val="00C76F48"/>
    <w:rsid w:val="00C81F69"/>
    <w:rsid w:val="00D556F7"/>
    <w:rsid w:val="00D62B49"/>
    <w:rsid w:val="00D90EB7"/>
    <w:rsid w:val="00E36850"/>
    <w:rsid w:val="00EE22E5"/>
    <w:rsid w:val="00F5086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2026-01-15T19:53:00Z</dcterms:created>
  <dcterms:modified xsi:type="dcterms:W3CDTF">2026-01-15T19:54:00Z</dcterms:modified>
</cp:coreProperties>
</file>