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11A8" w14:textId="1EC93812" w:rsidR="003D5DAC" w:rsidRDefault="003D5DAC" w:rsidP="00FC3D24">
      <w:pPr>
        <w:widowControl w:val="0"/>
        <w:spacing w:after="540" w:line="233" w:lineRule="auto"/>
        <w:jc w:val="center"/>
        <w:rPr>
          <w:rFonts w:ascii="Times New Roman" w:eastAsia="Times New Roman" w:hAnsi="Times New Roman" w:cs="Times New Roman"/>
          <w:b/>
          <w:bCs/>
          <w:color w:val="auto"/>
          <w:lang w:eastAsia="lt-LT" w:bidi="lt-LT"/>
        </w:rPr>
      </w:pPr>
      <w:r>
        <w:rPr>
          <w:noProof/>
        </w:rPr>
        <w:drawing>
          <wp:inline distT="0" distB="0" distL="0" distR="0" wp14:anchorId="2878BC71" wp14:editId="332B0DEE">
            <wp:extent cx="1466850" cy="395740"/>
            <wp:effectExtent l="0" t="0" r="0" b="4445"/>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046" cy="399300"/>
                    </a:xfrm>
                    <a:prstGeom prst="rect">
                      <a:avLst/>
                    </a:prstGeom>
                    <a:noFill/>
                    <a:ln>
                      <a:noFill/>
                    </a:ln>
                  </pic:spPr>
                </pic:pic>
              </a:graphicData>
            </a:graphic>
          </wp:inline>
        </w:drawing>
      </w:r>
    </w:p>
    <w:p w14:paraId="62768DEA" w14:textId="77777777" w:rsidR="000A5D2D" w:rsidRDefault="000A5D2D" w:rsidP="000A5D2D">
      <w:pPr>
        <w:tabs>
          <w:tab w:val="right" w:leader="underscore" w:pos="8505"/>
        </w:tabs>
        <w:spacing w:line="300" w:lineRule="exact"/>
        <w:ind w:right="650"/>
        <w:jc w:val="center"/>
        <w:rPr>
          <w:rFonts w:ascii="Times New Roman" w:hAnsi="Times New Roman" w:cs="Times New Roman"/>
          <w:b/>
        </w:rPr>
      </w:pPr>
      <w:bookmarkStart w:id="0" w:name="_Hlk206056079"/>
      <w:r w:rsidRPr="00C21770">
        <w:rPr>
          <w:rFonts w:ascii="Times New Roman" w:hAnsi="Times New Roman" w:cs="Times New Roman"/>
          <w:b/>
        </w:rPr>
        <w:t>AB LIETUVOS RADIJO IR TELEVIZIJOS CENTRAS</w:t>
      </w:r>
    </w:p>
    <w:bookmarkEnd w:id="0"/>
    <w:p w14:paraId="4BC72D8B" w14:textId="77777777" w:rsidR="003D5DAC" w:rsidRDefault="003D5DAC" w:rsidP="00FC3D24">
      <w:pPr>
        <w:widowControl w:val="0"/>
        <w:jc w:val="center"/>
        <w:rPr>
          <w:rFonts w:ascii="Times New Roman" w:hAnsi="Times New Roman" w:cs="Times New Roman"/>
          <w:b/>
          <w:bCs/>
        </w:rPr>
      </w:pPr>
    </w:p>
    <w:p w14:paraId="1AFB9C68" w14:textId="790EE72A"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5F4B3956"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F2034E">
        <w:trPr>
          <w:trHeight w:hRule="exact" w:val="3164"/>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1FA3585"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C634C" w:rsidRPr="00EC0CE9">
              <w:rPr>
                <w:rFonts w:ascii="Times New Roman" w:eastAsia="Calibri" w:hAnsi="Times New Roman" w:cs="Times New Roman"/>
              </w:rPr>
              <w:t>AB Lietuvos radijo ir televizijos centras</w:t>
            </w:r>
            <w:r w:rsidR="00AC634C" w:rsidRPr="00EC0CE9">
              <w:rPr>
                <w:rFonts w:ascii="Times New Roman" w:hAnsi="Times New Roman" w:cs="Times New Roman"/>
              </w:rPr>
              <w:t xml:space="preserve">, juridinio asmens kodas </w:t>
            </w:r>
            <w:r w:rsidR="00AC634C" w:rsidRPr="00EC0CE9">
              <w:rPr>
                <w:rFonts w:ascii="Times New Roman" w:eastAsia="Calibri" w:hAnsi="Times New Roman" w:cs="Times New Roman"/>
              </w:rPr>
              <w:t>120505210</w:t>
            </w:r>
            <w:r w:rsidR="00AC634C" w:rsidRPr="00EC0CE9">
              <w:rPr>
                <w:rFonts w:ascii="Times New Roman" w:hAnsi="Times New Roman" w:cs="Times New Roman"/>
              </w:rPr>
              <w:t xml:space="preserve">, adresas </w:t>
            </w:r>
            <w:r w:rsidR="00AC634C" w:rsidRPr="00EC0CE9">
              <w:rPr>
                <w:rFonts w:ascii="Times New Roman" w:eastAsia="Calibri" w:hAnsi="Times New Roman" w:cs="Times New Roman"/>
              </w:rPr>
              <w:t>Sausio 13-osios g. 10, LT-04347</w:t>
            </w:r>
            <w:r w:rsidR="00AC634C" w:rsidRPr="00EC0CE9">
              <w:rPr>
                <w:rFonts w:ascii="Times New Roman" w:hAnsi="Times New Roman" w:cs="Times New Roman"/>
              </w:rPr>
              <w:t>, Vilnius</w:t>
            </w:r>
            <w:r w:rsidR="00AC634C" w:rsidRPr="00EC0CE9">
              <w:rPr>
                <w:rFonts w:ascii="Times New Roman" w:eastAsia="Calibri" w:hAnsi="Times New Roman" w:cs="Times New Roman"/>
              </w:rPr>
              <w:t>.</w:t>
            </w:r>
          </w:p>
          <w:p w14:paraId="6E30B6E8" w14:textId="3D6A1A7A" w:rsidR="0070373B" w:rsidRPr="00D26B3B"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D26B3B">
              <w:rPr>
                <w:rFonts w:ascii="Times New Roman" w:eastAsia="Arial" w:hAnsi="Times New Roman" w:cs="Times New Roman"/>
                <w:color w:val="auto"/>
                <w:lang w:eastAsia="lt-LT" w:bidi="lt-LT"/>
              </w:rPr>
              <w:t>B</w:t>
            </w:r>
            <w:r w:rsidR="00D26B3B" w:rsidRPr="00D26B3B">
              <w:rPr>
                <w:rFonts w:asciiTheme="majorBidi" w:hAnsiTheme="majorBidi" w:cstheme="majorBidi"/>
                <w:kern w:val="2"/>
                <w:lang w:eastAsia="ar-SA"/>
              </w:rPr>
              <w:t xml:space="preserve">uitinės chemijos ir valymo reikmenys kartu su dozavimo įrangos panauda </w:t>
            </w:r>
            <w:r w:rsidR="00D26B3B">
              <w:rPr>
                <w:rFonts w:asciiTheme="majorBidi" w:hAnsiTheme="majorBidi" w:cstheme="majorBidi"/>
                <w:kern w:val="2"/>
                <w:lang w:eastAsia="ar-SA"/>
              </w:rPr>
              <w:t>(tolaiu - Prekės).</w:t>
            </w:r>
          </w:p>
          <w:p w14:paraId="435BE64C" w14:textId="09CB45F3"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įvertinti numatomų įsigyti prekių atitiktį pateiktai Techninei specifikacijai</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FootnoteReference"/>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4EDCD99F" w:rsidR="00094A2E" w:rsidRPr="00C82B66" w:rsidRDefault="007F444B" w:rsidP="00F2034E">
            <w:pPr>
              <w:ind w:right="135"/>
              <w:jc w:val="both"/>
              <w:rPr>
                <w:rFonts w:ascii="Times New Roman" w:eastAsia="Times New Roman" w:hAnsi="Times New Roman" w:cs="Times New Roman"/>
              </w:rPr>
            </w:pPr>
            <w:r w:rsidRPr="00EC0CE9">
              <w:rPr>
                <w:rFonts w:ascii="Times New Roman" w:eastAsia="Calibri" w:hAnsi="Times New Roman" w:cs="Times New Roman"/>
              </w:rPr>
              <w:t>AB Lietuvos radijo ir televizijos centras</w:t>
            </w:r>
            <w:r w:rsidR="00094A2E" w:rsidRPr="00C82B66">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P</w:t>
            </w:r>
            <w:r w:rsidR="00094A2E" w:rsidRPr="00C82B66">
              <w:rPr>
                <w:rFonts w:ascii="Times New Roman" w:hAnsi="Times New Roman" w:cs="Times New Roman"/>
                <w:bdr w:val="none" w:sz="0" w:space="0" w:color="auto" w:frame="1"/>
              </w:rPr>
              <w:t xml:space="preserve">irkimų skyriaus </w:t>
            </w:r>
            <w:r>
              <w:rPr>
                <w:rFonts w:ascii="Times New Roman" w:hAnsi="Times New Roman" w:cs="Times New Roman"/>
                <w:bdr w:val="none" w:sz="0" w:space="0" w:color="auto" w:frame="1"/>
              </w:rPr>
              <w:t xml:space="preserve">Pirkimų </w:t>
            </w:r>
            <w:r w:rsidR="004E1CA5">
              <w:rPr>
                <w:rFonts w:ascii="Times New Roman" w:hAnsi="Times New Roman" w:cs="Times New Roman"/>
                <w:bdr w:val="none" w:sz="0" w:space="0" w:color="auto" w:frame="1"/>
              </w:rPr>
              <w:t xml:space="preserve">projektų </w:t>
            </w:r>
            <w:r>
              <w:rPr>
                <w:rFonts w:ascii="Times New Roman" w:hAnsi="Times New Roman" w:cs="Times New Roman"/>
                <w:bdr w:val="none" w:sz="0" w:space="0" w:color="auto" w:frame="1"/>
              </w:rPr>
              <w:t>vadovė Iligija Vaščiūnienė</w:t>
            </w:r>
          </w:p>
          <w:p w14:paraId="3816A43C" w14:textId="68D3BD3B" w:rsidR="004464EB" w:rsidRPr="00C82B66" w:rsidRDefault="00094A2E"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 xml:space="preserve"> </w:t>
            </w:r>
            <w:hyperlink r:id="rId8" w:history="1">
              <w:r w:rsidR="007F444B" w:rsidRPr="007F444B">
                <w:rPr>
                  <w:rStyle w:val="Hyperlink"/>
                  <w:rFonts w:ascii="Times New Roman" w:eastAsia="Times New Roman" w:hAnsi="Times New Roman" w:cs="Times New Roman"/>
                  <w:noProof/>
                  <w:color w:val="auto"/>
                  <w:u w:val="none"/>
                  <w:lang w:eastAsia="lt-LT"/>
                </w:rPr>
                <w:t>i.vasciuniene@telecentras</w:t>
              </w:r>
            </w:hyperlink>
            <w:r w:rsidR="007F444B" w:rsidRPr="007F444B">
              <w:rPr>
                <w:rFonts w:ascii="Times New Roman" w:eastAsia="Times New Roman" w:hAnsi="Times New Roman" w:cs="Times New Roman"/>
                <w:noProof/>
                <w:color w:val="auto"/>
                <w:lang w:eastAsia="lt-LT"/>
              </w:rPr>
              <w:t>.</w:t>
            </w:r>
            <w:r w:rsidRPr="007F444B">
              <w:rPr>
                <w:rFonts w:ascii="Times New Roman" w:eastAsia="Times New Roman" w:hAnsi="Times New Roman" w:cs="Times New Roman"/>
                <w:noProof/>
                <w:color w:val="auto"/>
                <w:lang w:eastAsia="lt-LT"/>
              </w:rPr>
              <w:t>lt</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w:t>
            </w:r>
            <w:r w:rsidRPr="00C82B66">
              <w:rPr>
                <w:rFonts w:cs="Times New Roman"/>
                <w:sz w:val="24"/>
                <w:szCs w:val="24"/>
                <w:lang w:val="lt-LT"/>
              </w:rPr>
              <w:lastRenderedPageBreak/>
              <w:t xml:space="preserve">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6287F1A4" w14:textId="68AA5DEF" w:rsidR="00E8375F" w:rsidRDefault="000E3A13" w:rsidP="001D1125">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w:t>
      </w:r>
      <w:r w:rsidR="009F45B0">
        <w:rPr>
          <w:rFonts w:ascii="Times New Roman" w:eastAsia="Arial" w:hAnsi="Times New Roman" w:cs="Times New Roman"/>
          <w:lang w:eastAsia="lt-LT" w:bidi="lt-LT"/>
        </w:rPr>
        <w:t>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D26B3B">
        <w:rPr>
          <w:rFonts w:ascii="Times New Roman" w:eastAsia="Arial" w:hAnsi="Times New Roman" w:cs="Times New Roman"/>
          <w:lang w:eastAsia="lt-LT" w:bidi="lt-LT"/>
        </w:rPr>
        <w:t>;</w:t>
      </w:r>
      <w:r w:rsidR="005F4542">
        <w:rPr>
          <w:rFonts w:ascii="Times New Roman" w:eastAsia="Arial" w:hAnsi="Times New Roman" w:cs="Times New Roman"/>
          <w:lang w:eastAsia="lt-LT" w:bidi="lt-LT"/>
        </w:rPr>
        <w:t xml:space="preserve"> </w:t>
      </w:r>
    </w:p>
    <w:p w14:paraId="1712D603" w14:textId="1F8F6B99" w:rsidR="005F4542" w:rsidRDefault="005F4542"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771965">
        <w:rPr>
          <w:rFonts w:ascii="Times New Roman" w:eastAsia="Arial" w:hAnsi="Times New Roman" w:cs="Times New Roman"/>
          <w:lang w:eastAsia="lt-LT" w:bidi="lt-LT"/>
        </w:rPr>
        <w:t xml:space="preserve"> </w:t>
      </w:r>
      <w:r w:rsidR="003F7A41">
        <w:rPr>
          <w:rFonts w:ascii="Times New Roman" w:eastAsia="Arial" w:hAnsi="Times New Roman" w:cs="Times New Roman"/>
          <w:lang w:eastAsia="lt-LT" w:bidi="lt-LT"/>
        </w:rPr>
        <w:t>T</w:t>
      </w:r>
      <w:r w:rsidR="003F7A41" w:rsidRPr="00E8375F">
        <w:rPr>
          <w:rFonts w:ascii="Times New Roman" w:eastAsia="Arial" w:hAnsi="Times New Roman" w:cs="Times New Roman"/>
          <w:lang w:eastAsia="lt-LT" w:bidi="lt-LT"/>
        </w:rPr>
        <w:t>echninė</w:t>
      </w:r>
      <w:r w:rsidR="00D26B3B">
        <w:rPr>
          <w:rFonts w:ascii="Times New Roman" w:eastAsia="Arial" w:hAnsi="Times New Roman" w:cs="Times New Roman"/>
          <w:lang w:eastAsia="lt-LT" w:bidi="lt-LT"/>
        </w:rPr>
        <w:t>s</w:t>
      </w:r>
      <w:r w:rsidR="003F7A41" w:rsidRPr="00E8375F">
        <w:rPr>
          <w:rFonts w:ascii="Times New Roman" w:eastAsia="Arial" w:hAnsi="Times New Roman" w:cs="Times New Roman"/>
          <w:lang w:eastAsia="lt-LT" w:bidi="lt-LT"/>
        </w:rPr>
        <w:t xml:space="preserve"> specifikacij</w:t>
      </w:r>
      <w:r w:rsidR="00D26B3B">
        <w:rPr>
          <w:rFonts w:ascii="Times New Roman" w:eastAsia="Arial" w:hAnsi="Times New Roman" w:cs="Times New Roman"/>
          <w:lang w:eastAsia="lt-LT" w:bidi="lt-LT"/>
        </w:rPr>
        <w:t>os priedas;</w:t>
      </w:r>
      <w:r w:rsidR="003F7A41">
        <w:rPr>
          <w:rFonts w:ascii="Times New Roman" w:eastAsia="Arial" w:hAnsi="Times New Roman" w:cs="Times New Roman"/>
          <w:lang w:eastAsia="lt-LT" w:bidi="lt-LT"/>
        </w:rPr>
        <w:t xml:space="preserve"> </w:t>
      </w:r>
    </w:p>
    <w:p w14:paraId="48A8F965" w14:textId="035C4BF5" w:rsidR="005F4542" w:rsidRDefault="005F4542" w:rsidP="005F4542">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3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003F7A41">
        <w:rPr>
          <w:rFonts w:ascii="Times New Roman" w:eastAsia="Arial" w:hAnsi="Times New Roman" w:cs="Times New Roman"/>
          <w:color w:val="auto"/>
          <w:lang w:eastAsia="lt-LT" w:bidi="lt-LT"/>
        </w:rPr>
        <w:t xml:space="preserve"> Kvalifikacijos reikalavimai;</w:t>
      </w:r>
    </w:p>
    <w:p w14:paraId="75F89059" w14:textId="1F8CA59B" w:rsidR="005F4542" w:rsidRDefault="005F4542"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5F4542">
        <w:rPr>
          <w:rFonts w:ascii="Times New Roman" w:eastAsia="Arial" w:hAnsi="Times New Roman" w:cs="Times New Roman"/>
          <w:lang w:eastAsia="lt-LT" w:bidi="lt-LT"/>
        </w:rPr>
        <w:t xml:space="preserve"> </w:t>
      </w:r>
      <w:r w:rsidR="00D26B3B">
        <w:rPr>
          <w:rFonts w:ascii="Times New Roman" w:eastAsia="Arial" w:hAnsi="Times New Roman" w:cs="Times New Roman"/>
          <w:lang w:eastAsia="lt-LT" w:bidi="lt-LT"/>
        </w:rPr>
        <w:t>Pasiūlymo forma</w:t>
      </w:r>
      <w:r w:rsidR="003F7A41">
        <w:rPr>
          <w:rFonts w:ascii="Times New Roman" w:eastAsia="Arial" w:hAnsi="Times New Roman" w:cs="Times New Roman"/>
          <w:lang w:eastAsia="lt-LT" w:bidi="lt-LT"/>
        </w:rPr>
        <w:t>;</w:t>
      </w:r>
    </w:p>
    <w:p w14:paraId="3629DBA6" w14:textId="46691DDF" w:rsidR="00D26B3B" w:rsidRDefault="00D26B3B"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5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Pr>
          <w:rFonts w:ascii="Times New Roman" w:eastAsia="Arial" w:hAnsi="Times New Roman" w:cs="Times New Roman"/>
          <w:color w:val="auto"/>
          <w:lang w:eastAsia="lt-LT" w:bidi="lt-LT"/>
        </w:rPr>
        <w:t xml:space="preserve"> Siūlomų prekių kainų lentelė; </w:t>
      </w:r>
    </w:p>
    <w:p w14:paraId="3B9D9F97" w14:textId="62817686" w:rsidR="008F65A7" w:rsidRDefault="00D26B3B"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6</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2157B4" w:rsidRPr="00771965">
        <w:rPr>
          <w:rFonts w:ascii="Times New Roman" w:eastAsia="Arial" w:hAnsi="Times New Roman" w:cs="Times New Roman"/>
          <w:lang w:eastAsia="lt-LT" w:bidi="lt-LT"/>
        </w:rPr>
        <w:t>Klausimai tiekėjams</w:t>
      </w:r>
      <w:r w:rsidR="003F7A41">
        <w:rPr>
          <w:rFonts w:ascii="Times New Roman" w:eastAsia="Arial" w:hAnsi="Times New Roman" w:cs="Times New Roman"/>
          <w:lang w:eastAsia="lt-LT" w:bidi="lt-LT"/>
        </w:rPr>
        <w:t>.</w:t>
      </w:r>
    </w:p>
    <w:p w14:paraId="17D9259D" w14:textId="77777777" w:rsidR="002B4283" w:rsidRDefault="002B4283" w:rsidP="002B4283">
      <w:pPr>
        <w:pStyle w:val="BodyText"/>
        <w:tabs>
          <w:tab w:val="left" w:pos="1272"/>
        </w:tabs>
        <w:spacing w:line="240" w:lineRule="auto"/>
        <w:ind w:left="580"/>
        <w:jc w:val="both"/>
      </w:pPr>
    </w:p>
    <w:p w14:paraId="303F366B" w14:textId="319C0C95" w:rsidR="00EB414B" w:rsidRPr="003D5DAC" w:rsidRDefault="008F65A7" w:rsidP="00632F07">
      <w:pPr>
        <w:pStyle w:val="Body2"/>
        <w:ind w:left="720"/>
        <w:rPr>
          <w:rFonts w:cs="Times New Roman"/>
          <w:lang w:val="lt-LT"/>
        </w:rPr>
      </w:pPr>
      <w:r w:rsidRPr="00B56BE6">
        <w:rPr>
          <w:sz w:val="24"/>
          <w:szCs w:val="24"/>
          <w:lang w:val="lt-LT"/>
        </w:rPr>
        <w:tab/>
      </w:r>
    </w:p>
    <w:sectPr w:rsidR="00EB414B" w:rsidRPr="003D5DAC">
      <w:headerReference w:type="even" r:id="rId9"/>
      <w:headerReference w:type="default" r:id="rId10"/>
      <w:headerReference w:type="firs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A101E" w14:textId="77777777" w:rsidR="003C4B5C" w:rsidRDefault="003C4B5C" w:rsidP="00E13350">
      <w:r>
        <w:separator/>
      </w:r>
    </w:p>
  </w:endnote>
  <w:endnote w:type="continuationSeparator" w:id="0">
    <w:p w14:paraId="77825B84" w14:textId="77777777" w:rsidR="003C4B5C" w:rsidRDefault="003C4B5C"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6AEE" w14:textId="77777777" w:rsidR="003C4B5C" w:rsidRDefault="003C4B5C" w:rsidP="00E13350">
      <w:r>
        <w:separator/>
      </w:r>
    </w:p>
  </w:footnote>
  <w:footnote w:type="continuationSeparator" w:id="0">
    <w:p w14:paraId="3938ACEF" w14:textId="77777777" w:rsidR="003C4B5C" w:rsidRDefault="003C4B5C" w:rsidP="00E13350">
      <w:r>
        <w:continuationSeparator/>
      </w:r>
    </w:p>
  </w:footnote>
  <w:footnote w:id="1">
    <w:p w14:paraId="6BEE8CE6" w14:textId="77777777" w:rsidR="00094A2E" w:rsidRDefault="00094A2E" w:rsidP="00094A2E">
      <w:pPr>
        <w:pStyle w:val="FootnoteText"/>
      </w:pPr>
      <w:r>
        <w:rPr>
          <w:rStyle w:val="FootnoteReference"/>
        </w:rPr>
        <w:footnoteRef/>
      </w:r>
      <w:r w:rsidRPr="003D5DAC">
        <w:rPr>
          <w:lang w:val="fr-FR"/>
        </w:rPr>
        <w:t xml:space="preserve"> </w:t>
      </w:r>
      <w:r w:rsidRPr="006F4120">
        <w:rPr>
          <w:sz w:val="18"/>
          <w:szCs w:val="18"/>
          <w:lang w:val="lt-LT"/>
        </w:rPr>
        <w:t xml:space="preserve">Internetinė prieiga: </w:t>
      </w:r>
      <w:hyperlink r:id="rId1" w:history="1">
        <w:r w:rsidRPr="006F4120">
          <w:rPr>
            <w:rStyle w:val="Hyperlink"/>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DF8E" w14:textId="77777777" w:rsidR="002E5EEA" w:rsidRDefault="002E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622"/>
    <w:rsid w:val="000A3CF5"/>
    <w:rsid w:val="000A5D2D"/>
    <w:rsid w:val="000B39FF"/>
    <w:rsid w:val="000C4418"/>
    <w:rsid w:val="000E0185"/>
    <w:rsid w:val="000E3A13"/>
    <w:rsid w:val="000F1467"/>
    <w:rsid w:val="000F30D2"/>
    <w:rsid w:val="000F5440"/>
    <w:rsid w:val="00101539"/>
    <w:rsid w:val="0010553A"/>
    <w:rsid w:val="00116E0B"/>
    <w:rsid w:val="00121EE2"/>
    <w:rsid w:val="00125413"/>
    <w:rsid w:val="00131DBE"/>
    <w:rsid w:val="001405F6"/>
    <w:rsid w:val="00142207"/>
    <w:rsid w:val="00143DA7"/>
    <w:rsid w:val="00145CFE"/>
    <w:rsid w:val="00147098"/>
    <w:rsid w:val="00147189"/>
    <w:rsid w:val="001518C8"/>
    <w:rsid w:val="0016196C"/>
    <w:rsid w:val="00166D8F"/>
    <w:rsid w:val="00171F56"/>
    <w:rsid w:val="001724D1"/>
    <w:rsid w:val="00173098"/>
    <w:rsid w:val="0018095E"/>
    <w:rsid w:val="00187AFC"/>
    <w:rsid w:val="001934D5"/>
    <w:rsid w:val="001938B9"/>
    <w:rsid w:val="00194A4E"/>
    <w:rsid w:val="00195BDF"/>
    <w:rsid w:val="00197BCD"/>
    <w:rsid w:val="001B7E38"/>
    <w:rsid w:val="001C3BC8"/>
    <w:rsid w:val="001D1125"/>
    <w:rsid w:val="001D2794"/>
    <w:rsid w:val="001D7928"/>
    <w:rsid w:val="001E35BA"/>
    <w:rsid w:val="0021480F"/>
    <w:rsid w:val="002157B4"/>
    <w:rsid w:val="00223280"/>
    <w:rsid w:val="00224F7C"/>
    <w:rsid w:val="002309D7"/>
    <w:rsid w:val="00234242"/>
    <w:rsid w:val="00237C65"/>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E5EEA"/>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4B5C"/>
    <w:rsid w:val="003C5D96"/>
    <w:rsid w:val="003D5DAC"/>
    <w:rsid w:val="003D6FA0"/>
    <w:rsid w:val="003E2EDA"/>
    <w:rsid w:val="003E4602"/>
    <w:rsid w:val="003F1BBE"/>
    <w:rsid w:val="003F696A"/>
    <w:rsid w:val="003F7A41"/>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A5C23"/>
    <w:rsid w:val="004C4B97"/>
    <w:rsid w:val="004E015F"/>
    <w:rsid w:val="004E1CA5"/>
    <w:rsid w:val="004F1573"/>
    <w:rsid w:val="004F387A"/>
    <w:rsid w:val="005206C7"/>
    <w:rsid w:val="005230C6"/>
    <w:rsid w:val="00523DDA"/>
    <w:rsid w:val="00544544"/>
    <w:rsid w:val="00547D44"/>
    <w:rsid w:val="00554DCD"/>
    <w:rsid w:val="00557D68"/>
    <w:rsid w:val="0056140C"/>
    <w:rsid w:val="0056222F"/>
    <w:rsid w:val="0056535E"/>
    <w:rsid w:val="00571F7C"/>
    <w:rsid w:val="00573EC6"/>
    <w:rsid w:val="0058091F"/>
    <w:rsid w:val="005822BF"/>
    <w:rsid w:val="005876F6"/>
    <w:rsid w:val="00594266"/>
    <w:rsid w:val="00595872"/>
    <w:rsid w:val="005A0330"/>
    <w:rsid w:val="005A1A94"/>
    <w:rsid w:val="005A2083"/>
    <w:rsid w:val="005A25F5"/>
    <w:rsid w:val="005D3AA3"/>
    <w:rsid w:val="005D5847"/>
    <w:rsid w:val="005D767D"/>
    <w:rsid w:val="005D7DEE"/>
    <w:rsid w:val="005F4542"/>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55EE"/>
    <w:rsid w:val="006A74D4"/>
    <w:rsid w:val="006B48ED"/>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1C7A"/>
    <w:rsid w:val="00772F00"/>
    <w:rsid w:val="00773589"/>
    <w:rsid w:val="00773B63"/>
    <w:rsid w:val="00784794"/>
    <w:rsid w:val="00787BAB"/>
    <w:rsid w:val="0079583A"/>
    <w:rsid w:val="007A2673"/>
    <w:rsid w:val="007B2457"/>
    <w:rsid w:val="007B59AC"/>
    <w:rsid w:val="007C5057"/>
    <w:rsid w:val="007C6D99"/>
    <w:rsid w:val="007C777B"/>
    <w:rsid w:val="007E17A4"/>
    <w:rsid w:val="007F444B"/>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E5F37"/>
    <w:rsid w:val="008F65A7"/>
    <w:rsid w:val="009005F2"/>
    <w:rsid w:val="00901062"/>
    <w:rsid w:val="00905C95"/>
    <w:rsid w:val="00905EB9"/>
    <w:rsid w:val="009167D4"/>
    <w:rsid w:val="00921C44"/>
    <w:rsid w:val="009552ED"/>
    <w:rsid w:val="009569B3"/>
    <w:rsid w:val="00961FAF"/>
    <w:rsid w:val="00964739"/>
    <w:rsid w:val="00970073"/>
    <w:rsid w:val="009875A5"/>
    <w:rsid w:val="00994644"/>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D7E3B"/>
    <w:rsid w:val="009E1842"/>
    <w:rsid w:val="009E40DB"/>
    <w:rsid w:val="009E4C31"/>
    <w:rsid w:val="009F29F7"/>
    <w:rsid w:val="009F3F8E"/>
    <w:rsid w:val="009F45B0"/>
    <w:rsid w:val="00A02083"/>
    <w:rsid w:val="00A0571E"/>
    <w:rsid w:val="00A06E90"/>
    <w:rsid w:val="00A07D32"/>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C634C"/>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97375"/>
    <w:rsid w:val="00BC71CD"/>
    <w:rsid w:val="00BD0353"/>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6B3B"/>
    <w:rsid w:val="00D27C7B"/>
    <w:rsid w:val="00D3027B"/>
    <w:rsid w:val="00D3787B"/>
    <w:rsid w:val="00D44475"/>
    <w:rsid w:val="00D44B35"/>
    <w:rsid w:val="00D5600D"/>
    <w:rsid w:val="00D772A7"/>
    <w:rsid w:val="00D81480"/>
    <w:rsid w:val="00D9218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7"/>
    <w:pPr>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607"/>
    <w:pPr>
      <w:ind w:left="720"/>
    </w:pPr>
  </w:style>
  <w:style w:type="paragraph" w:styleId="Title">
    <w:name w:val="Title"/>
    <w:next w:val="Body2"/>
    <w:link w:val="TitleChar"/>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EB414B"/>
    <w:rPr>
      <w:b/>
      <w:bCs/>
    </w:rPr>
  </w:style>
  <w:style w:type="character" w:styleId="Hyperlink">
    <w:name w:val="Hyperlink"/>
    <w:basedOn w:val="DefaultParagraphFont"/>
    <w:uiPriority w:val="99"/>
    <w:unhideWhenUsed/>
    <w:rsid w:val="00EB414B"/>
    <w:rPr>
      <w:color w:val="0000FF"/>
      <w:u w:val="single"/>
    </w:rPr>
  </w:style>
  <w:style w:type="character" w:customStyle="1" w:styleId="Heading10">
    <w:name w:val="Heading #1_"/>
    <w:basedOn w:val="DefaultParagraphFont"/>
    <w:link w:val="Heading11"/>
    <w:qFormat/>
    <w:rsid w:val="00E13350"/>
    <w:rPr>
      <w:rFonts w:ascii="Arial" w:eastAsia="Arial" w:hAnsi="Arial" w:cs="Arial"/>
    </w:rPr>
  </w:style>
  <w:style w:type="character" w:customStyle="1" w:styleId="BodyTextChar">
    <w:name w:val="Body Text Char"/>
    <w:basedOn w:val="DefaultParagraphFont"/>
    <w:link w:val="BodyText"/>
    <w:rsid w:val="00E13350"/>
    <w:rPr>
      <w:rFonts w:ascii="Arial" w:eastAsia="Arial" w:hAnsi="Arial" w:cs="Arial"/>
      <w:sz w:val="20"/>
      <w:szCs w:val="20"/>
    </w:rPr>
  </w:style>
  <w:style w:type="character" w:customStyle="1" w:styleId="Tablecaption">
    <w:name w:val="Table caption_"/>
    <w:basedOn w:val="DefaultParagraphFont"/>
    <w:link w:val="Tablecaption0"/>
    <w:rsid w:val="00E13350"/>
    <w:rPr>
      <w:rFonts w:ascii="Arial" w:eastAsia="Arial" w:hAnsi="Arial" w:cs="Arial"/>
      <w:b/>
      <w:bCs/>
      <w:sz w:val="20"/>
      <w:szCs w:val="20"/>
    </w:rPr>
  </w:style>
  <w:style w:type="paragraph" w:customStyle="1" w:styleId="Heading11">
    <w:name w:val="Heading #1"/>
    <w:basedOn w:val="Normal"/>
    <w:link w:val="Heading10"/>
    <w:qFormat/>
    <w:rsid w:val="00E13350"/>
    <w:pPr>
      <w:widowControl w:val="0"/>
      <w:spacing w:after="540"/>
      <w:ind w:left="4780" w:right="520" w:hanging="2620"/>
      <w:outlineLvl w:val="0"/>
    </w:pPr>
    <w:rPr>
      <w:rFonts w:eastAsia="Arial"/>
      <w:color w:val="auto"/>
      <w:sz w:val="22"/>
      <w:szCs w:val="22"/>
    </w:rPr>
  </w:style>
  <w:style w:type="paragraph" w:styleId="BodyText">
    <w:name w:val="Body Text"/>
    <w:basedOn w:val="Normal"/>
    <w:link w:val="BodyTextChar"/>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DefaultParagraphFont"/>
    <w:uiPriority w:val="99"/>
    <w:semiHidden/>
    <w:rsid w:val="00E13350"/>
    <w:rPr>
      <w:rFonts w:ascii="Arial" w:hAnsi="Arial" w:cs="Arial"/>
      <w:color w:val="000000"/>
      <w:sz w:val="24"/>
      <w:szCs w:val="24"/>
    </w:rPr>
  </w:style>
  <w:style w:type="paragraph" w:customStyle="1" w:styleId="Tablecaption0">
    <w:name w:val="Table caption"/>
    <w:basedOn w:val="Normal"/>
    <w:link w:val="Tablecaption"/>
    <w:rsid w:val="00E13350"/>
    <w:pPr>
      <w:widowControl w:val="0"/>
      <w:jc w:val="center"/>
    </w:pPr>
    <w:rPr>
      <w:rFonts w:eastAsia="Arial"/>
      <w:b/>
      <w:bCs/>
      <w:color w:val="auto"/>
      <w:sz w:val="20"/>
      <w:szCs w:val="20"/>
    </w:rPr>
  </w:style>
  <w:style w:type="character" w:customStyle="1" w:styleId="Footnote">
    <w:name w:val="Footnote_"/>
    <w:basedOn w:val="DefaultParagraphFont"/>
    <w:link w:val="Footnote0"/>
    <w:rsid w:val="00E13350"/>
    <w:rPr>
      <w:rFonts w:ascii="Arial" w:eastAsia="Arial" w:hAnsi="Arial" w:cs="Arial"/>
      <w:sz w:val="18"/>
      <w:szCs w:val="18"/>
    </w:rPr>
  </w:style>
  <w:style w:type="paragraph" w:customStyle="1" w:styleId="Footnote0">
    <w:name w:val="Footnote"/>
    <w:basedOn w:val="Normal"/>
    <w:link w:val="Footnote"/>
    <w:rsid w:val="00E13350"/>
    <w:pPr>
      <w:widowControl w:val="0"/>
    </w:pPr>
    <w:rPr>
      <w:rFonts w:eastAsia="Arial"/>
      <w:color w:val="auto"/>
      <w:sz w:val="18"/>
      <w:szCs w:val="18"/>
    </w:rPr>
  </w:style>
  <w:style w:type="character" w:customStyle="1" w:styleId="Headerorfooter2">
    <w:name w:val="Header or footer (2)_"/>
    <w:basedOn w:val="DefaultParagraphFont"/>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13350"/>
    <w:pPr>
      <w:widowControl w:val="0"/>
    </w:pPr>
    <w:rPr>
      <w:rFonts w:ascii="Times New Roman" w:eastAsia="Times New Roman" w:hAnsi="Times New Roman" w:cs="Times New Roman"/>
      <w:color w:val="auto"/>
      <w:sz w:val="20"/>
      <w:szCs w:val="20"/>
    </w:rPr>
  </w:style>
  <w:style w:type="paragraph" w:styleId="CommentText">
    <w:name w:val="annotation text"/>
    <w:basedOn w:val="Normal"/>
    <w:link w:val="CommentTextChar"/>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8B3196"/>
    <w:rPr>
      <w:rFonts w:ascii="Calibri" w:hAnsi="Calibri"/>
      <w:color w:val="404040" w:themeColor="text1" w:themeTint="BF"/>
      <w:sz w:val="20"/>
      <w:szCs w:val="20"/>
      <w:lang w:val="en-US" w:eastAsia="ja-JP"/>
    </w:rPr>
  </w:style>
  <w:style w:type="character" w:customStyle="1" w:styleId="Heading1Char">
    <w:name w:val="Heading 1 Char"/>
    <w:basedOn w:val="DefaultParagraphFont"/>
    <w:link w:val="Heading1"/>
    <w:uiPriority w:val="9"/>
    <w:rsid w:val="008B3196"/>
    <w:rPr>
      <w:rFonts w:ascii="Calibri" w:hAnsi="Calibri"/>
      <w:b/>
      <w:color w:val="99CCFF"/>
      <w:sz w:val="24"/>
      <w:szCs w:val="20"/>
      <w:lang w:eastAsia="ja-JP"/>
    </w:rPr>
  </w:style>
  <w:style w:type="table" w:styleId="GridTable4-Accent1">
    <w:name w:val="Grid Table 4 Accent 1"/>
    <w:basedOn w:val="TableNorma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8B3196"/>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8B3196"/>
    <w:rPr>
      <w:rFonts w:ascii="Arial" w:hAnsi="Arial" w:cs="Arial"/>
      <w:color w:val="000000"/>
      <w:sz w:val="24"/>
      <w:szCs w:val="24"/>
    </w:rPr>
  </w:style>
  <w:style w:type="character" w:styleId="FootnoteReference">
    <w:name w:val="footnote reference"/>
    <w:basedOn w:val="DefaultParagraphFont"/>
    <w:uiPriority w:val="99"/>
    <w:semiHidden/>
    <w:unhideWhenUsed/>
    <w:rsid w:val="008B3196"/>
    <w:rPr>
      <w:vertAlign w:val="superscript"/>
    </w:rPr>
  </w:style>
  <w:style w:type="table" w:styleId="TableGrid">
    <w:name w:val="Table Grid"/>
    <w:basedOn w:val="TableNorma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22F"/>
    <w:rPr>
      <w:sz w:val="16"/>
      <w:szCs w:val="16"/>
    </w:rPr>
  </w:style>
  <w:style w:type="paragraph" w:styleId="CommentSubject">
    <w:name w:val="annotation subject"/>
    <w:basedOn w:val="CommentText"/>
    <w:next w:val="CommentText"/>
    <w:link w:val="CommentSubjectChar"/>
    <w:uiPriority w:val="99"/>
    <w:semiHidden/>
    <w:unhideWhenUsed/>
    <w:rsid w:val="0056222F"/>
    <w:pPr>
      <w:spacing w:after="0"/>
    </w:pPr>
    <w:rPr>
      <w:rFonts w:ascii="Arial" w:hAnsi="Arial" w:cs="Arial"/>
      <w:b/>
      <w:bCs/>
      <w:color w:val="000000"/>
      <w:lang w:val="lt-LT" w:eastAsia="en-US"/>
    </w:rPr>
  </w:style>
  <w:style w:type="character" w:customStyle="1" w:styleId="CommentSubjectChar">
    <w:name w:val="Comment Subject Char"/>
    <w:basedOn w:val="CommentTextChar"/>
    <w:link w:val="CommentSubject"/>
    <w:uiPriority w:val="99"/>
    <w:semiHidden/>
    <w:rsid w:val="0056222F"/>
    <w:rPr>
      <w:rFonts w:ascii="Arial" w:hAnsi="Arial" w:cs="Arial"/>
      <w:b/>
      <w:bCs/>
      <w:color w:val="000000"/>
      <w:sz w:val="20"/>
      <w:szCs w:val="20"/>
      <w:lang w:val="en-US" w:eastAsia="ja-JP"/>
    </w:rPr>
  </w:style>
  <w:style w:type="character" w:styleId="UnresolvedMention">
    <w:name w:val="Unresolved Mention"/>
    <w:basedOn w:val="DefaultParagraphFont"/>
    <w:uiPriority w:val="99"/>
    <w:semiHidden/>
    <w:unhideWhenUsed/>
    <w:rsid w:val="00234242"/>
    <w:rPr>
      <w:color w:val="605E5C"/>
      <w:shd w:val="clear" w:color="auto" w:fill="E1DFDD"/>
    </w:rPr>
  </w:style>
  <w:style w:type="paragraph" w:styleId="Header">
    <w:name w:val="header"/>
    <w:basedOn w:val="Normal"/>
    <w:link w:val="HeaderChar"/>
    <w:uiPriority w:val="99"/>
    <w:unhideWhenUsed/>
    <w:rsid w:val="00335725"/>
    <w:pPr>
      <w:tabs>
        <w:tab w:val="center" w:pos="4513"/>
        <w:tab w:val="right" w:pos="9026"/>
      </w:tabs>
    </w:pPr>
  </w:style>
  <w:style w:type="character" w:customStyle="1" w:styleId="HeaderChar">
    <w:name w:val="Header Char"/>
    <w:basedOn w:val="DefaultParagraphFont"/>
    <w:link w:val="Header"/>
    <w:uiPriority w:val="99"/>
    <w:rsid w:val="00335725"/>
    <w:rPr>
      <w:rFonts w:ascii="Arial" w:hAnsi="Arial" w:cs="Arial"/>
      <w:color w:val="000000"/>
      <w:sz w:val="24"/>
      <w:szCs w:val="24"/>
    </w:rPr>
  </w:style>
  <w:style w:type="paragraph" w:styleId="Footer">
    <w:name w:val="footer"/>
    <w:basedOn w:val="Normal"/>
    <w:link w:val="FooterChar"/>
    <w:uiPriority w:val="99"/>
    <w:unhideWhenUsed/>
    <w:rsid w:val="00335725"/>
    <w:pPr>
      <w:tabs>
        <w:tab w:val="center" w:pos="4513"/>
        <w:tab w:val="right" w:pos="9026"/>
      </w:tabs>
    </w:pPr>
  </w:style>
  <w:style w:type="character" w:customStyle="1" w:styleId="FooterChar">
    <w:name w:val="Footer Char"/>
    <w:basedOn w:val="DefaultParagraphFont"/>
    <w:link w:val="Footer"/>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ciuniene@tele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530</Words>
  <Characters>3025</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6</cp:revision>
  <dcterms:created xsi:type="dcterms:W3CDTF">2026-01-16T04:03:00Z</dcterms:created>
  <dcterms:modified xsi:type="dcterms:W3CDTF">2026-01-16T04:26:00Z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2025-11-27T15:47:32Z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03f18cf6-7654-4ee5-b783-5d07620f94ea</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