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A44B" w14:textId="77777777" w:rsidR="0009136A" w:rsidRDefault="0009136A">
      <w:pPr>
        <w:spacing w:after="120"/>
        <w:jc w:val="center"/>
        <w:rPr>
          <w:b/>
          <w:color w:val="00B050"/>
          <w:sz w:val="24"/>
          <w:szCs w:val="24"/>
        </w:rPr>
      </w:pPr>
    </w:p>
    <w:p w14:paraId="13FDA44C" w14:textId="77777777" w:rsidR="0009136A" w:rsidRDefault="00D93C51">
      <w:pPr>
        <w:spacing w:after="0" w:line="240" w:lineRule="auto"/>
        <w:jc w:val="center"/>
        <w:rPr>
          <w:b/>
          <w:color w:val="00B050"/>
        </w:rPr>
      </w:pPr>
      <w:r>
        <w:rPr>
          <w:rFonts w:ascii="Times New Roman" w:eastAsia="Times New Roman" w:hAnsi="Times New Roman" w:cs="Times New Roman"/>
          <w:b/>
          <w:noProof/>
          <w:color w:val="000000"/>
        </w:rPr>
        <w:drawing>
          <wp:inline distT="0" distB="0" distL="0" distR="0" wp14:anchorId="13FDA51C" wp14:editId="13FDA51D">
            <wp:extent cx="666750" cy="704850"/>
            <wp:effectExtent l="0" t="0" r="0" b="0"/>
            <wp:docPr id="2" name="image1.png" descr="A logo with a person holding a sti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a person holding a stick&#10;&#10;Description automatically generated"/>
                    <pic:cNvPicPr preferRelativeResize="0"/>
                  </pic:nvPicPr>
                  <pic:blipFill>
                    <a:blip r:embed="rId12"/>
                    <a:srcRect/>
                    <a:stretch>
                      <a:fillRect/>
                    </a:stretch>
                  </pic:blipFill>
                  <pic:spPr>
                    <a:xfrm>
                      <a:off x="0" y="0"/>
                      <a:ext cx="666750" cy="704850"/>
                    </a:xfrm>
                    <a:prstGeom prst="rect">
                      <a:avLst/>
                    </a:prstGeom>
                    <a:ln/>
                  </pic:spPr>
                </pic:pic>
              </a:graphicData>
            </a:graphic>
          </wp:inline>
        </w:drawing>
      </w:r>
    </w:p>
    <w:p w14:paraId="13FDA44D" w14:textId="77777777" w:rsidR="0009136A" w:rsidRDefault="00D93C51">
      <w:pPr>
        <w:spacing w:after="0" w:line="240" w:lineRule="auto"/>
        <w:jc w:val="center"/>
        <w:rPr>
          <w:color w:val="00B050"/>
          <w:sz w:val="24"/>
          <w:szCs w:val="24"/>
        </w:rPr>
      </w:pPr>
      <w:r>
        <w:rPr>
          <w:b/>
          <w:sz w:val="24"/>
          <w:szCs w:val="24"/>
        </w:rPr>
        <w:t>Viešoji įstaiga Respublikinė Vilniaus psichiatrijos ligoninė</w:t>
      </w:r>
    </w:p>
    <w:p w14:paraId="13FDA44E" w14:textId="77777777" w:rsidR="0009136A" w:rsidRDefault="0009136A">
      <w:pPr>
        <w:spacing w:after="0"/>
        <w:jc w:val="center"/>
        <w:rPr>
          <w:sz w:val="24"/>
          <w:szCs w:val="24"/>
        </w:rPr>
      </w:pPr>
    </w:p>
    <w:p w14:paraId="13FDA44F" w14:textId="77777777" w:rsidR="0009136A" w:rsidRDefault="0009136A">
      <w:pPr>
        <w:spacing w:after="0"/>
        <w:jc w:val="center"/>
        <w:rPr>
          <w:sz w:val="24"/>
          <w:szCs w:val="24"/>
        </w:rPr>
      </w:pPr>
    </w:p>
    <w:p w14:paraId="13FDA450" w14:textId="4DA6ED01" w:rsidR="0009136A" w:rsidRDefault="00D93C51">
      <w:pPr>
        <w:spacing w:after="0"/>
        <w:jc w:val="center"/>
        <w:rPr>
          <w:b/>
          <w:sz w:val="24"/>
          <w:szCs w:val="24"/>
        </w:rPr>
      </w:pPr>
      <w:bookmarkStart w:id="0" w:name="_heading=h.gjdgxs" w:colFirst="0" w:colLast="0"/>
      <w:bookmarkEnd w:id="0"/>
      <w:r>
        <w:rPr>
          <w:b/>
          <w:sz w:val="24"/>
          <w:szCs w:val="24"/>
        </w:rPr>
        <w:t>TARPTAUTINIO VIEŠOJO PIRKIMO „</w:t>
      </w:r>
      <w:r w:rsidR="00EF2381">
        <w:rPr>
          <w:b/>
          <w:sz w:val="24"/>
          <w:szCs w:val="24"/>
        </w:rPr>
        <w:t xml:space="preserve">RVPL 222 </w:t>
      </w:r>
      <w:r>
        <w:rPr>
          <w:b/>
          <w:sz w:val="24"/>
          <w:szCs w:val="24"/>
        </w:rPr>
        <w:t xml:space="preserve">PSICHIATRIJOS DIENOS STACIONARO (PARKO G. 21, VILNIUS) PLĖTROS PROJEKTINIŲ PASIŪLYMŲ, TECHNINIO PROJEKTO, DARBO PROJEKTO PARENGIMO IR PROJEKTO VYKDYMO PRIEŽIŪROS PASLAUGOS“ ATVIRO KONKURSO SPECIALIOSIOS SĄLYGOS </w:t>
      </w:r>
    </w:p>
    <w:p w14:paraId="13FDA451" w14:textId="335206DC" w:rsidR="0009136A" w:rsidRDefault="00D93C51">
      <w:pPr>
        <w:spacing w:after="0"/>
        <w:jc w:val="center"/>
        <w:rPr>
          <w:b/>
          <w:sz w:val="24"/>
          <w:szCs w:val="24"/>
        </w:rPr>
      </w:pPr>
      <w:r>
        <w:rPr>
          <w:b/>
          <w:sz w:val="24"/>
          <w:szCs w:val="24"/>
        </w:rPr>
        <w:t xml:space="preserve">VERSIJA NR. 1 </w:t>
      </w:r>
      <w:r w:rsidR="00CC16E0">
        <w:rPr>
          <w:b/>
          <w:sz w:val="24"/>
          <w:szCs w:val="24"/>
        </w:rPr>
        <w:t xml:space="preserve"> </w:t>
      </w:r>
    </w:p>
    <w:p w14:paraId="786871A7" w14:textId="77777777" w:rsidR="00910FE6" w:rsidRDefault="00910FE6" w:rsidP="00910FE6">
      <w:pPr>
        <w:spacing w:after="120"/>
      </w:pPr>
    </w:p>
    <w:sdt>
      <w:sdtPr>
        <w:rPr>
          <w:rFonts w:ascii="Calibri" w:eastAsia="Calibri" w:hAnsi="Calibri" w:cs="Calibri"/>
          <w:color w:val="auto"/>
          <w:sz w:val="21"/>
          <w:szCs w:val="21"/>
        </w:rPr>
        <w:id w:val="-580991723"/>
        <w:docPartObj>
          <w:docPartGallery w:val="Table of Contents"/>
          <w:docPartUnique/>
        </w:docPartObj>
      </w:sdtPr>
      <w:sdtEndPr>
        <w:rPr>
          <w:b/>
          <w:bCs/>
        </w:rPr>
      </w:sdtEndPr>
      <w:sdtContent>
        <w:p w14:paraId="169FFA7E" w14:textId="25B6BE4F" w:rsidR="00CC16E0" w:rsidRDefault="00CC16E0">
          <w:pPr>
            <w:pStyle w:val="Turinioantrat"/>
          </w:pPr>
          <w:r>
            <w:t>Turinys</w:t>
          </w:r>
        </w:p>
        <w:p w14:paraId="547A7FCB" w14:textId="5C9D10D6" w:rsidR="00CC16E0" w:rsidRDefault="00CC16E0">
          <w:pPr>
            <w:pStyle w:val="Turinys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5093606" w:history="1">
            <w:r w:rsidRPr="00E55AFC">
              <w:rPr>
                <w:rStyle w:val="Hipersaitas"/>
                <w:noProof/>
              </w:rPr>
              <w:t>1.</w:t>
            </w:r>
            <w:r>
              <w:rPr>
                <w:rFonts w:asciiTheme="minorHAnsi" w:eastAsiaTheme="minorEastAsia" w:hAnsiTheme="minorHAnsi" w:cstheme="minorBidi"/>
                <w:noProof/>
                <w:sz w:val="22"/>
                <w:szCs w:val="22"/>
              </w:rPr>
              <w:tab/>
            </w:r>
            <w:r w:rsidRPr="00E55AFC">
              <w:rPr>
                <w:rStyle w:val="Hipersaitas"/>
                <w:noProof/>
              </w:rPr>
              <w:t>Bendra informacija</w:t>
            </w:r>
            <w:r>
              <w:rPr>
                <w:noProof/>
                <w:webHidden/>
              </w:rPr>
              <w:tab/>
            </w:r>
            <w:r>
              <w:rPr>
                <w:noProof/>
                <w:webHidden/>
              </w:rPr>
              <w:fldChar w:fldCharType="begin"/>
            </w:r>
            <w:r>
              <w:rPr>
                <w:noProof/>
                <w:webHidden/>
              </w:rPr>
              <w:instrText xml:space="preserve"> PAGEREF _Toc185093606 \h </w:instrText>
            </w:r>
            <w:r>
              <w:rPr>
                <w:noProof/>
                <w:webHidden/>
              </w:rPr>
            </w:r>
            <w:r>
              <w:rPr>
                <w:noProof/>
                <w:webHidden/>
              </w:rPr>
              <w:fldChar w:fldCharType="separate"/>
            </w:r>
            <w:r>
              <w:rPr>
                <w:noProof/>
                <w:webHidden/>
              </w:rPr>
              <w:t>2</w:t>
            </w:r>
            <w:r>
              <w:rPr>
                <w:noProof/>
                <w:webHidden/>
              </w:rPr>
              <w:fldChar w:fldCharType="end"/>
            </w:r>
          </w:hyperlink>
        </w:p>
        <w:p w14:paraId="7A8580DC" w14:textId="41417742" w:rsidR="00CC16E0" w:rsidRDefault="00000000">
          <w:pPr>
            <w:pStyle w:val="Turinys1"/>
            <w:rPr>
              <w:rFonts w:asciiTheme="minorHAnsi" w:eastAsiaTheme="minorEastAsia" w:hAnsiTheme="minorHAnsi" w:cstheme="minorBidi"/>
              <w:noProof/>
              <w:sz w:val="22"/>
              <w:szCs w:val="22"/>
            </w:rPr>
          </w:pPr>
          <w:hyperlink w:anchor="_Toc185093607" w:history="1">
            <w:r w:rsidR="00CC16E0" w:rsidRPr="00E55AFC">
              <w:rPr>
                <w:rStyle w:val="Hipersaitas"/>
                <w:noProof/>
              </w:rPr>
              <w:t>2. Pirkimo objektas</w:t>
            </w:r>
            <w:r w:rsidR="00CC16E0">
              <w:rPr>
                <w:noProof/>
                <w:webHidden/>
              </w:rPr>
              <w:tab/>
            </w:r>
            <w:r w:rsidR="00CC16E0">
              <w:rPr>
                <w:noProof/>
                <w:webHidden/>
              </w:rPr>
              <w:fldChar w:fldCharType="begin"/>
            </w:r>
            <w:r w:rsidR="00CC16E0">
              <w:rPr>
                <w:noProof/>
                <w:webHidden/>
              </w:rPr>
              <w:instrText xml:space="preserve"> PAGEREF _Toc185093607 \h </w:instrText>
            </w:r>
            <w:r w:rsidR="00CC16E0">
              <w:rPr>
                <w:noProof/>
                <w:webHidden/>
              </w:rPr>
            </w:r>
            <w:r w:rsidR="00CC16E0">
              <w:rPr>
                <w:noProof/>
                <w:webHidden/>
              </w:rPr>
              <w:fldChar w:fldCharType="separate"/>
            </w:r>
            <w:r w:rsidR="00CC16E0">
              <w:rPr>
                <w:noProof/>
                <w:webHidden/>
              </w:rPr>
              <w:t>2</w:t>
            </w:r>
            <w:r w:rsidR="00CC16E0">
              <w:rPr>
                <w:noProof/>
                <w:webHidden/>
              </w:rPr>
              <w:fldChar w:fldCharType="end"/>
            </w:r>
          </w:hyperlink>
        </w:p>
        <w:p w14:paraId="6EAD6A43" w14:textId="2CE959A9" w:rsidR="00CC16E0" w:rsidRDefault="00000000">
          <w:pPr>
            <w:pStyle w:val="Turinys1"/>
            <w:rPr>
              <w:rFonts w:asciiTheme="minorHAnsi" w:eastAsiaTheme="minorEastAsia" w:hAnsiTheme="minorHAnsi" w:cstheme="minorBidi"/>
              <w:noProof/>
              <w:sz w:val="22"/>
              <w:szCs w:val="22"/>
            </w:rPr>
          </w:pPr>
          <w:hyperlink w:anchor="_Toc185093608" w:history="1">
            <w:r w:rsidR="00CC16E0" w:rsidRPr="00E55AFC">
              <w:rPr>
                <w:rStyle w:val="Hipersaitas"/>
                <w:noProof/>
              </w:rPr>
              <w:t>3. Susitikimai su tiekėjais ir objekto apžiūra</w:t>
            </w:r>
            <w:r w:rsidR="00CC16E0">
              <w:rPr>
                <w:noProof/>
                <w:webHidden/>
              </w:rPr>
              <w:tab/>
            </w:r>
            <w:r w:rsidR="00CC16E0">
              <w:rPr>
                <w:noProof/>
                <w:webHidden/>
              </w:rPr>
              <w:fldChar w:fldCharType="begin"/>
            </w:r>
            <w:r w:rsidR="00CC16E0">
              <w:rPr>
                <w:noProof/>
                <w:webHidden/>
              </w:rPr>
              <w:instrText xml:space="preserve"> PAGEREF _Toc185093608 \h </w:instrText>
            </w:r>
            <w:r w:rsidR="00CC16E0">
              <w:rPr>
                <w:noProof/>
                <w:webHidden/>
              </w:rPr>
            </w:r>
            <w:r w:rsidR="00CC16E0">
              <w:rPr>
                <w:noProof/>
                <w:webHidden/>
              </w:rPr>
              <w:fldChar w:fldCharType="separate"/>
            </w:r>
            <w:r w:rsidR="00CC16E0">
              <w:rPr>
                <w:noProof/>
                <w:webHidden/>
              </w:rPr>
              <w:t>3</w:t>
            </w:r>
            <w:r w:rsidR="00CC16E0">
              <w:rPr>
                <w:noProof/>
                <w:webHidden/>
              </w:rPr>
              <w:fldChar w:fldCharType="end"/>
            </w:r>
          </w:hyperlink>
        </w:p>
        <w:p w14:paraId="0DD26D60" w14:textId="0FF912BA" w:rsidR="00CC16E0" w:rsidRDefault="00000000">
          <w:pPr>
            <w:pStyle w:val="Turinys1"/>
            <w:rPr>
              <w:rFonts w:asciiTheme="minorHAnsi" w:eastAsiaTheme="minorEastAsia" w:hAnsiTheme="minorHAnsi" w:cstheme="minorBidi"/>
              <w:noProof/>
              <w:sz w:val="22"/>
              <w:szCs w:val="22"/>
            </w:rPr>
          </w:pPr>
          <w:hyperlink w:anchor="_Toc185093609" w:history="1">
            <w:r w:rsidR="00CC16E0" w:rsidRPr="00E55AFC">
              <w:rPr>
                <w:rStyle w:val="Hipersaitas"/>
                <w:noProof/>
              </w:rPr>
              <w:t>4. Tiekėjų pašalinimo pagrindai ir kvalifikacijos reikalavimai</w:t>
            </w:r>
            <w:r w:rsidR="00CC16E0">
              <w:rPr>
                <w:noProof/>
                <w:webHidden/>
              </w:rPr>
              <w:tab/>
            </w:r>
            <w:r w:rsidR="00CC16E0">
              <w:rPr>
                <w:noProof/>
                <w:webHidden/>
              </w:rPr>
              <w:fldChar w:fldCharType="begin"/>
            </w:r>
            <w:r w:rsidR="00CC16E0">
              <w:rPr>
                <w:noProof/>
                <w:webHidden/>
              </w:rPr>
              <w:instrText xml:space="preserve"> PAGEREF _Toc185093609 \h </w:instrText>
            </w:r>
            <w:r w:rsidR="00CC16E0">
              <w:rPr>
                <w:noProof/>
                <w:webHidden/>
              </w:rPr>
            </w:r>
            <w:r w:rsidR="00CC16E0">
              <w:rPr>
                <w:noProof/>
                <w:webHidden/>
              </w:rPr>
              <w:fldChar w:fldCharType="separate"/>
            </w:r>
            <w:r w:rsidR="00CC16E0">
              <w:rPr>
                <w:noProof/>
                <w:webHidden/>
              </w:rPr>
              <w:t>3</w:t>
            </w:r>
            <w:r w:rsidR="00CC16E0">
              <w:rPr>
                <w:noProof/>
                <w:webHidden/>
              </w:rPr>
              <w:fldChar w:fldCharType="end"/>
            </w:r>
          </w:hyperlink>
        </w:p>
        <w:p w14:paraId="5CBAB80A" w14:textId="4F921C3C" w:rsidR="00CC16E0" w:rsidRDefault="00000000">
          <w:pPr>
            <w:pStyle w:val="Turinys1"/>
            <w:rPr>
              <w:rFonts w:asciiTheme="minorHAnsi" w:eastAsiaTheme="minorEastAsia" w:hAnsiTheme="minorHAnsi" w:cstheme="minorBidi"/>
              <w:noProof/>
              <w:sz w:val="22"/>
              <w:szCs w:val="22"/>
            </w:rPr>
          </w:pPr>
          <w:hyperlink w:anchor="_Toc185093610" w:history="1">
            <w:r w:rsidR="00CC16E0" w:rsidRPr="00E55AFC">
              <w:rPr>
                <w:rStyle w:val="Hipersaitas"/>
                <w:noProof/>
              </w:rPr>
              <w:t>5.</w:t>
            </w:r>
            <w:r w:rsidR="00CC16E0">
              <w:rPr>
                <w:rStyle w:val="Hipersaitas"/>
                <w:noProof/>
              </w:rPr>
              <w:t xml:space="preserve"> </w:t>
            </w:r>
            <w:r w:rsidR="00CC16E0" w:rsidRPr="00E55AFC">
              <w:rPr>
                <w:rStyle w:val="Hipersaitas"/>
                <w:noProof/>
              </w:rPr>
              <w:t>Reikalavimai, susiję su nacionaliniu saugumu</w:t>
            </w:r>
            <w:r w:rsidR="00CC16E0">
              <w:rPr>
                <w:noProof/>
                <w:webHidden/>
              </w:rPr>
              <w:tab/>
            </w:r>
            <w:r w:rsidR="00CC16E0">
              <w:rPr>
                <w:noProof/>
                <w:webHidden/>
              </w:rPr>
              <w:fldChar w:fldCharType="begin"/>
            </w:r>
            <w:r w:rsidR="00CC16E0">
              <w:rPr>
                <w:noProof/>
                <w:webHidden/>
              </w:rPr>
              <w:instrText xml:space="preserve"> PAGEREF _Toc185093610 \h </w:instrText>
            </w:r>
            <w:r w:rsidR="00CC16E0">
              <w:rPr>
                <w:noProof/>
                <w:webHidden/>
              </w:rPr>
            </w:r>
            <w:r w:rsidR="00CC16E0">
              <w:rPr>
                <w:noProof/>
                <w:webHidden/>
              </w:rPr>
              <w:fldChar w:fldCharType="separate"/>
            </w:r>
            <w:r w:rsidR="00CC16E0">
              <w:rPr>
                <w:noProof/>
                <w:webHidden/>
              </w:rPr>
              <w:t>3</w:t>
            </w:r>
            <w:r w:rsidR="00CC16E0">
              <w:rPr>
                <w:noProof/>
                <w:webHidden/>
              </w:rPr>
              <w:fldChar w:fldCharType="end"/>
            </w:r>
          </w:hyperlink>
        </w:p>
        <w:p w14:paraId="0233525F" w14:textId="04603767" w:rsidR="00CC16E0" w:rsidRDefault="00000000">
          <w:pPr>
            <w:pStyle w:val="Turinys1"/>
            <w:rPr>
              <w:rFonts w:asciiTheme="minorHAnsi" w:eastAsiaTheme="minorEastAsia" w:hAnsiTheme="minorHAnsi" w:cstheme="minorBidi"/>
              <w:noProof/>
              <w:sz w:val="22"/>
              <w:szCs w:val="22"/>
            </w:rPr>
          </w:pPr>
          <w:hyperlink w:anchor="_Toc185093611" w:history="1">
            <w:r w:rsidR="00CC16E0" w:rsidRPr="00E55AFC">
              <w:rPr>
                <w:rStyle w:val="Hipersaitas"/>
                <w:noProof/>
              </w:rPr>
              <w:t>6. Specialieji reikalavimai pasiūlymų rengimui ir pateikimui</w:t>
            </w:r>
            <w:r w:rsidR="00CC16E0">
              <w:rPr>
                <w:noProof/>
                <w:webHidden/>
              </w:rPr>
              <w:tab/>
            </w:r>
            <w:r w:rsidR="00CC16E0">
              <w:rPr>
                <w:noProof/>
                <w:webHidden/>
              </w:rPr>
              <w:fldChar w:fldCharType="begin"/>
            </w:r>
            <w:r w:rsidR="00CC16E0">
              <w:rPr>
                <w:noProof/>
                <w:webHidden/>
              </w:rPr>
              <w:instrText xml:space="preserve"> PAGEREF _Toc185093611 \h </w:instrText>
            </w:r>
            <w:r w:rsidR="00CC16E0">
              <w:rPr>
                <w:noProof/>
                <w:webHidden/>
              </w:rPr>
            </w:r>
            <w:r w:rsidR="00CC16E0">
              <w:rPr>
                <w:noProof/>
                <w:webHidden/>
              </w:rPr>
              <w:fldChar w:fldCharType="separate"/>
            </w:r>
            <w:r w:rsidR="00CC16E0">
              <w:rPr>
                <w:noProof/>
                <w:webHidden/>
              </w:rPr>
              <w:t>4</w:t>
            </w:r>
            <w:r w:rsidR="00CC16E0">
              <w:rPr>
                <w:noProof/>
                <w:webHidden/>
              </w:rPr>
              <w:fldChar w:fldCharType="end"/>
            </w:r>
          </w:hyperlink>
        </w:p>
        <w:p w14:paraId="05EBA7DC" w14:textId="2057E5DC" w:rsidR="00CC16E0" w:rsidRDefault="00000000">
          <w:pPr>
            <w:pStyle w:val="Turinys1"/>
            <w:rPr>
              <w:rFonts w:asciiTheme="minorHAnsi" w:eastAsiaTheme="minorEastAsia" w:hAnsiTheme="minorHAnsi" w:cstheme="minorBidi"/>
              <w:noProof/>
              <w:sz w:val="22"/>
              <w:szCs w:val="22"/>
            </w:rPr>
          </w:pPr>
          <w:hyperlink w:anchor="_Toc185093612" w:history="1">
            <w:r w:rsidR="00CC16E0" w:rsidRPr="00E55AFC">
              <w:rPr>
                <w:rStyle w:val="Hipersaitas"/>
                <w:noProof/>
              </w:rPr>
              <w:t>7.</w:t>
            </w:r>
            <w:r w:rsidR="00CC16E0">
              <w:rPr>
                <w:rFonts w:asciiTheme="minorHAnsi" w:eastAsiaTheme="minorEastAsia" w:hAnsiTheme="minorHAnsi" w:cstheme="minorBidi"/>
                <w:noProof/>
                <w:sz w:val="22"/>
                <w:szCs w:val="22"/>
              </w:rPr>
              <w:tab/>
            </w:r>
            <w:r w:rsidR="00CC16E0" w:rsidRPr="00E55AFC">
              <w:rPr>
                <w:rStyle w:val="Hipersaitas"/>
                <w:noProof/>
              </w:rPr>
              <w:t>Pasiūlymo galiojimo užtikrinimas</w:t>
            </w:r>
            <w:r w:rsidR="00CC16E0">
              <w:rPr>
                <w:noProof/>
                <w:webHidden/>
              </w:rPr>
              <w:tab/>
            </w:r>
            <w:r w:rsidR="00CC16E0">
              <w:rPr>
                <w:noProof/>
                <w:webHidden/>
              </w:rPr>
              <w:fldChar w:fldCharType="begin"/>
            </w:r>
            <w:r w:rsidR="00CC16E0">
              <w:rPr>
                <w:noProof/>
                <w:webHidden/>
              </w:rPr>
              <w:instrText xml:space="preserve"> PAGEREF _Toc185093612 \h </w:instrText>
            </w:r>
            <w:r w:rsidR="00CC16E0">
              <w:rPr>
                <w:noProof/>
                <w:webHidden/>
              </w:rPr>
            </w:r>
            <w:r w:rsidR="00CC16E0">
              <w:rPr>
                <w:noProof/>
                <w:webHidden/>
              </w:rPr>
              <w:fldChar w:fldCharType="separate"/>
            </w:r>
            <w:r w:rsidR="00CC16E0">
              <w:rPr>
                <w:noProof/>
                <w:webHidden/>
              </w:rPr>
              <w:t>5</w:t>
            </w:r>
            <w:r w:rsidR="00CC16E0">
              <w:rPr>
                <w:noProof/>
                <w:webHidden/>
              </w:rPr>
              <w:fldChar w:fldCharType="end"/>
            </w:r>
          </w:hyperlink>
        </w:p>
        <w:p w14:paraId="3C934FE2" w14:textId="6981A02F" w:rsidR="00CC16E0" w:rsidRDefault="00000000">
          <w:pPr>
            <w:pStyle w:val="Turinys1"/>
            <w:rPr>
              <w:rFonts w:asciiTheme="minorHAnsi" w:eastAsiaTheme="minorEastAsia" w:hAnsiTheme="minorHAnsi" w:cstheme="minorBidi"/>
              <w:noProof/>
              <w:sz w:val="22"/>
              <w:szCs w:val="22"/>
            </w:rPr>
          </w:pPr>
          <w:hyperlink w:anchor="_Toc185093613" w:history="1">
            <w:r w:rsidR="00CC16E0" w:rsidRPr="00E55AFC">
              <w:rPr>
                <w:rStyle w:val="Hipersaitas"/>
                <w:noProof/>
              </w:rPr>
              <w:t>8.</w:t>
            </w:r>
            <w:r w:rsidR="00CC16E0">
              <w:rPr>
                <w:rFonts w:asciiTheme="minorHAnsi" w:eastAsiaTheme="minorEastAsia" w:hAnsiTheme="minorHAnsi" w:cstheme="minorBidi"/>
                <w:noProof/>
                <w:sz w:val="22"/>
                <w:szCs w:val="22"/>
              </w:rPr>
              <w:tab/>
            </w:r>
            <w:r w:rsidR="00CC16E0" w:rsidRPr="00E55AFC">
              <w:rPr>
                <w:rStyle w:val="Hipersaitas"/>
                <w:noProof/>
              </w:rPr>
              <w:t>Elektroninis aukcionas (netaikoma)</w:t>
            </w:r>
            <w:r w:rsidR="00CC16E0">
              <w:rPr>
                <w:noProof/>
                <w:webHidden/>
              </w:rPr>
              <w:tab/>
            </w:r>
            <w:r w:rsidR="00CC16E0">
              <w:rPr>
                <w:noProof/>
                <w:webHidden/>
              </w:rPr>
              <w:fldChar w:fldCharType="begin"/>
            </w:r>
            <w:r w:rsidR="00CC16E0">
              <w:rPr>
                <w:noProof/>
                <w:webHidden/>
              </w:rPr>
              <w:instrText xml:space="preserve"> PAGEREF _Toc185093613 \h </w:instrText>
            </w:r>
            <w:r w:rsidR="00CC16E0">
              <w:rPr>
                <w:noProof/>
                <w:webHidden/>
              </w:rPr>
            </w:r>
            <w:r w:rsidR="00CC16E0">
              <w:rPr>
                <w:noProof/>
                <w:webHidden/>
              </w:rPr>
              <w:fldChar w:fldCharType="separate"/>
            </w:r>
            <w:r w:rsidR="00CC16E0">
              <w:rPr>
                <w:noProof/>
                <w:webHidden/>
              </w:rPr>
              <w:t>5</w:t>
            </w:r>
            <w:r w:rsidR="00CC16E0">
              <w:rPr>
                <w:noProof/>
                <w:webHidden/>
              </w:rPr>
              <w:fldChar w:fldCharType="end"/>
            </w:r>
          </w:hyperlink>
        </w:p>
        <w:p w14:paraId="7A6C5AF8" w14:textId="54C59604" w:rsidR="00CC16E0" w:rsidRDefault="00000000">
          <w:pPr>
            <w:pStyle w:val="Turinys1"/>
            <w:rPr>
              <w:rFonts w:asciiTheme="minorHAnsi" w:eastAsiaTheme="minorEastAsia" w:hAnsiTheme="minorHAnsi" w:cstheme="minorBidi"/>
              <w:noProof/>
              <w:sz w:val="22"/>
              <w:szCs w:val="22"/>
            </w:rPr>
          </w:pPr>
          <w:hyperlink w:anchor="_Toc185093614" w:history="1">
            <w:r w:rsidR="00CC16E0" w:rsidRPr="00E55AFC">
              <w:rPr>
                <w:rStyle w:val="Hipersaitas"/>
                <w:noProof/>
              </w:rPr>
              <w:t>9.</w:t>
            </w:r>
            <w:r w:rsidR="00CC16E0">
              <w:rPr>
                <w:rFonts w:asciiTheme="minorHAnsi" w:eastAsiaTheme="minorEastAsia" w:hAnsiTheme="minorHAnsi" w:cstheme="minorBidi"/>
                <w:noProof/>
                <w:sz w:val="22"/>
                <w:szCs w:val="22"/>
              </w:rPr>
              <w:tab/>
            </w:r>
            <w:r w:rsidR="00CC16E0" w:rsidRPr="00E55AFC">
              <w:rPr>
                <w:rStyle w:val="Hipersaitas"/>
                <w:noProof/>
              </w:rPr>
              <w:t>Pasiūlymų vertinimas</w:t>
            </w:r>
            <w:r w:rsidR="00CC16E0">
              <w:rPr>
                <w:noProof/>
                <w:webHidden/>
              </w:rPr>
              <w:tab/>
            </w:r>
            <w:r w:rsidR="00CC16E0">
              <w:rPr>
                <w:noProof/>
                <w:webHidden/>
              </w:rPr>
              <w:fldChar w:fldCharType="begin"/>
            </w:r>
            <w:r w:rsidR="00CC16E0">
              <w:rPr>
                <w:noProof/>
                <w:webHidden/>
              </w:rPr>
              <w:instrText xml:space="preserve"> PAGEREF _Toc185093614 \h </w:instrText>
            </w:r>
            <w:r w:rsidR="00CC16E0">
              <w:rPr>
                <w:noProof/>
                <w:webHidden/>
              </w:rPr>
            </w:r>
            <w:r w:rsidR="00CC16E0">
              <w:rPr>
                <w:noProof/>
                <w:webHidden/>
              </w:rPr>
              <w:fldChar w:fldCharType="separate"/>
            </w:r>
            <w:r w:rsidR="00CC16E0">
              <w:rPr>
                <w:noProof/>
                <w:webHidden/>
              </w:rPr>
              <w:t>5</w:t>
            </w:r>
            <w:r w:rsidR="00CC16E0">
              <w:rPr>
                <w:noProof/>
                <w:webHidden/>
              </w:rPr>
              <w:fldChar w:fldCharType="end"/>
            </w:r>
          </w:hyperlink>
        </w:p>
        <w:p w14:paraId="29EAD0C2" w14:textId="4885C98E" w:rsidR="00CC16E0" w:rsidRDefault="00000000">
          <w:pPr>
            <w:pStyle w:val="Turinys1"/>
            <w:rPr>
              <w:rFonts w:asciiTheme="minorHAnsi" w:eastAsiaTheme="minorEastAsia" w:hAnsiTheme="minorHAnsi" w:cstheme="minorBidi"/>
              <w:noProof/>
              <w:sz w:val="22"/>
              <w:szCs w:val="22"/>
            </w:rPr>
          </w:pPr>
          <w:hyperlink w:anchor="_Toc185093615" w:history="1">
            <w:r w:rsidR="00CC16E0" w:rsidRPr="00E55AFC">
              <w:rPr>
                <w:rStyle w:val="Hipersaitas"/>
                <w:noProof/>
              </w:rPr>
              <w:t>10. Sutarties sudarymas</w:t>
            </w:r>
            <w:r w:rsidR="00CC16E0">
              <w:rPr>
                <w:noProof/>
                <w:webHidden/>
              </w:rPr>
              <w:tab/>
            </w:r>
            <w:r w:rsidR="00CC16E0">
              <w:rPr>
                <w:noProof/>
                <w:webHidden/>
              </w:rPr>
              <w:fldChar w:fldCharType="begin"/>
            </w:r>
            <w:r w:rsidR="00CC16E0">
              <w:rPr>
                <w:noProof/>
                <w:webHidden/>
              </w:rPr>
              <w:instrText xml:space="preserve"> PAGEREF _Toc185093615 \h </w:instrText>
            </w:r>
            <w:r w:rsidR="00CC16E0">
              <w:rPr>
                <w:noProof/>
                <w:webHidden/>
              </w:rPr>
            </w:r>
            <w:r w:rsidR="00CC16E0">
              <w:rPr>
                <w:noProof/>
                <w:webHidden/>
              </w:rPr>
              <w:fldChar w:fldCharType="separate"/>
            </w:r>
            <w:r w:rsidR="00CC16E0">
              <w:rPr>
                <w:noProof/>
                <w:webHidden/>
              </w:rPr>
              <w:t>5</w:t>
            </w:r>
            <w:r w:rsidR="00CC16E0">
              <w:rPr>
                <w:noProof/>
                <w:webHidden/>
              </w:rPr>
              <w:fldChar w:fldCharType="end"/>
            </w:r>
          </w:hyperlink>
        </w:p>
        <w:p w14:paraId="180B0453" w14:textId="30A408A4" w:rsidR="00CC16E0" w:rsidRPr="00CC16E0" w:rsidRDefault="00CC16E0" w:rsidP="00CC16E0">
          <w:pPr>
            <w:spacing w:after="0"/>
          </w:pPr>
          <w:r>
            <w:rPr>
              <w:b/>
              <w:bCs/>
            </w:rPr>
            <w:fldChar w:fldCharType="end"/>
          </w:r>
          <w:r w:rsidRPr="00CC16E0">
            <w:t xml:space="preserve">   11.</w:t>
          </w:r>
          <w:r>
            <w:rPr>
              <w:b/>
              <w:bCs/>
            </w:rPr>
            <w:t xml:space="preserve"> </w:t>
          </w:r>
          <w:r w:rsidRPr="00CC16E0">
            <w:t xml:space="preserve">Priedai: </w:t>
          </w:r>
        </w:p>
        <w:p w14:paraId="7124F048" w14:textId="5F5CACE3" w:rsidR="00CC16E0" w:rsidRDefault="00CC16E0" w:rsidP="00CC16E0">
          <w:pPr>
            <w:spacing w:after="0"/>
          </w:pPr>
          <w:r>
            <w:rPr>
              <w:b/>
              <w:bCs/>
            </w:rPr>
            <w:t xml:space="preserve">         </w:t>
          </w:r>
          <w:r>
            <w:t xml:space="preserve">1 priedas. </w:t>
          </w:r>
          <w:r w:rsidRPr="003804DC">
            <w:t>Statinio projektavimo techninė užduotis</w:t>
          </w:r>
          <w:r w:rsidR="00FD3EE6">
            <w:t xml:space="preserve"> (TU)</w:t>
          </w:r>
          <w:r>
            <w:t xml:space="preserve"> ir 1-</w:t>
          </w:r>
          <w:r w:rsidR="00FD3EE6">
            <w:t>4</w:t>
          </w:r>
          <w:r>
            <w:t xml:space="preserve"> priedai;</w:t>
          </w:r>
        </w:p>
        <w:p w14:paraId="3122EAB3" w14:textId="1310C320" w:rsidR="00CC16E0" w:rsidRDefault="00CC16E0" w:rsidP="00CC16E0">
          <w:pPr>
            <w:shd w:val="clear" w:color="auto" w:fill="FFFFFF"/>
            <w:spacing w:after="0" w:line="240" w:lineRule="auto"/>
            <w:ind w:left="720"/>
            <w:jc w:val="both"/>
          </w:pPr>
          <w:r>
            <w:t xml:space="preserve">            1.1. priedas. T</w:t>
          </w:r>
          <w:r w:rsidR="00FD3EE6">
            <w:t>U</w:t>
          </w:r>
          <w:r>
            <w:t xml:space="preserve"> </w:t>
          </w:r>
          <w:r w:rsidR="00FD3EE6">
            <w:t>5</w:t>
          </w:r>
          <w:r>
            <w:t>-10 priedai;</w:t>
          </w:r>
        </w:p>
        <w:p w14:paraId="2392A846" w14:textId="77777777" w:rsidR="00CC16E0" w:rsidRDefault="00CC16E0" w:rsidP="00CC16E0">
          <w:pPr>
            <w:shd w:val="clear" w:color="auto" w:fill="FFFFFF"/>
            <w:spacing w:after="0" w:line="240" w:lineRule="auto"/>
            <w:ind w:firstLine="426"/>
            <w:jc w:val="both"/>
          </w:pPr>
          <w:r>
            <w:t>2 priedas. EBVPD;</w:t>
          </w:r>
        </w:p>
        <w:p w14:paraId="4C4E57B3" w14:textId="77777777" w:rsidR="00CC16E0" w:rsidRDefault="00CC16E0" w:rsidP="00CC16E0">
          <w:pPr>
            <w:shd w:val="clear" w:color="auto" w:fill="FFFFFF"/>
            <w:spacing w:after="0" w:line="240" w:lineRule="auto"/>
            <w:ind w:firstLine="426"/>
            <w:jc w:val="both"/>
          </w:pPr>
          <w:r>
            <w:t xml:space="preserve">3 priedas. Tiekėjų pašalinimo pagrindai ir kvalifikacija; </w:t>
          </w:r>
        </w:p>
        <w:p w14:paraId="748758CC" w14:textId="77777777" w:rsidR="00CC16E0" w:rsidRDefault="00CC16E0" w:rsidP="00CC16E0">
          <w:pPr>
            <w:shd w:val="clear" w:color="auto" w:fill="FFFFFF"/>
            <w:spacing w:after="0" w:line="240" w:lineRule="auto"/>
            <w:ind w:firstLine="426"/>
            <w:jc w:val="both"/>
          </w:pPr>
          <w:r>
            <w:t>4 priedas. Pasiūlymo forma;</w:t>
          </w:r>
        </w:p>
        <w:p w14:paraId="07668419" w14:textId="77777777" w:rsidR="00CC16E0" w:rsidRDefault="00CC16E0" w:rsidP="00CC16E0">
          <w:pPr>
            <w:shd w:val="clear" w:color="auto" w:fill="FFFFFF"/>
            <w:spacing w:after="0" w:line="240" w:lineRule="auto"/>
            <w:ind w:firstLine="426"/>
            <w:jc w:val="both"/>
          </w:pPr>
          <w:r>
            <w:t>5 priedas. Sutarties projektas;</w:t>
          </w:r>
        </w:p>
        <w:p w14:paraId="02E65B79" w14:textId="1C2B8BBD" w:rsidR="00CC16E0" w:rsidRPr="00EF2381" w:rsidRDefault="00CC16E0" w:rsidP="00CC16E0">
          <w:pPr>
            <w:shd w:val="clear" w:color="auto" w:fill="FFFFFF"/>
            <w:spacing w:after="0" w:line="240" w:lineRule="auto"/>
            <w:ind w:firstLine="426"/>
            <w:jc w:val="both"/>
          </w:pPr>
          <w:r w:rsidRPr="00EF2381">
            <w:t xml:space="preserve">6 priedas. </w:t>
          </w:r>
          <w:r w:rsidR="00A54056" w:rsidRPr="00A26DCE">
            <w:t>Tiekėjo deklaracija dėl atitikimo nacionalinio saugumo reikalavimams</w:t>
          </w:r>
          <w:r w:rsidRPr="00EF2381">
            <w:t xml:space="preserve">; </w:t>
          </w:r>
        </w:p>
        <w:p w14:paraId="5A4FE0C3" w14:textId="77777777" w:rsidR="00CC16E0" w:rsidRDefault="00CC16E0" w:rsidP="00CC16E0">
          <w:pPr>
            <w:shd w:val="clear" w:color="auto" w:fill="FFFFFF"/>
            <w:spacing w:after="0" w:line="240" w:lineRule="auto"/>
            <w:ind w:firstLine="426"/>
            <w:jc w:val="both"/>
          </w:pPr>
          <w:r>
            <w:t>7 priedas. Tiekėjo įvykdytų sutarčių sąrašas;</w:t>
          </w:r>
        </w:p>
        <w:p w14:paraId="456E6E56" w14:textId="77777777" w:rsidR="00CC16E0" w:rsidRDefault="00CC16E0" w:rsidP="00CC16E0">
          <w:pPr>
            <w:shd w:val="clear" w:color="auto" w:fill="FFFFFF"/>
            <w:spacing w:after="0" w:line="240" w:lineRule="auto"/>
            <w:ind w:firstLine="426"/>
            <w:jc w:val="both"/>
          </w:pPr>
          <w:r>
            <w:t>8 priedas. Vadovaujančių darbuotojų sąrašas;</w:t>
          </w:r>
        </w:p>
        <w:p w14:paraId="388BAD63" w14:textId="77777777" w:rsidR="00CC16E0" w:rsidRDefault="00CC16E0" w:rsidP="00CC16E0">
          <w:pPr>
            <w:shd w:val="clear" w:color="auto" w:fill="FFFFFF"/>
            <w:spacing w:after="0" w:line="240" w:lineRule="auto"/>
            <w:ind w:firstLine="426"/>
            <w:jc w:val="both"/>
          </w:pPr>
          <w:r>
            <w:t>9 priedas. Informacija apie projekto vadovo patirtį;</w:t>
          </w:r>
        </w:p>
        <w:p w14:paraId="61878821" w14:textId="3B00A4B7" w:rsidR="00CC16E0" w:rsidRDefault="00CC16E0" w:rsidP="00CC16E0">
          <w:pPr>
            <w:shd w:val="clear" w:color="auto" w:fill="FFFFFF"/>
            <w:spacing w:after="0" w:line="240" w:lineRule="auto"/>
            <w:ind w:firstLine="426"/>
            <w:jc w:val="both"/>
          </w:pPr>
          <w:r>
            <w:t>10 priedas. Pasiūlymų vertinimo kriterijai</w:t>
          </w:r>
          <w:r w:rsidR="00A26DCE">
            <w:t xml:space="preserve"> ir sąlygos</w:t>
          </w:r>
          <w:r>
            <w:t>;</w:t>
          </w:r>
        </w:p>
        <w:p w14:paraId="277E39AC" w14:textId="2EDFC6C9" w:rsidR="00CC16E0" w:rsidRDefault="00CC16E0" w:rsidP="00CC16E0">
          <w:pPr>
            <w:shd w:val="clear" w:color="auto" w:fill="FFFFFF"/>
            <w:spacing w:after="0" w:line="240" w:lineRule="auto"/>
            <w:ind w:firstLine="426"/>
            <w:jc w:val="both"/>
          </w:pPr>
          <w:r>
            <w:t>11 priedas. Deklaracija dėl tiekėjo atsakingų asmenų;</w:t>
          </w:r>
        </w:p>
        <w:p w14:paraId="3077539A" w14:textId="0BE0A1E9" w:rsidR="00CC16E0" w:rsidRDefault="00A26DCE" w:rsidP="00CC16E0">
          <w:pPr>
            <w:shd w:val="clear" w:color="auto" w:fill="FFFFFF"/>
            <w:spacing w:after="0" w:line="240" w:lineRule="auto"/>
            <w:ind w:firstLine="426"/>
            <w:jc w:val="both"/>
          </w:pPr>
          <w:r>
            <w:t>12</w:t>
          </w:r>
          <w:r w:rsidRPr="00A26DCE">
            <w:t xml:space="preserve"> priedas. </w:t>
          </w:r>
          <w:r w:rsidR="00CC16E0" w:rsidRPr="00CC16E0">
            <w:t>Terminai.</w:t>
          </w:r>
        </w:p>
        <w:p w14:paraId="34BEEEBD" w14:textId="6CCF05CC" w:rsidR="00CC16E0" w:rsidRDefault="00CC16E0" w:rsidP="00CC16E0">
          <w:pPr>
            <w:spacing w:after="0"/>
            <w:rPr>
              <w:b/>
              <w:bCs/>
            </w:rPr>
          </w:pPr>
        </w:p>
        <w:p w14:paraId="12597BA2" w14:textId="1C1D8D35" w:rsidR="00CC16E0" w:rsidRDefault="00000000"/>
      </w:sdtContent>
    </w:sdt>
    <w:p w14:paraId="00B18CA1" w14:textId="27D68E8C" w:rsidR="00910FE6" w:rsidRDefault="00910FE6" w:rsidP="00CC16E0">
      <w:pPr>
        <w:spacing w:after="120"/>
        <w:sectPr w:rsidR="00910FE6">
          <w:headerReference w:type="default" r:id="rId13"/>
          <w:footerReference w:type="default" r:id="rId14"/>
          <w:footerReference w:type="first" r:id="rId15"/>
          <w:pgSz w:w="12240" w:h="15840"/>
          <w:pgMar w:top="1134" w:right="567" w:bottom="1134" w:left="1701" w:header="720" w:footer="720" w:gutter="0"/>
          <w:pgNumType w:start="13"/>
          <w:cols w:space="1296"/>
          <w:titlePg/>
        </w:sectPr>
      </w:pPr>
    </w:p>
    <w:p w14:paraId="13FDA46E" w14:textId="2B6A115E" w:rsidR="0009136A" w:rsidRDefault="00D93C51">
      <w:pPr>
        <w:pStyle w:val="Antrat1"/>
        <w:numPr>
          <w:ilvl w:val="0"/>
          <w:numId w:val="1"/>
        </w:numPr>
        <w:ind w:left="567" w:hanging="567"/>
        <w:rPr>
          <w:rFonts w:ascii="Calibri" w:eastAsia="Calibri" w:hAnsi="Calibri" w:cs="Calibri"/>
        </w:rPr>
      </w:pPr>
      <w:bookmarkStart w:id="1" w:name="_Toc185093606"/>
      <w:r>
        <w:rPr>
          <w:rFonts w:ascii="Calibri" w:eastAsia="Calibri" w:hAnsi="Calibri" w:cs="Calibri"/>
        </w:rPr>
        <w:lastRenderedPageBreak/>
        <w:t>Bendra informacija</w:t>
      </w:r>
      <w:bookmarkEnd w:id="1"/>
    </w:p>
    <w:p w14:paraId="13FDA46F" w14:textId="77777777" w:rsidR="0009136A" w:rsidRDefault="00D93C51" w:rsidP="008761CD">
      <w:pPr>
        <w:numPr>
          <w:ilvl w:val="1"/>
          <w:numId w:val="1"/>
        </w:numPr>
        <w:pBdr>
          <w:top w:val="nil"/>
          <w:left w:val="nil"/>
          <w:bottom w:val="nil"/>
          <w:right w:val="nil"/>
          <w:between w:val="nil"/>
        </w:pBdr>
        <w:tabs>
          <w:tab w:val="left" w:pos="993"/>
        </w:tabs>
        <w:spacing w:after="0"/>
        <w:ind w:left="0" w:firstLine="567"/>
        <w:jc w:val="both"/>
        <w:rPr>
          <w:color w:val="000000"/>
        </w:rPr>
      </w:pPr>
      <w:r>
        <w:rPr>
          <w:color w:val="000000"/>
        </w:rPr>
        <w:t>Perkančioji organizacija - Viešoji įstaiga Respublikinė Vilniaus psichiatrijos ligoninė,</w:t>
      </w:r>
      <w:r>
        <w:rPr>
          <w:color w:val="00B050"/>
        </w:rPr>
        <w:t xml:space="preserve"> </w:t>
      </w:r>
      <w:r>
        <w:rPr>
          <w:color w:val="000000"/>
        </w:rPr>
        <w:t>juridinio asmens kodas 124247526, adresas Parko g. 21, Vilnius. Perkančioji organizacija yra PVM mokėtoja.</w:t>
      </w:r>
    </w:p>
    <w:p w14:paraId="13FDA470" w14:textId="47DFD817" w:rsidR="0009136A" w:rsidRDefault="00D93C51">
      <w:pPr>
        <w:pBdr>
          <w:top w:val="nil"/>
          <w:left w:val="nil"/>
          <w:bottom w:val="nil"/>
          <w:right w:val="nil"/>
          <w:between w:val="nil"/>
        </w:pBdr>
        <w:spacing w:after="0" w:line="240" w:lineRule="auto"/>
        <w:ind w:firstLine="567"/>
        <w:jc w:val="both"/>
        <w:rPr>
          <w:color w:val="000000"/>
        </w:rPr>
      </w:pPr>
      <w:r>
        <w:rPr>
          <w:color w:val="000000"/>
        </w:rPr>
        <w:t>1.</w:t>
      </w:r>
      <w:r w:rsidR="008761CD">
        <w:rPr>
          <w:color w:val="000000"/>
        </w:rPr>
        <w:t xml:space="preserve">2. </w:t>
      </w:r>
      <w:r w:rsidR="00EF2381" w:rsidRPr="00EF2381">
        <w:rPr>
          <w:color w:val="000000"/>
        </w:rPr>
        <w:t>Pirkimo objektas yra įtrauktas į CPO katalogą, tačiau šiuo metu kataloge nėra galimybės įsigyti paslaugų, atitinkančių 2024 m. lapkričio 1 d. įsigaliojusį reglamentavimą. Atsižvelgiant į tai, pirkimo objektas nėra įsigyjamas iš CPO katalogo.</w:t>
      </w:r>
    </w:p>
    <w:p w14:paraId="13FDA471" w14:textId="5D4F4EC0" w:rsidR="0009136A" w:rsidRPr="00EF2381" w:rsidRDefault="00D93C51">
      <w:pPr>
        <w:spacing w:after="0" w:line="240" w:lineRule="auto"/>
        <w:ind w:firstLine="567"/>
        <w:rPr>
          <w:color w:val="FF0000"/>
        </w:rPr>
      </w:pPr>
      <w:r w:rsidRPr="00EF2381">
        <w:t>1.</w:t>
      </w:r>
      <w:r w:rsidR="008761CD">
        <w:t>3</w:t>
      </w:r>
      <w:r w:rsidRPr="00EF2381">
        <w:t>.  Perkančioji organizacija nerezervuoja teisės dalyvauti pirkime.</w:t>
      </w:r>
    </w:p>
    <w:p w14:paraId="13FDA472" w14:textId="2D0C019C" w:rsidR="0009136A" w:rsidRDefault="00D93C51">
      <w:pPr>
        <w:pBdr>
          <w:top w:val="nil"/>
          <w:left w:val="nil"/>
          <w:bottom w:val="nil"/>
          <w:right w:val="nil"/>
          <w:between w:val="nil"/>
        </w:pBdr>
        <w:spacing w:after="0" w:line="240" w:lineRule="auto"/>
        <w:ind w:firstLine="567"/>
        <w:jc w:val="both"/>
        <w:rPr>
          <w:color w:val="000000"/>
        </w:rPr>
      </w:pPr>
      <w:r>
        <w:rPr>
          <w:color w:val="000000"/>
        </w:rPr>
        <w:t>1.</w:t>
      </w:r>
      <w:r w:rsidR="008761CD">
        <w:rPr>
          <w:color w:val="000000"/>
        </w:rPr>
        <w:t>4</w:t>
      </w:r>
      <w:r>
        <w:rPr>
          <w:color w:val="000000"/>
        </w:rPr>
        <w:t>. Stebėtojai dalyvauti Komisijos posėdžiuose nėra kviečiami.</w:t>
      </w:r>
    </w:p>
    <w:p w14:paraId="13FDA473" w14:textId="4F51EDD1" w:rsidR="0009136A" w:rsidRDefault="00D93C51">
      <w:pPr>
        <w:pBdr>
          <w:top w:val="nil"/>
          <w:left w:val="nil"/>
          <w:bottom w:val="nil"/>
          <w:right w:val="nil"/>
          <w:between w:val="nil"/>
        </w:pBdr>
        <w:spacing w:after="0" w:line="240" w:lineRule="auto"/>
        <w:ind w:firstLine="567"/>
        <w:jc w:val="both"/>
        <w:rPr>
          <w:color w:val="00B050"/>
        </w:rPr>
      </w:pPr>
      <w:r>
        <w:rPr>
          <w:color w:val="000000"/>
        </w:rPr>
        <w:t>1.</w:t>
      </w:r>
      <w:r w:rsidR="008761CD">
        <w:rPr>
          <w:color w:val="000000"/>
        </w:rPr>
        <w:t>5</w:t>
      </w:r>
      <w:r>
        <w:rPr>
          <w:color w:val="000000"/>
        </w:rPr>
        <w:t>. Atliekamas žaliasis pirkimas. Pirkimas vykdomas vadovaujantis Lietuvos Respublikos aplinkos ministro 2011 m. birželio 28 d. įsakymo Nr. D1-508 „</w:t>
      </w:r>
      <w:hyperlink r:id="rId16">
        <w:r>
          <w:rPr>
            <w:color w:val="0070C0"/>
            <w:u w:val="single"/>
          </w:rPr>
          <w:t>Dėl Aplinkos apsaugos kriterijų taikymo, vykdant žaliuosius pirkimus, tvarkos aprašo patvirtinimo</w:t>
        </w:r>
      </w:hyperlink>
      <w:r>
        <w:rPr>
          <w:color w:val="000000"/>
        </w:rPr>
        <w:t>“ 15.1 p.: „Pastatų projektavimo paslaugos ir jų statybos darbai, kai yra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13FDA474" w14:textId="41EB36EA" w:rsidR="0009136A" w:rsidRPr="008761CD" w:rsidRDefault="00D93C51" w:rsidP="008761CD">
      <w:pPr>
        <w:pStyle w:val="Sraopastraipa"/>
        <w:numPr>
          <w:ilvl w:val="1"/>
          <w:numId w:val="3"/>
        </w:numPr>
        <w:pBdr>
          <w:top w:val="nil"/>
          <w:left w:val="nil"/>
          <w:bottom w:val="nil"/>
          <w:right w:val="nil"/>
          <w:between w:val="nil"/>
        </w:pBdr>
        <w:tabs>
          <w:tab w:val="left" w:pos="993"/>
        </w:tabs>
        <w:spacing w:after="0" w:line="240" w:lineRule="auto"/>
        <w:jc w:val="both"/>
        <w:rPr>
          <w:color w:val="000000"/>
        </w:rPr>
      </w:pPr>
      <w:r w:rsidRPr="008761CD">
        <w:rPr>
          <w:color w:val="000000"/>
        </w:rPr>
        <w:t>Išankstinis skelbimas apie pirkimą nebuvo paskelbtas.</w:t>
      </w:r>
    </w:p>
    <w:p w14:paraId="13FDA475" w14:textId="77777777" w:rsidR="0009136A" w:rsidRDefault="00D93C51">
      <w:pPr>
        <w:numPr>
          <w:ilvl w:val="1"/>
          <w:numId w:val="3"/>
        </w:numPr>
        <w:pBdr>
          <w:top w:val="nil"/>
          <w:left w:val="nil"/>
          <w:bottom w:val="nil"/>
          <w:right w:val="nil"/>
          <w:between w:val="nil"/>
        </w:pBdr>
        <w:tabs>
          <w:tab w:val="left" w:pos="851"/>
          <w:tab w:val="left" w:pos="993"/>
        </w:tabs>
        <w:spacing w:after="0" w:line="240" w:lineRule="auto"/>
        <w:jc w:val="both"/>
        <w:rPr>
          <w:color w:val="000000"/>
        </w:rPr>
      </w:pPr>
      <w:r>
        <w:rPr>
          <w:color w:val="000000"/>
        </w:rPr>
        <w:t xml:space="preserve">Pirkime  perkančioji organizacija nenumato skelbti pranešimo dėl savanoriško </w:t>
      </w:r>
      <w:proofErr w:type="spellStart"/>
      <w:r>
        <w:rPr>
          <w:i/>
          <w:color w:val="000000"/>
        </w:rPr>
        <w:t>ex</w:t>
      </w:r>
      <w:proofErr w:type="spellEnd"/>
      <w:r>
        <w:rPr>
          <w:i/>
          <w:color w:val="000000"/>
        </w:rPr>
        <w:t xml:space="preserve"> ante</w:t>
      </w:r>
      <w:r>
        <w:rPr>
          <w:color w:val="000000"/>
        </w:rPr>
        <w:t xml:space="preserve"> skaidrumo.</w:t>
      </w:r>
    </w:p>
    <w:p w14:paraId="13FDA476" w14:textId="77777777" w:rsidR="0009136A" w:rsidRDefault="00D93C51">
      <w:pPr>
        <w:numPr>
          <w:ilvl w:val="1"/>
          <w:numId w:val="3"/>
        </w:numPr>
        <w:pBdr>
          <w:top w:val="nil"/>
          <w:left w:val="nil"/>
          <w:bottom w:val="nil"/>
          <w:right w:val="nil"/>
          <w:between w:val="nil"/>
        </w:pBdr>
        <w:tabs>
          <w:tab w:val="left" w:pos="851"/>
          <w:tab w:val="left" w:pos="993"/>
        </w:tabs>
        <w:spacing w:after="0" w:line="240" w:lineRule="auto"/>
        <w:jc w:val="both"/>
        <w:rPr>
          <w:color w:val="7030A0"/>
        </w:rPr>
      </w:pPr>
      <w:r>
        <w:rPr>
          <w:color w:val="000000"/>
        </w:rPr>
        <w:t xml:space="preserve">Pirkime neleidžiama pateikti alternatyvių pasiūlymų. </w:t>
      </w:r>
    </w:p>
    <w:p w14:paraId="13FDA477" w14:textId="0246BDEB" w:rsidR="0009136A" w:rsidRPr="00EF2381" w:rsidRDefault="00D93C51">
      <w:pPr>
        <w:numPr>
          <w:ilvl w:val="1"/>
          <w:numId w:val="3"/>
        </w:numPr>
        <w:pBdr>
          <w:top w:val="nil"/>
          <w:left w:val="nil"/>
          <w:bottom w:val="nil"/>
          <w:right w:val="nil"/>
          <w:between w:val="nil"/>
        </w:pBdr>
        <w:tabs>
          <w:tab w:val="left" w:pos="851"/>
          <w:tab w:val="left" w:pos="993"/>
        </w:tabs>
        <w:spacing w:after="0" w:line="240" w:lineRule="auto"/>
        <w:jc w:val="both"/>
        <w:rPr>
          <w:color w:val="333333"/>
        </w:rPr>
      </w:pPr>
      <w:r>
        <w:rPr>
          <w:color w:val="000000"/>
        </w:rPr>
        <w:t xml:space="preserve"> </w:t>
      </w:r>
      <w:r>
        <w:rPr>
          <w:color w:val="333333"/>
        </w:rPr>
        <w:t>Bendrosios pirkimo sąlygos yra neatskiriama šių pirkimo sąlygų dalis.</w:t>
      </w:r>
    </w:p>
    <w:p w14:paraId="6EF09D83" w14:textId="449C5951" w:rsidR="00EF2381" w:rsidRPr="00EF2381" w:rsidRDefault="00EF2381" w:rsidP="00EF2381">
      <w:pPr>
        <w:numPr>
          <w:ilvl w:val="1"/>
          <w:numId w:val="3"/>
        </w:numPr>
        <w:pBdr>
          <w:top w:val="nil"/>
          <w:left w:val="nil"/>
          <w:bottom w:val="nil"/>
          <w:right w:val="nil"/>
          <w:between w:val="nil"/>
        </w:pBdr>
        <w:tabs>
          <w:tab w:val="left" w:pos="993"/>
        </w:tabs>
        <w:spacing w:after="0" w:line="240" w:lineRule="auto"/>
        <w:ind w:left="0" w:firstLine="567"/>
        <w:jc w:val="both"/>
      </w:pPr>
      <w:r w:rsidRPr="00EF2381">
        <w:t xml:space="preserve"> 2024-08-11 buvo vykd</w:t>
      </w:r>
      <w:r w:rsidR="00E84F7C">
        <w:t>yta</w:t>
      </w:r>
      <w:r w:rsidRPr="00EF2381">
        <w:t xml:space="preserve"> rinkos konsultacija </w:t>
      </w:r>
      <w:hyperlink r:id="rId17" w:history="1">
        <w:r w:rsidRPr="00A73EE8">
          <w:rPr>
            <w:rStyle w:val="Hipersaitas"/>
          </w:rPr>
          <w:t>https://cvpp.eviesiejipirkimai.lt/Notice/Details/2024-614234</w:t>
        </w:r>
      </w:hyperlink>
      <w:r w:rsidR="00557D3D">
        <w:rPr>
          <w:rStyle w:val="Hipersaitas"/>
        </w:rPr>
        <w:t xml:space="preserve"> </w:t>
      </w:r>
      <w:r>
        <w:t xml:space="preserve">. </w:t>
      </w:r>
    </w:p>
    <w:p w14:paraId="13FDA478" w14:textId="77777777" w:rsidR="0009136A" w:rsidRDefault="00D93C51">
      <w:pPr>
        <w:pStyle w:val="Antrat1"/>
      </w:pPr>
      <w:bookmarkStart w:id="2" w:name="_Toc185093607"/>
      <w:r>
        <w:rPr>
          <w:rFonts w:ascii="Calibri" w:eastAsia="Calibri" w:hAnsi="Calibri" w:cs="Calibri"/>
        </w:rPr>
        <w:t>2</w:t>
      </w:r>
      <w:r>
        <w:t xml:space="preserve">. </w:t>
      </w:r>
      <w:r>
        <w:rPr>
          <w:rFonts w:ascii="Calibri" w:eastAsia="Calibri" w:hAnsi="Calibri" w:cs="Calibri"/>
        </w:rPr>
        <w:t>Pirkimo objektas</w:t>
      </w:r>
      <w:bookmarkEnd w:id="2"/>
    </w:p>
    <w:p w14:paraId="13FDA479" w14:textId="4CA911E4" w:rsidR="0009136A" w:rsidRDefault="00D93C51">
      <w:pPr>
        <w:numPr>
          <w:ilvl w:val="1"/>
          <w:numId w:val="5"/>
        </w:numPr>
        <w:pBdr>
          <w:top w:val="nil"/>
          <w:left w:val="nil"/>
          <w:bottom w:val="nil"/>
          <w:right w:val="nil"/>
          <w:between w:val="nil"/>
        </w:pBdr>
        <w:tabs>
          <w:tab w:val="left" w:pos="993"/>
        </w:tabs>
        <w:spacing w:after="120" w:line="240" w:lineRule="auto"/>
        <w:ind w:left="0" w:firstLine="567"/>
        <w:jc w:val="both"/>
        <w:rPr>
          <w:color w:val="FF0000"/>
        </w:rPr>
      </w:pPr>
      <w:r>
        <w:rPr>
          <w:color w:val="000000"/>
        </w:rPr>
        <w:t xml:space="preserve">Perkančioji organizacija numato įsigyti </w:t>
      </w:r>
      <w:r w:rsidR="00E84F7C">
        <w:rPr>
          <w:color w:val="000000"/>
        </w:rPr>
        <w:t xml:space="preserve">RVPL 222 </w:t>
      </w:r>
      <w:r>
        <w:rPr>
          <w:color w:val="000000"/>
        </w:rPr>
        <w:t>Psichiatrijos dienos stacionaro plėtros</w:t>
      </w:r>
      <w:r w:rsidR="00D32D73">
        <w:rPr>
          <w:color w:val="000000"/>
        </w:rPr>
        <w:t xml:space="preserve"> pastato</w:t>
      </w:r>
      <w:r w:rsidR="004C0EFA">
        <w:rPr>
          <w:color w:val="000000"/>
        </w:rPr>
        <w:t xml:space="preserve">, Parko g. 21, Vilniuje, </w:t>
      </w:r>
      <w:r>
        <w:rPr>
          <w:color w:val="000000"/>
        </w:rPr>
        <w:t xml:space="preserve"> projektinių pasiūlymų, techninio darbo projekto parengimo ir projekto vykdymo priežiūros paslaugos</w:t>
      </w:r>
      <w:r>
        <w:rPr>
          <w:color w:val="00B050"/>
        </w:rPr>
        <w:t>.</w:t>
      </w:r>
      <w:r>
        <w:rPr>
          <w:color w:val="000000"/>
        </w:rPr>
        <w:t xml:space="preserve"> Reikalavimai pirkimo objektui nustatyti specialiųjų pirkimo sąlygų </w:t>
      </w:r>
      <w:r>
        <w:rPr>
          <w:b/>
          <w:color w:val="000000"/>
        </w:rPr>
        <w:t>1</w:t>
      </w:r>
      <w:r>
        <w:rPr>
          <w:rFonts w:ascii="Arial" w:eastAsia="Arial" w:hAnsi="Arial" w:cs="Arial"/>
          <w:b/>
          <w:color w:val="00B050"/>
        </w:rPr>
        <w:t xml:space="preserve"> </w:t>
      </w:r>
      <w:r>
        <w:rPr>
          <w:b/>
          <w:color w:val="000000"/>
        </w:rPr>
        <w:t>priede</w:t>
      </w:r>
      <w:r>
        <w:rPr>
          <w:color w:val="000000"/>
        </w:rPr>
        <w:t>.</w:t>
      </w:r>
    </w:p>
    <w:p w14:paraId="13FDA47A" w14:textId="4AB167D0" w:rsidR="0009136A" w:rsidRPr="00E84F7C" w:rsidRDefault="00D93C51">
      <w:pPr>
        <w:pBdr>
          <w:top w:val="nil"/>
          <w:left w:val="nil"/>
          <w:bottom w:val="nil"/>
          <w:right w:val="nil"/>
          <w:between w:val="nil"/>
        </w:pBdr>
        <w:tabs>
          <w:tab w:val="left" w:pos="1134"/>
        </w:tabs>
        <w:spacing w:after="0" w:line="240" w:lineRule="auto"/>
        <w:ind w:firstLine="567"/>
        <w:jc w:val="both"/>
        <w:rPr>
          <w:color w:val="000000"/>
        </w:rPr>
      </w:pPr>
      <w:r w:rsidRPr="00E84F7C">
        <w:rPr>
          <w:color w:val="000000"/>
        </w:rPr>
        <w:t xml:space="preserve">2.2. Pirkimo objektas į dalis neskaidomas. Tiekėjai turi pateikti pasiūlymą dėl visos paslaugų apimties. Tarptautinės vertės pirkimo objektas neskaidomas į dalis, nes išskaidžius pirkimo objektą pirkimo sutarties vykdymas taptų per brangus ir sudėtingas praktiniu ir techniniu (suderinamumo) požiūriu. Perkamos projektinių pasiūlymų, techninio </w:t>
      </w:r>
      <w:r w:rsidR="00C10754" w:rsidRPr="00E84F7C">
        <w:rPr>
          <w:color w:val="000000"/>
        </w:rPr>
        <w:t xml:space="preserve">darbo </w:t>
      </w:r>
      <w:r w:rsidRPr="00E84F7C">
        <w:rPr>
          <w:color w:val="000000"/>
        </w:rPr>
        <w:t>projekto  parengimo ir projekto vykdymo priežiūros paslaugos yra glaudžiai susijusios, todėl siekiant užtikrinti kokybišką paslaugų gavimą, tikslinga vykdyti pirkimą, neskaidant jo į pirkimo dalis. Jeigu pirkimo objektas būtų skaidomas į dalis, perkančiajai organizacijai atsirastų būtinybė koordinuoti šių dalių tiekėjus</w:t>
      </w:r>
      <w:r w:rsidR="00EB734C">
        <w:rPr>
          <w:color w:val="000000"/>
        </w:rPr>
        <w:t xml:space="preserve"> </w:t>
      </w:r>
      <w:r w:rsidRPr="00E84F7C">
        <w:rPr>
          <w:color w:val="000000"/>
        </w:rPr>
        <w:t>ir tai keltų riziką netinkamai įvykdyti pirkimo sutartį. Atsižvelgiant į tai, kas išdėstyta, bei vadovaujantis Viešųjų pirkimų įstatymo 28 straipsnio 2 dalimi, darytina išvada, kad neskaidant pirkimo į dalis būtų efektyviau ir racionaliau naudojamos perkančiosios organizacijos lėšos, greičiau bei efektyviau sprendžiamos iškilusios problemos.</w:t>
      </w:r>
    </w:p>
    <w:p w14:paraId="13FDA47C" w14:textId="7C82D630" w:rsidR="0009136A" w:rsidRDefault="00D93C51">
      <w:pPr>
        <w:pBdr>
          <w:top w:val="nil"/>
          <w:left w:val="nil"/>
          <w:bottom w:val="nil"/>
          <w:right w:val="nil"/>
          <w:between w:val="nil"/>
        </w:pBdr>
        <w:spacing w:after="0" w:line="240" w:lineRule="auto"/>
        <w:ind w:firstLine="567"/>
        <w:jc w:val="both"/>
        <w:rPr>
          <w:color w:val="000000"/>
        </w:rPr>
      </w:pPr>
      <w:r>
        <w:rPr>
          <w:color w:val="000000"/>
        </w:rPr>
        <w:t>2.</w:t>
      </w:r>
      <w:r w:rsidR="00EB734C">
        <w:rPr>
          <w:color w:val="000000"/>
        </w:rPr>
        <w:t>3</w:t>
      </w:r>
      <w:r>
        <w:rPr>
          <w:color w:val="000000"/>
        </w:rPr>
        <w:t xml:space="preserve">. Jeigu apibūdinant pirkimo objektą </w:t>
      </w:r>
      <w:r w:rsidR="00815149">
        <w:rPr>
          <w:color w:val="000000"/>
        </w:rPr>
        <w:t>1 priede „</w:t>
      </w:r>
      <w:r w:rsidR="005E10AD" w:rsidRPr="005E10AD">
        <w:rPr>
          <w:color w:val="000000"/>
        </w:rPr>
        <w:t>Statinio projektavimo techninė užduotis</w:t>
      </w:r>
      <w:r w:rsidR="00815149" w:rsidRPr="005E10AD">
        <w:rPr>
          <w:color w:val="000000"/>
        </w:rPr>
        <w:t>“</w:t>
      </w:r>
      <w:r w:rsidRPr="005E10AD">
        <w:rPr>
          <w:color w:val="000000"/>
        </w:rPr>
        <w:t xml:space="preserve"> nurodytas</w:t>
      </w:r>
      <w:r>
        <w:rPr>
          <w:color w:val="000000"/>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3FDA47D" w14:textId="736E0FDC" w:rsidR="0009136A" w:rsidRDefault="00D93C51">
      <w:pPr>
        <w:pBdr>
          <w:top w:val="nil"/>
          <w:left w:val="nil"/>
          <w:bottom w:val="nil"/>
          <w:right w:val="nil"/>
          <w:between w:val="nil"/>
        </w:pBdr>
        <w:spacing w:after="0" w:line="240" w:lineRule="auto"/>
        <w:ind w:firstLine="567"/>
        <w:jc w:val="both"/>
        <w:rPr>
          <w:color w:val="000000"/>
        </w:rPr>
      </w:pPr>
      <w:r>
        <w:rPr>
          <w:color w:val="000000"/>
        </w:rPr>
        <w:t>2.</w:t>
      </w:r>
      <w:r w:rsidR="00EB734C">
        <w:rPr>
          <w:color w:val="000000"/>
        </w:rPr>
        <w:t>4</w:t>
      </w:r>
      <w:r>
        <w:rPr>
          <w:color w:val="000000"/>
        </w:rPr>
        <w:t xml:space="preserve">. Jeigu apibūdinant pirkimo objektą </w:t>
      </w:r>
      <w:r w:rsidR="00AE0F82">
        <w:rPr>
          <w:color w:val="000000"/>
        </w:rPr>
        <w:t>1 priede „</w:t>
      </w:r>
      <w:r w:rsidR="005E10AD" w:rsidRPr="005E10AD">
        <w:rPr>
          <w:color w:val="000000"/>
        </w:rPr>
        <w:t>Statinio projektavimo techninė užduotis</w:t>
      </w:r>
      <w:r w:rsidR="00AE0F82">
        <w:rPr>
          <w:color w:val="000000"/>
        </w:rPr>
        <w:t xml:space="preserve">“ </w:t>
      </w:r>
      <w:r>
        <w:rPr>
          <w:color w:val="000000"/>
        </w:rPr>
        <w:t xml:space="preserve"> nurodytas standartas, techninis liudijimas ar bendrosios techninės specifikacijos (Europos standartą perimantis Lietuvos </w:t>
      </w:r>
      <w:r>
        <w:rPr>
          <w:color w:val="000000"/>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FDA47E" w14:textId="77777777" w:rsidR="0009136A" w:rsidRDefault="0009136A">
      <w:pPr>
        <w:pBdr>
          <w:top w:val="nil"/>
          <w:left w:val="nil"/>
          <w:bottom w:val="nil"/>
          <w:right w:val="nil"/>
          <w:between w:val="nil"/>
        </w:pBdr>
        <w:spacing w:after="0" w:line="240" w:lineRule="auto"/>
        <w:ind w:firstLine="567"/>
        <w:jc w:val="both"/>
        <w:rPr>
          <w:color w:val="000000"/>
        </w:rPr>
      </w:pPr>
    </w:p>
    <w:p w14:paraId="13FDA47F" w14:textId="77777777" w:rsidR="0009136A" w:rsidRDefault="00D93C51">
      <w:pPr>
        <w:pStyle w:val="Antrat1"/>
        <w:rPr>
          <w:rFonts w:ascii="Calibri" w:eastAsia="Calibri" w:hAnsi="Calibri" w:cs="Calibri"/>
        </w:rPr>
      </w:pPr>
      <w:bookmarkStart w:id="3" w:name="_Toc185093608"/>
      <w:r>
        <w:rPr>
          <w:rFonts w:ascii="Calibri" w:eastAsia="Calibri" w:hAnsi="Calibri" w:cs="Calibri"/>
        </w:rPr>
        <w:t>3. Susitikimai su tiekėjais ir objekto apžiūra</w:t>
      </w:r>
      <w:bookmarkEnd w:id="3"/>
    </w:p>
    <w:p w14:paraId="13FDA480" w14:textId="684C478A" w:rsidR="0009136A" w:rsidRDefault="00D93C51">
      <w:pPr>
        <w:spacing w:after="0"/>
        <w:ind w:firstLine="567"/>
        <w:jc w:val="both"/>
      </w:pPr>
      <w:r>
        <w:t>3.1. Perkančioji organizacija suteiks galimybę apžiūrėti objektą</w:t>
      </w:r>
      <w:r w:rsidR="005E10AD">
        <w:t>.</w:t>
      </w:r>
      <w:r>
        <w:t xml:space="preserve">  </w:t>
      </w:r>
    </w:p>
    <w:p w14:paraId="13FDA481" w14:textId="339A2155" w:rsidR="0009136A" w:rsidRDefault="00D93C51">
      <w:pPr>
        <w:pBdr>
          <w:top w:val="nil"/>
          <w:left w:val="nil"/>
          <w:bottom w:val="nil"/>
          <w:right w:val="nil"/>
          <w:between w:val="nil"/>
        </w:pBdr>
        <w:spacing w:after="0"/>
        <w:ind w:firstLine="567"/>
        <w:jc w:val="both"/>
        <w:rPr>
          <w:color w:val="000000"/>
        </w:rPr>
      </w:pPr>
      <w:r w:rsidRPr="005E10AD">
        <w:rPr>
          <w:color w:val="000000"/>
        </w:rPr>
        <w:t xml:space="preserve">3.2. Tiekėjai, norintys apžiūrėti objektą, turi specialiųjų pirkimo sąlygų </w:t>
      </w:r>
      <w:r w:rsidRPr="005E10AD">
        <w:rPr>
          <w:b/>
          <w:color w:val="000000"/>
        </w:rPr>
        <w:t>1</w:t>
      </w:r>
      <w:r w:rsidR="00036493">
        <w:rPr>
          <w:b/>
          <w:color w:val="000000"/>
        </w:rPr>
        <w:t>2</w:t>
      </w:r>
      <w:r w:rsidRPr="005E10AD">
        <w:rPr>
          <w:b/>
          <w:color w:val="000000"/>
        </w:rPr>
        <w:t xml:space="preserve"> priede</w:t>
      </w:r>
      <w:r w:rsidRPr="005E10AD">
        <w:rPr>
          <w:color w:val="000000"/>
        </w:rPr>
        <w:t xml:space="preserve"> nustatytais terminais pateikti CVP IS susirašinėjimo priemonėmis prašymą,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 Apie konkrečią apžiūros datą, laiką ir vietą bus paskelbta atskiru pranešimu CVP IS ir išsiųsta tiekėjams CVP IS susirašinėjimo priemonėm</w:t>
      </w:r>
      <w:r w:rsidRPr="003804DC">
        <w:rPr>
          <w:color w:val="000000"/>
        </w:rPr>
        <w:t>is.</w:t>
      </w:r>
    </w:p>
    <w:p w14:paraId="6019687B" w14:textId="197DD618" w:rsidR="005E10AD" w:rsidRDefault="005E10AD">
      <w:pPr>
        <w:pBdr>
          <w:top w:val="nil"/>
          <w:left w:val="nil"/>
          <w:bottom w:val="nil"/>
          <w:right w:val="nil"/>
          <w:between w:val="nil"/>
        </w:pBdr>
        <w:spacing w:after="0"/>
        <w:ind w:firstLine="567"/>
        <w:jc w:val="both"/>
        <w:rPr>
          <w:color w:val="000000"/>
        </w:rPr>
      </w:pPr>
    </w:p>
    <w:p w14:paraId="13FDA482" w14:textId="77777777" w:rsidR="0009136A" w:rsidRDefault="00D93C51">
      <w:pPr>
        <w:pStyle w:val="Antrat1"/>
        <w:rPr>
          <w:rFonts w:ascii="Calibri" w:eastAsia="Calibri" w:hAnsi="Calibri" w:cs="Calibri"/>
        </w:rPr>
      </w:pPr>
      <w:bookmarkStart w:id="4" w:name="_Toc185093609"/>
      <w:r w:rsidRPr="005036C3">
        <w:rPr>
          <w:b/>
          <w:bCs/>
        </w:rPr>
        <w:t>4</w:t>
      </w:r>
      <w:r>
        <w:t xml:space="preserve">. </w:t>
      </w:r>
      <w:r>
        <w:rPr>
          <w:rFonts w:ascii="Calibri" w:eastAsia="Calibri" w:hAnsi="Calibri" w:cs="Calibri"/>
        </w:rPr>
        <w:t>Tiekėjų pašalinimo pagrindai ir kvalifikacijos reikalavimai</w:t>
      </w:r>
      <w:bookmarkEnd w:id="4"/>
    </w:p>
    <w:p w14:paraId="13FDA483" w14:textId="1D252934" w:rsidR="0009136A" w:rsidRDefault="00D93C51" w:rsidP="00036493">
      <w:pPr>
        <w:pBdr>
          <w:top w:val="nil"/>
          <w:left w:val="nil"/>
          <w:bottom w:val="nil"/>
          <w:right w:val="nil"/>
          <w:between w:val="nil"/>
        </w:pBdr>
        <w:spacing w:after="0" w:line="240" w:lineRule="auto"/>
        <w:ind w:firstLine="567"/>
        <w:jc w:val="both"/>
        <w:rPr>
          <w:color w:val="000000"/>
        </w:rPr>
      </w:pPr>
      <w:bookmarkStart w:id="5" w:name="_heading=h.tyjcwt" w:colFirst="0" w:colLast="0"/>
      <w:bookmarkEnd w:id="5"/>
      <w:r>
        <w:rPr>
          <w:color w:val="000000"/>
        </w:rPr>
        <w:t xml:space="preserve">4.1. Reikalavimai dėl tiekėjo ir subtiekėjų (jei taikoma), ūkio subjektų, kurių pajėgumais tiekėjas remiasi, pašalinimo pagrindų nebuvimo bei jų nebuvimą patvirtinantys dokumentai nurodyti specialiųjų pirkimo sąlygų </w:t>
      </w:r>
      <w:r>
        <w:rPr>
          <w:b/>
          <w:color w:val="000000"/>
        </w:rPr>
        <w:t>3 priede</w:t>
      </w:r>
      <w:r w:rsidR="00CB522C" w:rsidRPr="00CB522C">
        <w:rPr>
          <w:bCs/>
          <w:color w:val="000000"/>
        </w:rPr>
        <w:t xml:space="preserve"> „Tiekėjų pašalinimo pagrindai ir kvalifikacija“</w:t>
      </w:r>
      <w:r w:rsidRPr="00CB522C">
        <w:rPr>
          <w:bCs/>
          <w:color w:val="000000"/>
        </w:rPr>
        <w:t xml:space="preserve">. </w:t>
      </w:r>
    </w:p>
    <w:p w14:paraId="13FDA484" w14:textId="3B9E4D42" w:rsidR="0009136A" w:rsidRPr="00CB522C" w:rsidRDefault="00D93C51" w:rsidP="00036493">
      <w:pPr>
        <w:pBdr>
          <w:top w:val="nil"/>
          <w:left w:val="nil"/>
          <w:bottom w:val="nil"/>
          <w:right w:val="nil"/>
          <w:between w:val="nil"/>
        </w:pBdr>
        <w:tabs>
          <w:tab w:val="left" w:pos="851"/>
        </w:tabs>
        <w:spacing w:after="0" w:line="240" w:lineRule="auto"/>
        <w:ind w:firstLine="567"/>
        <w:jc w:val="both"/>
        <w:rPr>
          <w:bCs/>
          <w:color w:val="000000"/>
          <w:highlight w:val="yellow"/>
        </w:rPr>
      </w:pPr>
      <w:r>
        <w:rPr>
          <w:color w:val="000000"/>
        </w:rPr>
        <w:t xml:space="preserve">4.2. Tiekėjams nustatomi kvalifikacijos reikalavimai, </w:t>
      </w:r>
      <w:r w:rsidRPr="00CB522C">
        <w:rPr>
          <w:color w:val="000000"/>
        </w:rPr>
        <w:t xml:space="preserve">pateikiami </w:t>
      </w:r>
      <w:r w:rsidR="008A425B" w:rsidRPr="00CB522C">
        <w:rPr>
          <w:color w:val="000000"/>
        </w:rPr>
        <w:t xml:space="preserve">specialiųjų </w:t>
      </w:r>
      <w:r w:rsidRPr="00CB522C">
        <w:rPr>
          <w:color w:val="000000"/>
        </w:rPr>
        <w:t xml:space="preserve">pirkimo sąlygų </w:t>
      </w:r>
      <w:r w:rsidRPr="00CB522C">
        <w:rPr>
          <w:b/>
          <w:color w:val="000000"/>
        </w:rPr>
        <w:t>3 priede</w:t>
      </w:r>
      <w:r w:rsidR="00CB522C">
        <w:rPr>
          <w:b/>
          <w:color w:val="000000"/>
        </w:rPr>
        <w:t xml:space="preserve"> </w:t>
      </w:r>
      <w:r w:rsidR="00CB522C" w:rsidRPr="00CB522C">
        <w:rPr>
          <w:bCs/>
          <w:color w:val="000000"/>
        </w:rPr>
        <w:t>„Tiekėjų pašalinimo pagrindai ir kvalifikacija“</w:t>
      </w:r>
      <w:r w:rsidRPr="00CB522C">
        <w:rPr>
          <w:bCs/>
          <w:color w:val="000000"/>
        </w:rPr>
        <w:t xml:space="preserve">. </w:t>
      </w:r>
    </w:p>
    <w:p w14:paraId="13FDA485" w14:textId="244C4E16" w:rsidR="0009136A" w:rsidRPr="00CB522C" w:rsidRDefault="00D93C51">
      <w:pPr>
        <w:pStyle w:val="Antrat1"/>
        <w:tabs>
          <w:tab w:val="left" w:pos="567"/>
        </w:tabs>
        <w:spacing w:after="0"/>
        <w:jc w:val="both"/>
      </w:pPr>
      <w:bookmarkStart w:id="6" w:name="_Toc185093610"/>
      <w:r w:rsidRPr="00CB522C">
        <w:rPr>
          <w:rFonts w:ascii="Calibri" w:hAnsi="Calibri"/>
        </w:rPr>
        <w:t>5.</w:t>
      </w:r>
      <w:r w:rsidR="00CC16E0">
        <w:rPr>
          <w:rFonts w:ascii="Calibri" w:hAnsi="Calibri"/>
        </w:rPr>
        <w:t xml:space="preserve"> </w:t>
      </w:r>
      <w:r w:rsidRPr="00CB522C">
        <w:rPr>
          <w:rFonts w:ascii="Calibri" w:hAnsi="Calibri"/>
        </w:rPr>
        <w:t>Reikalavimai, susiję su nacionaliniu saugumu</w:t>
      </w:r>
      <w:bookmarkEnd w:id="6"/>
      <w:r w:rsidRPr="00CB522C">
        <w:t xml:space="preserve"> </w:t>
      </w:r>
    </w:p>
    <w:p w14:paraId="04EF36EB" w14:textId="04D47E45" w:rsidR="00CB522C" w:rsidRDefault="00D93C51" w:rsidP="00CB522C">
      <w:pPr>
        <w:tabs>
          <w:tab w:val="left" w:pos="993"/>
        </w:tabs>
        <w:spacing w:after="0" w:line="240" w:lineRule="auto"/>
        <w:ind w:firstLine="567"/>
        <w:jc w:val="both"/>
      </w:pPr>
      <w:r w:rsidRPr="00CB522C">
        <w:t xml:space="preserve">5.1. </w:t>
      </w:r>
      <w:r w:rsidR="00CB522C">
        <w:t xml:space="preserve">Pirkimui taikomos Reglamento nuostatos. Kartu su Pasiūlymu Tiekėjas turi pateikti užpildytą deklaraciją dėl (ne)atitikties Reglamento nuostatoms, kuri pateikta specialiųjų pirkimo sąlygų </w:t>
      </w:r>
      <w:r w:rsidR="00CB522C" w:rsidRPr="001607A5">
        <w:rPr>
          <w:b/>
          <w:bCs/>
        </w:rPr>
        <w:t>6 pried</w:t>
      </w:r>
      <w:r w:rsidR="00A02AED">
        <w:rPr>
          <w:b/>
          <w:bCs/>
        </w:rPr>
        <w:t xml:space="preserve">as </w:t>
      </w:r>
      <w:r w:rsidR="00A02AED" w:rsidRPr="001607A5">
        <w:t>„</w:t>
      </w:r>
      <w:r w:rsidR="00F83C6D" w:rsidRPr="00916D6A">
        <w:t>Tiekėjo deklaracija dėl atitikimo nacionalinio saugumo reikalavimams</w:t>
      </w:r>
      <w:r w:rsidR="00A02AED" w:rsidRPr="00916D6A">
        <w:t>“</w:t>
      </w:r>
      <w:r w:rsidR="00CB522C" w:rsidRPr="00916D6A">
        <w:t>. Kilus abejonių dėl tiekėjo (ne)atitikties Reglamento</w:t>
      </w:r>
      <w:r w:rsidR="00CB522C">
        <w:t xml:space="preserve"> nuostatoms, Pirkimo vykdytojas iš galimo laimėtojo prašys pateikti dokumentus, įrodančius deklaracijoje pateiktų duomenų teisingumą.</w:t>
      </w:r>
    </w:p>
    <w:p w14:paraId="681A9189" w14:textId="658E265B" w:rsidR="00CB522C" w:rsidRDefault="008761CD" w:rsidP="00CB522C">
      <w:pPr>
        <w:tabs>
          <w:tab w:val="left" w:pos="993"/>
        </w:tabs>
        <w:spacing w:after="0" w:line="240" w:lineRule="auto"/>
        <w:ind w:firstLine="567"/>
        <w:jc w:val="both"/>
      </w:pPr>
      <w:r>
        <w:t xml:space="preserve">5.2. </w:t>
      </w:r>
      <w:r w:rsidR="00CB522C">
        <w:t>P</w:t>
      </w:r>
      <w:r w:rsidR="001607A5">
        <w:t xml:space="preserve">erkančioji organizacija </w:t>
      </w:r>
      <w:r w:rsidR="00CB522C">
        <w:t>nusta</w:t>
      </w:r>
      <w:r w:rsidR="001607A5">
        <w:t>čiusi</w:t>
      </w:r>
      <w:r w:rsidR="00CB522C">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5E4E2F80" w14:textId="130051EF" w:rsidR="00CB522C" w:rsidRDefault="008761CD" w:rsidP="00CB522C">
      <w:pPr>
        <w:tabs>
          <w:tab w:val="left" w:pos="993"/>
        </w:tabs>
        <w:spacing w:after="0" w:line="240" w:lineRule="auto"/>
        <w:ind w:firstLine="567"/>
        <w:jc w:val="both"/>
      </w:pPr>
      <w:r>
        <w:t xml:space="preserve">5.3. </w:t>
      </w:r>
      <w:r w:rsidR="00CB522C">
        <w:t>P</w:t>
      </w:r>
      <w:r w:rsidR="001607A5">
        <w:t xml:space="preserve">erkančioji organizacija </w:t>
      </w:r>
      <w:r w:rsidR="00CB522C">
        <w:t xml:space="preserve"> atmes tiekėjo Pasiūlymą, jei bus tenkinama bent viena VPĮ 45 straipsnio 2</w:t>
      </w:r>
      <w:r w:rsidR="00CB522C">
        <w:rPr>
          <w:vertAlign w:val="superscript"/>
        </w:rPr>
        <w:t>1</w:t>
      </w:r>
      <w:r w:rsidR="00CB522C">
        <w:t xml:space="preserve"> dalies 1-3 punktuose nurodytų sąlygų. Tiekėjas kartu su Pasiūlymu turi pateikti </w:t>
      </w:r>
      <w:r w:rsidR="00F83C6D" w:rsidRPr="00F83C6D">
        <w:rPr>
          <w:b/>
          <w:bCs/>
        </w:rPr>
        <w:t>6</w:t>
      </w:r>
      <w:r w:rsidR="00916D6A" w:rsidRPr="00916D6A">
        <w:rPr>
          <w:b/>
          <w:bCs/>
        </w:rPr>
        <w:t xml:space="preserve"> priedą</w:t>
      </w:r>
      <w:r w:rsidR="00916D6A">
        <w:t xml:space="preserve"> „</w:t>
      </w:r>
      <w:r w:rsidR="00916D6A" w:rsidRPr="00916D6A">
        <w:t>Tiekėjo deklaracija dėl atitikimo nacionalinio saugumo reikalavimams“</w:t>
      </w:r>
      <w:r w:rsidR="00CB522C" w:rsidRPr="00916D6A">
        <w:t>.</w:t>
      </w:r>
    </w:p>
    <w:p w14:paraId="13FDA487" w14:textId="0DAAC2A6" w:rsidR="0009136A" w:rsidRPr="00CB522C" w:rsidRDefault="008761CD" w:rsidP="00CB522C">
      <w:pPr>
        <w:tabs>
          <w:tab w:val="left" w:pos="993"/>
        </w:tabs>
        <w:spacing w:after="0" w:line="240" w:lineRule="auto"/>
        <w:ind w:firstLine="567"/>
        <w:jc w:val="both"/>
        <w:rPr>
          <w:strike/>
        </w:rPr>
      </w:pPr>
      <w:r>
        <w:t xml:space="preserve">5.4. </w:t>
      </w:r>
      <w:r w:rsidR="00CB522C">
        <w:t>P</w:t>
      </w:r>
      <w:r w:rsidR="001607A5">
        <w:t>erkančiajai organizacijai</w:t>
      </w:r>
      <w:r w:rsidR="00CB522C">
        <w:t xml:space="preserve"> kilus abejonių dėl </w:t>
      </w:r>
      <w:r w:rsidR="00F83C6D" w:rsidRPr="00F83C6D">
        <w:rPr>
          <w:b/>
          <w:bCs/>
        </w:rPr>
        <w:t>6</w:t>
      </w:r>
      <w:r w:rsidR="00916D6A" w:rsidRPr="00916D6A">
        <w:rPr>
          <w:b/>
          <w:bCs/>
        </w:rPr>
        <w:t xml:space="preserve"> priede</w:t>
      </w:r>
      <w:r w:rsidR="00CB522C">
        <w:t xml:space="preserve"> nurodytos informacijos teisingumo, jis prašys ekonomiškai naudingiausią pasiūlymą pateikusio tiekėjo pateikti šioje deklaracijoje nurodytą informaciją patvirtinančius, VPĮ 51 straipsnio 12 dalyje nurodytus ar kitus Pirkimo vykdytojui priimtinus, dokumentus. Tokių dokumentų P</w:t>
      </w:r>
      <w:r w:rsidR="001607A5">
        <w:t>erkančioji organizacija</w:t>
      </w:r>
      <w:r w:rsidR="00CB522C">
        <w:t xml:space="preserve"> gali prašyti bet kuriuo pirkimo procedūros metu siekdamas užtikrinti tinkamą Pirkimo procedūros atlikimą</w:t>
      </w:r>
      <w:r w:rsidR="00D93C51" w:rsidRPr="00CB522C">
        <w:rPr>
          <w:strike/>
        </w:rPr>
        <w:t>.</w:t>
      </w:r>
    </w:p>
    <w:p w14:paraId="13FDA488" w14:textId="77777777" w:rsidR="0009136A" w:rsidRDefault="00D93C51">
      <w:pPr>
        <w:pStyle w:val="Antrat1"/>
        <w:rPr>
          <w:rFonts w:ascii="Calibri" w:eastAsia="Calibri" w:hAnsi="Calibri" w:cs="Calibri"/>
        </w:rPr>
      </w:pPr>
      <w:bookmarkStart w:id="7" w:name="_Toc185093611"/>
      <w:r>
        <w:rPr>
          <w:rFonts w:ascii="Calibri" w:eastAsia="Calibri" w:hAnsi="Calibri" w:cs="Calibri"/>
        </w:rPr>
        <w:lastRenderedPageBreak/>
        <w:t>6. Specialieji reikalavimai pasiūlymų rengimui ir pateikimui</w:t>
      </w:r>
      <w:bookmarkEnd w:id="7"/>
    </w:p>
    <w:p w14:paraId="13FDA489" w14:textId="77777777" w:rsidR="0009136A" w:rsidRDefault="00D93C51">
      <w:pPr>
        <w:spacing w:after="0"/>
        <w:ind w:firstLine="709"/>
        <w:jc w:val="both"/>
        <w:rPr>
          <w:i/>
          <w:color w:val="7030A0"/>
        </w:rPr>
      </w:pPr>
      <w:r>
        <w:t>6.1. Tiekėjo pasiūlymą sudaro CVP IS pateikiamų ir žemiau nurodytų dokumentų visuma:</w:t>
      </w:r>
    </w:p>
    <w:p w14:paraId="13FDA48A" w14:textId="51E8F8E3" w:rsidR="0009136A" w:rsidRDefault="00D93C51">
      <w:pPr>
        <w:numPr>
          <w:ilvl w:val="2"/>
          <w:numId w:val="7"/>
        </w:numPr>
        <w:pBdr>
          <w:top w:val="nil"/>
          <w:left w:val="nil"/>
          <w:bottom w:val="nil"/>
          <w:right w:val="nil"/>
          <w:between w:val="nil"/>
        </w:pBdr>
        <w:spacing w:after="0" w:line="240" w:lineRule="auto"/>
        <w:ind w:left="0" w:firstLine="709"/>
        <w:jc w:val="both"/>
        <w:rPr>
          <w:color w:val="000000"/>
          <w:u w:val="single"/>
        </w:rPr>
      </w:pPr>
      <w:r>
        <w:rPr>
          <w:color w:val="000000"/>
        </w:rPr>
        <w:t xml:space="preserve">tiekėjo </w:t>
      </w:r>
      <w:r w:rsidR="00FC2214">
        <w:rPr>
          <w:color w:val="000000"/>
        </w:rPr>
        <w:t xml:space="preserve">kvalifikuotu el. parašu </w:t>
      </w:r>
      <w:r>
        <w:rPr>
          <w:color w:val="000000"/>
        </w:rPr>
        <w:t xml:space="preserve">pasirašytas pasiūlymas, parengtas pagal specialiųjų pirkimo sąlygų </w:t>
      </w:r>
      <w:r>
        <w:rPr>
          <w:b/>
          <w:color w:val="000000"/>
        </w:rPr>
        <w:t>4</w:t>
      </w:r>
      <w:r>
        <w:rPr>
          <w:b/>
          <w:color w:val="000000"/>
          <w:highlight w:val="white"/>
        </w:rPr>
        <w:t xml:space="preserve"> </w:t>
      </w:r>
      <w:r>
        <w:rPr>
          <w:b/>
          <w:color w:val="000000"/>
        </w:rPr>
        <w:t>priede</w:t>
      </w:r>
      <w:r>
        <w:rPr>
          <w:color w:val="000000"/>
        </w:rPr>
        <w:t xml:space="preserve"> pateiktą pasiūlymo formą.</w:t>
      </w:r>
    </w:p>
    <w:p w14:paraId="13FDA48B" w14:textId="77777777" w:rsidR="0009136A" w:rsidRDefault="00D93C51">
      <w:pPr>
        <w:numPr>
          <w:ilvl w:val="2"/>
          <w:numId w:val="7"/>
        </w:numPr>
        <w:pBdr>
          <w:top w:val="nil"/>
          <w:left w:val="nil"/>
          <w:bottom w:val="nil"/>
          <w:right w:val="nil"/>
          <w:between w:val="nil"/>
        </w:pBdr>
        <w:spacing w:after="0" w:line="240" w:lineRule="auto"/>
        <w:ind w:left="0" w:firstLine="709"/>
        <w:jc w:val="both"/>
        <w:rPr>
          <w:color w:val="000000"/>
          <w:u w:val="single"/>
        </w:rPr>
      </w:pPr>
      <w:r>
        <w:rPr>
          <w:color w:val="000000"/>
        </w:rPr>
        <w:t xml:space="preserve">užpildytas EBVPD (specialiųjų pirkimo sąlygų </w:t>
      </w:r>
      <w:r>
        <w:rPr>
          <w:b/>
          <w:color w:val="000000"/>
        </w:rPr>
        <w:t>2</w:t>
      </w:r>
      <w:r>
        <w:rPr>
          <w:b/>
          <w:color w:val="00B050"/>
        </w:rPr>
        <w:t xml:space="preserve"> </w:t>
      </w:r>
      <w:r>
        <w:rPr>
          <w:b/>
          <w:color w:val="000000"/>
        </w:rPr>
        <w:t>priedas</w:t>
      </w:r>
      <w:r>
        <w:rPr>
          <w:color w:val="000000"/>
        </w:rPr>
        <w:t>). Pasirašydamas pasiūlymą, tiekėjas patvirtina ir EBVPD tikrumą;</w:t>
      </w:r>
    </w:p>
    <w:p w14:paraId="3D2339B1" w14:textId="78767013" w:rsidR="00916D6A" w:rsidRPr="00916D6A" w:rsidRDefault="00916D6A" w:rsidP="00916D6A">
      <w:pPr>
        <w:numPr>
          <w:ilvl w:val="2"/>
          <w:numId w:val="7"/>
        </w:numPr>
        <w:pBdr>
          <w:top w:val="nil"/>
          <w:left w:val="nil"/>
          <w:bottom w:val="nil"/>
          <w:right w:val="nil"/>
          <w:between w:val="nil"/>
        </w:pBdr>
        <w:spacing w:after="0" w:line="240" w:lineRule="auto"/>
        <w:ind w:left="0" w:firstLine="709"/>
        <w:jc w:val="both"/>
        <w:rPr>
          <w:color w:val="000000"/>
        </w:rPr>
      </w:pPr>
      <w:r w:rsidRPr="00916D6A">
        <w:t>užpildyta deklaracija dėl</w:t>
      </w:r>
      <w:r w:rsidRPr="00916D6A">
        <w:rPr>
          <w:b/>
          <w:bCs/>
        </w:rPr>
        <w:t xml:space="preserve"> </w:t>
      </w:r>
      <w:r w:rsidRPr="00916D6A">
        <w:t>atitikimo nacionalinio saugumo reikalavimams</w:t>
      </w:r>
      <w:r>
        <w:t xml:space="preserve"> (specialiųjų pirkimo sąlygų </w:t>
      </w:r>
      <w:r w:rsidR="00FC2214" w:rsidRPr="00FC2214">
        <w:rPr>
          <w:b/>
        </w:rPr>
        <w:t>6</w:t>
      </w:r>
      <w:r w:rsidRPr="00916D6A">
        <w:rPr>
          <w:b/>
          <w:bCs/>
        </w:rPr>
        <w:t xml:space="preserve"> pried</w:t>
      </w:r>
      <w:r>
        <w:rPr>
          <w:b/>
          <w:bCs/>
        </w:rPr>
        <w:t>as</w:t>
      </w:r>
      <w:r>
        <w:t>);</w:t>
      </w:r>
    </w:p>
    <w:p w14:paraId="6E7082DE" w14:textId="5728FB1A" w:rsidR="00916D6A" w:rsidRDefault="00D93C51" w:rsidP="00916D6A">
      <w:pPr>
        <w:numPr>
          <w:ilvl w:val="2"/>
          <w:numId w:val="7"/>
        </w:numPr>
        <w:pBdr>
          <w:top w:val="nil"/>
          <w:left w:val="nil"/>
          <w:bottom w:val="nil"/>
          <w:right w:val="nil"/>
          <w:between w:val="nil"/>
        </w:pBdr>
        <w:spacing w:after="0" w:line="240" w:lineRule="auto"/>
        <w:ind w:left="0" w:firstLine="709"/>
        <w:jc w:val="both"/>
        <w:rPr>
          <w:color w:val="000000"/>
        </w:rPr>
      </w:pPr>
      <w:r>
        <w:rPr>
          <w:color w:val="000000"/>
        </w:rPr>
        <w:t xml:space="preserve">informacija apie siūlomo projekto vadovo patirtį (specialiųjų pirkimo sąlygų </w:t>
      </w:r>
      <w:r>
        <w:rPr>
          <w:b/>
          <w:color w:val="000000"/>
        </w:rPr>
        <w:t>9 priedas</w:t>
      </w:r>
      <w:r>
        <w:rPr>
          <w:color w:val="000000"/>
        </w:rPr>
        <w:t>);</w:t>
      </w:r>
    </w:p>
    <w:p w14:paraId="5A35FC85" w14:textId="51F3C4B1" w:rsidR="005825B4" w:rsidRDefault="005825B4" w:rsidP="00916D6A">
      <w:pPr>
        <w:numPr>
          <w:ilvl w:val="2"/>
          <w:numId w:val="7"/>
        </w:numPr>
        <w:pBdr>
          <w:top w:val="nil"/>
          <w:left w:val="nil"/>
          <w:bottom w:val="nil"/>
          <w:right w:val="nil"/>
          <w:between w:val="nil"/>
        </w:pBdr>
        <w:spacing w:after="0" w:line="240" w:lineRule="auto"/>
        <w:ind w:left="0" w:firstLine="709"/>
        <w:jc w:val="both"/>
        <w:rPr>
          <w:color w:val="000000"/>
        </w:rPr>
      </w:pPr>
      <w:r>
        <w:t xml:space="preserve">užpildyta deklaracija dėl tiekėjo atsakingų asmenų (specialiųjų pirkimo sąlygų </w:t>
      </w:r>
      <w:r w:rsidRPr="005825B4">
        <w:rPr>
          <w:b/>
          <w:bCs/>
        </w:rPr>
        <w:t>11 pr</w:t>
      </w:r>
      <w:r>
        <w:rPr>
          <w:b/>
          <w:bCs/>
        </w:rPr>
        <w:t>i</w:t>
      </w:r>
      <w:r w:rsidRPr="005825B4">
        <w:rPr>
          <w:b/>
          <w:bCs/>
        </w:rPr>
        <w:t>edas</w:t>
      </w:r>
      <w:r>
        <w:t>);</w:t>
      </w:r>
    </w:p>
    <w:p w14:paraId="13FDA48E" w14:textId="77777777" w:rsidR="0009136A" w:rsidRDefault="00D93C51">
      <w:pPr>
        <w:numPr>
          <w:ilvl w:val="2"/>
          <w:numId w:val="7"/>
        </w:numPr>
        <w:pBdr>
          <w:top w:val="nil"/>
          <w:left w:val="nil"/>
          <w:bottom w:val="nil"/>
          <w:right w:val="nil"/>
          <w:between w:val="nil"/>
        </w:pBdr>
        <w:spacing w:after="0" w:line="240" w:lineRule="auto"/>
        <w:ind w:left="0" w:firstLine="709"/>
        <w:jc w:val="both"/>
        <w:rPr>
          <w:color w:val="000000"/>
          <w:u w:val="single"/>
        </w:rPr>
      </w:pPr>
      <w:r>
        <w:rPr>
          <w:color w:val="000000"/>
        </w:rPr>
        <w:t>jungtinės veiklos sutarties kopija (jeigu pirkime dalyvauja ūkio subjektų grupė jungtinės veiklos sutarties pagrindu);</w:t>
      </w:r>
    </w:p>
    <w:p w14:paraId="13FDA48F" w14:textId="77777777" w:rsidR="0009136A" w:rsidRDefault="00D93C51">
      <w:pPr>
        <w:numPr>
          <w:ilvl w:val="2"/>
          <w:numId w:val="7"/>
        </w:numPr>
        <w:pBdr>
          <w:top w:val="nil"/>
          <w:left w:val="nil"/>
          <w:bottom w:val="nil"/>
          <w:right w:val="nil"/>
          <w:between w:val="nil"/>
        </w:pBdr>
        <w:spacing w:after="0" w:line="240" w:lineRule="auto"/>
        <w:ind w:left="0" w:firstLine="709"/>
        <w:jc w:val="both"/>
        <w:rPr>
          <w:color w:val="000000"/>
          <w:u w:val="single"/>
        </w:rPr>
      </w:pPr>
      <w:r>
        <w:rPr>
          <w:color w:val="000000"/>
        </w:rPr>
        <w:t>dokumentas, patvirtinantis, kad asmuo, kuris pasirašė pasiūlymą (jei jis ne tiekėjo vadovas), turėjo teisę jį pasirašyti;</w:t>
      </w:r>
    </w:p>
    <w:p w14:paraId="13FDA491" w14:textId="77777777" w:rsidR="0009136A" w:rsidRDefault="00D93C51">
      <w:pPr>
        <w:numPr>
          <w:ilvl w:val="2"/>
          <w:numId w:val="7"/>
        </w:numPr>
        <w:pBdr>
          <w:top w:val="nil"/>
          <w:left w:val="nil"/>
          <w:bottom w:val="nil"/>
          <w:right w:val="nil"/>
          <w:between w:val="nil"/>
        </w:pBdr>
        <w:spacing w:after="0" w:line="240" w:lineRule="auto"/>
        <w:ind w:left="0" w:firstLine="709"/>
        <w:jc w:val="both"/>
        <w:rPr>
          <w:color w:val="000000"/>
          <w:u w:val="single"/>
        </w:rPr>
      </w:pPr>
      <w:r>
        <w:rPr>
          <w:color w:val="000000"/>
        </w:rPr>
        <w:t>jei tiekėjas pasitelkia ūkio subjektus, kurių pajėgumais remiasi, – įrodymai, kad šie ištekliai bus prieinami per visą sutartinių įsipareigojimų vykdymo laikotarpį;</w:t>
      </w:r>
    </w:p>
    <w:p w14:paraId="13FDA492" w14:textId="77777777" w:rsidR="0009136A" w:rsidRDefault="00D93C51">
      <w:pPr>
        <w:numPr>
          <w:ilvl w:val="2"/>
          <w:numId w:val="7"/>
        </w:numPr>
        <w:pBdr>
          <w:top w:val="nil"/>
          <w:left w:val="nil"/>
          <w:bottom w:val="nil"/>
          <w:right w:val="nil"/>
          <w:between w:val="nil"/>
        </w:pBdr>
        <w:spacing w:after="0" w:line="240" w:lineRule="auto"/>
        <w:ind w:left="0" w:firstLine="709"/>
        <w:jc w:val="both"/>
        <w:rPr>
          <w:color w:val="000000"/>
          <w:u w:val="single"/>
        </w:rPr>
      </w:pPr>
      <w:r>
        <w:rPr>
          <w:color w:val="000000"/>
        </w:rPr>
        <w:t xml:space="preserve"> jei tiekėjas pasitelkia subtiekėjus, subtiekėjo deklaracija ar kitas dokumentas, patvirtinantis jo sutikimą būti subtiekėju pirkime;</w:t>
      </w:r>
    </w:p>
    <w:p w14:paraId="44E1CC6C" w14:textId="6FC8A75C" w:rsidR="00C661CF" w:rsidRDefault="00C661CF" w:rsidP="00C661CF">
      <w:pPr>
        <w:pStyle w:val="Sraopastraipa"/>
        <w:numPr>
          <w:ilvl w:val="1"/>
          <w:numId w:val="7"/>
        </w:numPr>
        <w:spacing w:after="0" w:line="240" w:lineRule="auto"/>
        <w:ind w:left="0" w:firstLine="710"/>
        <w:jc w:val="both"/>
      </w:pPr>
      <w:r>
        <w:t>Tiekėjo p</w:t>
      </w:r>
      <w:r w:rsidR="00D93C51">
        <w:t xml:space="preserve">asiūlymas </w:t>
      </w:r>
      <w:r>
        <w:t>turi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38954B2C" w14:textId="36072D13" w:rsidR="00C661CF" w:rsidRDefault="00C661CF" w:rsidP="00C661CF">
      <w:pPr>
        <w:pStyle w:val="Sraopastraipa"/>
        <w:numPr>
          <w:ilvl w:val="1"/>
          <w:numId w:val="7"/>
        </w:numPr>
        <w:spacing w:after="0" w:line="240" w:lineRule="auto"/>
        <w:ind w:left="0" w:firstLine="710"/>
        <w:jc w:val="both"/>
      </w:pPr>
      <w:r>
        <w:t>Kvalifikuotas elektroninis parašas priimamas šiomis sąlygomis:</w:t>
      </w:r>
    </w:p>
    <w:p w14:paraId="700C2FA3" w14:textId="29DB9B80" w:rsidR="00C661CF" w:rsidRDefault="00C661CF" w:rsidP="00C661CF">
      <w:pPr>
        <w:pStyle w:val="Sraopastraipa"/>
        <w:numPr>
          <w:ilvl w:val="2"/>
          <w:numId w:val="7"/>
        </w:numPr>
        <w:spacing w:after="0" w:line="240" w:lineRule="auto"/>
        <w:ind w:left="0" w:firstLine="710"/>
        <w:jc w:val="both"/>
      </w:pPr>
      <w: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447DDE9" w14:textId="0AA08AE3" w:rsidR="00C661CF" w:rsidRDefault="00C661CF" w:rsidP="00C661CF">
      <w:pPr>
        <w:pStyle w:val="Sraopastraipa"/>
        <w:numPr>
          <w:ilvl w:val="2"/>
          <w:numId w:val="7"/>
        </w:numPr>
        <w:spacing w:after="0" w:line="240" w:lineRule="auto"/>
        <w:ind w:left="0" w:firstLine="709"/>
        <w:jc w:val="both"/>
      </w:pPr>
      <w: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13FDA496" w14:textId="5C66A411" w:rsidR="0009136A" w:rsidRDefault="00D93C51" w:rsidP="006438ED">
      <w:pPr>
        <w:pStyle w:val="Sraopastraipa"/>
        <w:numPr>
          <w:ilvl w:val="1"/>
          <w:numId w:val="7"/>
        </w:numPr>
        <w:pBdr>
          <w:top w:val="nil"/>
          <w:left w:val="nil"/>
          <w:bottom w:val="nil"/>
          <w:right w:val="nil"/>
          <w:between w:val="nil"/>
        </w:pBdr>
        <w:spacing w:after="0" w:line="240" w:lineRule="auto"/>
        <w:ind w:left="0" w:firstLine="709"/>
        <w:jc w:val="both"/>
      </w:pPr>
      <w:r w:rsidRPr="006438ED">
        <w:rPr>
          <w:color w:val="000000"/>
        </w:rPr>
        <w:t>Pasiūlymas turi būti parengtas, lietuvių kalba</w:t>
      </w:r>
      <w:r w:rsidRPr="006438ED">
        <w:rPr>
          <w:color w:val="7030A0"/>
        </w:rPr>
        <w:t xml:space="preserve">. </w:t>
      </w:r>
      <w:r w:rsidRPr="006438ED">
        <w:rPr>
          <w:color w:val="000000"/>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2516FD5" w14:textId="77777777" w:rsidR="006438ED" w:rsidRDefault="00D93C51" w:rsidP="006438ED">
      <w:pPr>
        <w:numPr>
          <w:ilvl w:val="1"/>
          <w:numId w:val="7"/>
        </w:numPr>
        <w:pBdr>
          <w:top w:val="nil"/>
          <w:left w:val="nil"/>
          <w:bottom w:val="nil"/>
          <w:right w:val="nil"/>
          <w:between w:val="nil"/>
        </w:pBdr>
        <w:spacing w:after="0" w:line="240" w:lineRule="auto"/>
        <w:ind w:left="0" w:firstLine="710"/>
        <w:jc w:val="both"/>
        <w:rPr>
          <w:color w:val="000000"/>
        </w:rPr>
      </w:pPr>
      <w:r>
        <w:rPr>
          <w:color w:val="000000"/>
        </w:rPr>
        <w:t>Bendra pasiūlymo kaina su PVM  turi būti nurodoma dviejų skaičių po kablelio tikslumu. Šią kainą sudarančios kainos sudedamosios dalys gali būti išreikštos neribojant skaičių po kablelio kiekio</w:t>
      </w:r>
      <w:r>
        <w:rPr>
          <w:rFonts w:ascii="Arial" w:eastAsia="Arial" w:hAnsi="Arial" w:cs="Arial"/>
          <w:color w:val="000000"/>
        </w:rPr>
        <w:t xml:space="preserve">. </w:t>
      </w:r>
    </w:p>
    <w:p w14:paraId="13FDA498" w14:textId="46D3B19B" w:rsidR="0009136A" w:rsidRPr="006438ED" w:rsidRDefault="00D93C51" w:rsidP="006438ED">
      <w:pPr>
        <w:numPr>
          <w:ilvl w:val="1"/>
          <w:numId w:val="7"/>
        </w:numPr>
        <w:pBdr>
          <w:top w:val="nil"/>
          <w:left w:val="nil"/>
          <w:bottom w:val="nil"/>
          <w:right w:val="nil"/>
          <w:between w:val="nil"/>
        </w:pBdr>
        <w:spacing w:after="0" w:line="240" w:lineRule="auto"/>
        <w:ind w:left="0" w:firstLine="710"/>
        <w:jc w:val="both"/>
        <w:rPr>
          <w:color w:val="000000"/>
        </w:rPr>
      </w:pPr>
      <w:r w:rsidRPr="006438ED">
        <w:rPr>
          <w:color w:val="000000"/>
        </w:rPr>
        <w:t xml:space="preserve">Tiekėjų pasiūlymuose nurodytos kainos bus vertinamos ir lyginamos su visais mokesčiais, neįskaitant PVM. </w:t>
      </w:r>
    </w:p>
    <w:p w14:paraId="13FDA499" w14:textId="3D24FCC8" w:rsidR="0009136A" w:rsidRDefault="00D93C51" w:rsidP="006438ED">
      <w:pPr>
        <w:pStyle w:val="Antrat1"/>
        <w:numPr>
          <w:ilvl w:val="0"/>
          <w:numId w:val="7"/>
        </w:numPr>
        <w:tabs>
          <w:tab w:val="left" w:pos="709"/>
        </w:tabs>
        <w:rPr>
          <w:rFonts w:ascii="Calibri" w:eastAsia="Calibri" w:hAnsi="Calibri" w:cs="Calibri"/>
        </w:rPr>
      </w:pPr>
      <w:bookmarkStart w:id="8" w:name="_Toc185093612"/>
      <w:r>
        <w:rPr>
          <w:rFonts w:ascii="Calibri" w:eastAsia="Calibri" w:hAnsi="Calibri" w:cs="Calibri"/>
        </w:rPr>
        <w:lastRenderedPageBreak/>
        <w:t>Pasiūlymo galiojimo užtikrinimas</w:t>
      </w:r>
      <w:bookmarkEnd w:id="8"/>
    </w:p>
    <w:p w14:paraId="4F0260BE" w14:textId="22705B7D" w:rsidR="00AF67D9" w:rsidRPr="00AF67D9" w:rsidRDefault="00AF67D9" w:rsidP="00AF67D9">
      <w:pPr>
        <w:ind w:firstLine="709"/>
      </w:pPr>
      <w:r w:rsidRPr="00AF67D9">
        <w:t>7.1.Perkančioji organizacija nereikalauja pasiūlymo galiojimo užtikrinimo</w:t>
      </w:r>
    </w:p>
    <w:p w14:paraId="13FDA49D" w14:textId="07993926" w:rsidR="0009136A" w:rsidRDefault="00D93C51" w:rsidP="006438ED">
      <w:pPr>
        <w:pStyle w:val="Antrat1"/>
        <w:numPr>
          <w:ilvl w:val="0"/>
          <w:numId w:val="7"/>
        </w:numPr>
        <w:tabs>
          <w:tab w:val="left" w:pos="709"/>
        </w:tabs>
        <w:rPr>
          <w:rFonts w:ascii="Calibri" w:eastAsia="Calibri" w:hAnsi="Calibri" w:cs="Calibri"/>
        </w:rPr>
      </w:pPr>
      <w:bookmarkStart w:id="9" w:name="_Toc185093613"/>
      <w:r>
        <w:rPr>
          <w:rFonts w:ascii="Calibri" w:eastAsia="Calibri" w:hAnsi="Calibri" w:cs="Calibri"/>
        </w:rPr>
        <w:t>Elektroninis aukcionas</w:t>
      </w:r>
      <w:r w:rsidR="00C661CF">
        <w:rPr>
          <w:rFonts w:ascii="Calibri" w:eastAsia="Calibri" w:hAnsi="Calibri" w:cs="Calibri"/>
        </w:rPr>
        <w:t xml:space="preserve"> (netaikoma)</w:t>
      </w:r>
      <w:bookmarkEnd w:id="9"/>
    </w:p>
    <w:p w14:paraId="13FDA49E" w14:textId="70046BE7" w:rsidR="0009136A" w:rsidRDefault="00D93C51">
      <w:pPr>
        <w:spacing w:after="0" w:line="240" w:lineRule="auto"/>
        <w:ind w:left="710"/>
      </w:pPr>
      <w:r>
        <w:t>8.1. Perkančioji organizacija pirkime netaikys elektroninio aukciono.</w:t>
      </w:r>
    </w:p>
    <w:p w14:paraId="13FDA49F" w14:textId="77777777" w:rsidR="0009136A" w:rsidRDefault="00D93C51" w:rsidP="006438ED">
      <w:pPr>
        <w:pStyle w:val="Antrat1"/>
        <w:numPr>
          <w:ilvl w:val="0"/>
          <w:numId w:val="7"/>
        </w:numPr>
        <w:tabs>
          <w:tab w:val="left" w:pos="709"/>
        </w:tabs>
        <w:rPr>
          <w:rFonts w:ascii="Calibri" w:eastAsia="Calibri" w:hAnsi="Calibri" w:cs="Calibri"/>
        </w:rPr>
      </w:pPr>
      <w:bookmarkStart w:id="10" w:name="_Toc185093614"/>
      <w:r>
        <w:rPr>
          <w:rFonts w:ascii="Calibri" w:eastAsia="Calibri" w:hAnsi="Calibri" w:cs="Calibri"/>
        </w:rPr>
        <w:t>Pasiūlymų vertinimas</w:t>
      </w:r>
      <w:bookmarkEnd w:id="10"/>
    </w:p>
    <w:p w14:paraId="13FDA4A0" w14:textId="60B48581" w:rsidR="0009136A" w:rsidRDefault="00D93C51">
      <w:pPr>
        <w:spacing w:after="0" w:line="240" w:lineRule="auto"/>
        <w:ind w:firstLine="710"/>
        <w:jc w:val="both"/>
      </w:pPr>
      <w:r>
        <w:t xml:space="preserve">9.1. Perkančioji organizacija ekonomiškai naudingiausią pasiūlymą išrenka pagal tiekėjų pasiūlymų kainos ir kokybės santykį, taip kaip nurodyta </w:t>
      </w:r>
      <w:r>
        <w:rPr>
          <w:b/>
        </w:rPr>
        <w:t>10 priede</w:t>
      </w:r>
      <w:r>
        <w:t xml:space="preserve"> „Pasiūlymų vertinimo kriterijai</w:t>
      </w:r>
      <w:r w:rsidR="00A26DCE">
        <w:t xml:space="preserve"> ir sąlygos</w:t>
      </w:r>
      <w:r>
        <w:t>“.</w:t>
      </w:r>
    </w:p>
    <w:p w14:paraId="13FDA4A1" w14:textId="761F3E34" w:rsidR="0009136A" w:rsidRDefault="00D93C51">
      <w:pPr>
        <w:spacing w:after="0" w:line="240" w:lineRule="auto"/>
        <w:ind w:firstLine="710"/>
        <w:jc w:val="both"/>
      </w:pPr>
      <w:r>
        <w:t>9.2. Laimėjusiu pasiūlymu galės būti pripažintas tik 1 (vienas) ekonomiškai naudingiausias pasiūlymas, esantis pasiūlymų eilės pirmojoje vietoje.</w:t>
      </w:r>
    </w:p>
    <w:p w14:paraId="13FDA4A2" w14:textId="77777777" w:rsidR="0009136A" w:rsidRDefault="0009136A">
      <w:pPr>
        <w:spacing w:after="0" w:line="240" w:lineRule="auto"/>
        <w:ind w:firstLine="710"/>
        <w:jc w:val="both"/>
      </w:pPr>
    </w:p>
    <w:p w14:paraId="13FDA4A3" w14:textId="72826C34" w:rsidR="0009136A" w:rsidRDefault="003B0CFD" w:rsidP="003B0CFD">
      <w:pPr>
        <w:pStyle w:val="Antrat1"/>
        <w:tabs>
          <w:tab w:val="left" w:pos="567"/>
        </w:tabs>
        <w:rPr>
          <w:rFonts w:ascii="Calibri" w:eastAsia="Calibri" w:hAnsi="Calibri" w:cs="Calibri"/>
        </w:rPr>
      </w:pPr>
      <w:bookmarkStart w:id="11" w:name="_Toc185093615"/>
      <w:r>
        <w:rPr>
          <w:rFonts w:ascii="Calibri" w:eastAsia="Calibri" w:hAnsi="Calibri" w:cs="Calibri"/>
        </w:rPr>
        <w:t xml:space="preserve">10. </w:t>
      </w:r>
      <w:r w:rsidR="00D93C51">
        <w:rPr>
          <w:rFonts w:ascii="Calibri" w:eastAsia="Calibri" w:hAnsi="Calibri" w:cs="Calibri"/>
        </w:rPr>
        <w:t>Sutarties sudarymas</w:t>
      </w:r>
      <w:bookmarkEnd w:id="11"/>
    </w:p>
    <w:p w14:paraId="13FDA4A4" w14:textId="77777777" w:rsidR="0009136A" w:rsidRDefault="00D93C51">
      <w:pPr>
        <w:pBdr>
          <w:top w:val="nil"/>
          <w:left w:val="nil"/>
          <w:bottom w:val="nil"/>
          <w:right w:val="nil"/>
          <w:between w:val="nil"/>
        </w:pBdr>
        <w:spacing w:after="0" w:line="240" w:lineRule="auto"/>
        <w:ind w:firstLine="567"/>
        <w:jc w:val="both"/>
        <w:rPr>
          <w:color w:val="000000"/>
        </w:rPr>
      </w:pPr>
      <w:r>
        <w:rPr>
          <w:color w:val="000000"/>
        </w:rPr>
        <w:t xml:space="preserve"> 10.1. Ši pirkimo procedūra atliekama siekiant sudaryti sutartį su tiekėju, kurio pasiūlymas, vadovaujantis pirkimo sąlygose nustatyta tvarka, bus pripažintas laimėjęs. Sutarties sąlygos pateikiamos </w:t>
      </w:r>
      <w:r>
        <w:rPr>
          <w:b/>
          <w:color w:val="000000"/>
        </w:rPr>
        <w:t>5 priede</w:t>
      </w:r>
      <w:r>
        <w:rPr>
          <w:color w:val="000000"/>
        </w:rPr>
        <w:t xml:space="preserve"> „Sutarties projektas“.</w:t>
      </w:r>
    </w:p>
    <w:p w14:paraId="13FDA51B" w14:textId="19DB057E" w:rsidR="0009136A" w:rsidRDefault="00D93C51" w:rsidP="006438ED">
      <w:pPr>
        <w:shd w:val="clear" w:color="auto" w:fill="FFFFFF"/>
        <w:spacing w:after="0" w:line="240" w:lineRule="auto"/>
        <w:jc w:val="center"/>
      </w:pPr>
      <w:r>
        <w:t>______</w:t>
      </w:r>
      <w:bookmarkStart w:id="12" w:name="_heading=h.lnxbz9" w:colFirst="0" w:colLast="0"/>
      <w:bookmarkEnd w:id="12"/>
    </w:p>
    <w:sectPr w:rsidR="0009136A" w:rsidSect="00CC16E0">
      <w:pgSz w:w="12240" w:h="15840"/>
      <w:pgMar w:top="1134" w:right="567" w:bottom="1134" w:left="1701" w:header="720" w:footer="720" w:gutter="0"/>
      <w:pgNumType w:start="2"/>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FD92" w14:textId="77777777" w:rsidR="00363066" w:rsidRDefault="00363066">
      <w:pPr>
        <w:spacing w:after="0" w:line="240" w:lineRule="auto"/>
      </w:pPr>
      <w:r>
        <w:separator/>
      </w:r>
    </w:p>
  </w:endnote>
  <w:endnote w:type="continuationSeparator" w:id="0">
    <w:p w14:paraId="6CEE663A" w14:textId="77777777" w:rsidR="00363066" w:rsidRDefault="00363066">
      <w:pPr>
        <w:spacing w:after="0" w:line="240" w:lineRule="auto"/>
      </w:pPr>
      <w:r>
        <w:continuationSeparator/>
      </w:r>
    </w:p>
  </w:endnote>
  <w:endnote w:type="continuationNotice" w:id="1">
    <w:p w14:paraId="4BB51DDF" w14:textId="77777777" w:rsidR="00363066" w:rsidRDefault="00363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400F" w14:textId="208699D9" w:rsidR="00CC16E0" w:rsidRDefault="00CC16E0">
    <w:pPr>
      <w:pStyle w:val="Porat"/>
      <w:jc w:val="center"/>
    </w:pPr>
  </w:p>
  <w:p w14:paraId="13FDA521" w14:textId="77777777" w:rsidR="0009136A" w:rsidRDefault="0009136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620267"/>
      <w:docPartObj>
        <w:docPartGallery w:val="Page Numbers (Bottom of Page)"/>
        <w:docPartUnique/>
      </w:docPartObj>
    </w:sdtPr>
    <w:sdtContent>
      <w:p w14:paraId="43081F3A" w14:textId="6E9F72AF" w:rsidR="00CC16E0" w:rsidRDefault="00CC16E0">
        <w:pPr>
          <w:pStyle w:val="Porat"/>
          <w:jc w:val="center"/>
        </w:pPr>
        <w:r>
          <w:fldChar w:fldCharType="begin"/>
        </w:r>
        <w:r>
          <w:instrText>PAGE   \* MERGEFORMAT</w:instrText>
        </w:r>
        <w:r>
          <w:fldChar w:fldCharType="separate"/>
        </w:r>
        <w:r>
          <w:t>2</w:t>
        </w:r>
        <w:r>
          <w:fldChar w:fldCharType="end"/>
        </w:r>
      </w:p>
    </w:sdtContent>
  </w:sdt>
  <w:p w14:paraId="13FDA523" w14:textId="77777777" w:rsidR="0009136A" w:rsidRDefault="0009136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E78A" w14:textId="77777777" w:rsidR="00363066" w:rsidRDefault="00363066">
      <w:pPr>
        <w:spacing w:after="0" w:line="240" w:lineRule="auto"/>
      </w:pPr>
      <w:r>
        <w:separator/>
      </w:r>
    </w:p>
  </w:footnote>
  <w:footnote w:type="continuationSeparator" w:id="0">
    <w:p w14:paraId="387DEFE2" w14:textId="77777777" w:rsidR="00363066" w:rsidRDefault="00363066">
      <w:pPr>
        <w:spacing w:after="0" w:line="240" w:lineRule="auto"/>
      </w:pPr>
      <w:r>
        <w:continuationSeparator/>
      </w:r>
    </w:p>
  </w:footnote>
  <w:footnote w:type="continuationNotice" w:id="1">
    <w:p w14:paraId="10B824F1" w14:textId="77777777" w:rsidR="00363066" w:rsidRDefault="00363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A51E" w14:textId="77777777" w:rsidR="0009136A" w:rsidRDefault="0009136A">
    <w:pPr>
      <w:pBdr>
        <w:top w:val="nil"/>
        <w:left w:val="nil"/>
        <w:bottom w:val="nil"/>
        <w:right w:val="nil"/>
        <w:between w:val="nil"/>
      </w:pBdr>
      <w:tabs>
        <w:tab w:val="center" w:pos="4513"/>
        <w:tab w:val="right" w:pos="9026"/>
      </w:tabs>
      <w:jc w:val="right"/>
      <w:rPr>
        <w:color w:val="000000"/>
      </w:rPr>
    </w:pPr>
  </w:p>
  <w:p w14:paraId="13FDA51F" w14:textId="77777777" w:rsidR="0009136A" w:rsidRDefault="0009136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063"/>
    <w:multiLevelType w:val="multilevel"/>
    <w:tmpl w:val="4F8051C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857920"/>
    <w:multiLevelType w:val="multilevel"/>
    <w:tmpl w:val="2E421288"/>
    <w:lvl w:ilvl="0">
      <w:start w:val="9"/>
      <w:numFmt w:val="decimal"/>
      <w:pStyle w:val="S1lygis"/>
      <w:lvlText w:val="%1."/>
      <w:lvlJc w:val="left"/>
      <w:pPr>
        <w:ind w:left="360" w:hanging="360"/>
      </w:pPr>
      <w:rPr>
        <w:b w:val="0"/>
        <w:i w:val="0"/>
        <w:color w:val="000000"/>
      </w:rPr>
    </w:lvl>
    <w:lvl w:ilvl="1">
      <w:start w:val="3"/>
      <w:numFmt w:val="decimal"/>
      <w:pStyle w:val="S2lygis"/>
      <w:lvlText w:val="%1.%2."/>
      <w:lvlJc w:val="left"/>
      <w:pPr>
        <w:ind w:left="360" w:hanging="360"/>
      </w:pPr>
      <w:rPr>
        <w:i w:val="0"/>
        <w:color w:val="000000"/>
      </w:rPr>
    </w:lvl>
    <w:lvl w:ilvl="2">
      <w:start w:val="1"/>
      <w:numFmt w:val="decimal"/>
      <w:pStyle w:val="S3lygis"/>
      <w:lvlText w:val="%1.%2.%3."/>
      <w:lvlJc w:val="left"/>
      <w:pPr>
        <w:ind w:left="720" w:hanging="720"/>
      </w:pPr>
      <w:rPr>
        <w:i w:val="0"/>
        <w:color w:val="000000"/>
      </w:rPr>
    </w:lvl>
    <w:lvl w:ilvl="3">
      <w:start w:val="1"/>
      <w:numFmt w:val="decimal"/>
      <w:lvlText w:val="%1.%2.%3.%4."/>
      <w:lvlJc w:val="left"/>
      <w:pPr>
        <w:ind w:left="720" w:hanging="720"/>
      </w:pPr>
      <w:rPr>
        <w:i w:val="0"/>
        <w:color w:val="000000"/>
      </w:rPr>
    </w:lvl>
    <w:lvl w:ilvl="4">
      <w:start w:val="1"/>
      <w:numFmt w:val="decimal"/>
      <w:lvlText w:val="%1.%2.%3.%4.%5."/>
      <w:lvlJc w:val="left"/>
      <w:pPr>
        <w:ind w:left="1080" w:hanging="1080"/>
      </w:pPr>
      <w:rPr>
        <w:i w:val="0"/>
        <w:color w:val="000000"/>
      </w:rPr>
    </w:lvl>
    <w:lvl w:ilvl="5">
      <w:start w:val="1"/>
      <w:numFmt w:val="decimal"/>
      <w:lvlText w:val="%1.%2.%3.%4.%5.%6."/>
      <w:lvlJc w:val="left"/>
      <w:pPr>
        <w:ind w:left="1080" w:hanging="1080"/>
      </w:pPr>
      <w:rPr>
        <w:i w:val="0"/>
        <w:color w:val="000000"/>
      </w:rPr>
    </w:lvl>
    <w:lvl w:ilvl="6">
      <w:start w:val="1"/>
      <w:numFmt w:val="decimal"/>
      <w:lvlText w:val="%1.%2.%3.%4.%5.%6.%7."/>
      <w:lvlJc w:val="left"/>
      <w:pPr>
        <w:ind w:left="1440" w:hanging="1440"/>
      </w:pPr>
      <w:rPr>
        <w:i w:val="0"/>
        <w:color w:val="000000"/>
      </w:rPr>
    </w:lvl>
    <w:lvl w:ilvl="7">
      <w:start w:val="1"/>
      <w:numFmt w:val="decimal"/>
      <w:lvlText w:val="%1.%2.%3.%4.%5.%6.%7.%8."/>
      <w:lvlJc w:val="left"/>
      <w:pPr>
        <w:ind w:left="1440" w:hanging="1440"/>
      </w:pPr>
      <w:rPr>
        <w:i w:val="0"/>
        <w:color w:val="000000"/>
      </w:rPr>
    </w:lvl>
    <w:lvl w:ilvl="8">
      <w:start w:val="1"/>
      <w:numFmt w:val="decimal"/>
      <w:lvlText w:val="%1.%2.%3.%4.%5.%6.%7.%8.%9."/>
      <w:lvlJc w:val="left"/>
      <w:pPr>
        <w:ind w:left="1440" w:hanging="1440"/>
      </w:pPr>
      <w:rPr>
        <w:i w:val="0"/>
        <w:color w:val="000000"/>
      </w:rPr>
    </w:lvl>
  </w:abstractNum>
  <w:abstractNum w:abstractNumId="2" w15:restartNumberingAfterBreak="0">
    <w:nsid w:val="2239284C"/>
    <w:multiLevelType w:val="multilevel"/>
    <w:tmpl w:val="4CC81B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30322BF1"/>
    <w:multiLevelType w:val="hybridMultilevel"/>
    <w:tmpl w:val="C7A6C592"/>
    <w:lvl w:ilvl="0" w:tplc="CDC0C5E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0F431C5"/>
    <w:multiLevelType w:val="multilevel"/>
    <w:tmpl w:val="3EA24A02"/>
    <w:lvl w:ilvl="0">
      <w:start w:val="3"/>
      <w:numFmt w:val="decimal"/>
      <w:lvlText w:val="%1."/>
      <w:lvlJc w:val="left"/>
      <w:pPr>
        <w:ind w:left="360" w:hanging="360"/>
      </w:pPr>
      <w:rPr>
        <w:sz w:val="21"/>
        <w:szCs w:val="21"/>
      </w:rPr>
    </w:lvl>
    <w:lvl w:ilvl="1">
      <w:start w:val="1"/>
      <w:numFmt w:val="decimal"/>
      <w:lvlText w:val="%1.%2."/>
      <w:lvlJc w:val="left"/>
      <w:pPr>
        <w:ind w:left="927" w:hanging="360"/>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5" w15:restartNumberingAfterBreak="0">
    <w:nsid w:val="338B2BB2"/>
    <w:multiLevelType w:val="multilevel"/>
    <w:tmpl w:val="6D7C9324"/>
    <w:lvl w:ilvl="0">
      <w:start w:val="1"/>
      <w:numFmt w:val="decimal"/>
      <w:lvlText w:val="%1."/>
      <w:lvlJc w:val="left"/>
      <w:pPr>
        <w:ind w:left="360" w:hanging="360"/>
      </w:pPr>
      <w:rPr>
        <w:color w:val="00B050"/>
      </w:rPr>
    </w:lvl>
    <w:lvl w:ilvl="1">
      <w:start w:val="6"/>
      <w:numFmt w:val="decimal"/>
      <w:lvlText w:val="%1.%2."/>
      <w:lvlJc w:val="left"/>
      <w:pPr>
        <w:ind w:left="927" w:hanging="360"/>
      </w:pPr>
      <w:rPr>
        <w:color w:val="000000"/>
      </w:rPr>
    </w:lvl>
    <w:lvl w:ilvl="2">
      <w:start w:val="1"/>
      <w:numFmt w:val="decimal"/>
      <w:lvlText w:val="%1.%2.%3."/>
      <w:lvlJc w:val="left"/>
      <w:pPr>
        <w:ind w:left="1854" w:hanging="720"/>
      </w:pPr>
      <w:rPr>
        <w:color w:val="00B050"/>
      </w:rPr>
    </w:lvl>
    <w:lvl w:ilvl="3">
      <w:start w:val="1"/>
      <w:numFmt w:val="decimal"/>
      <w:lvlText w:val="%1.%2.%3.%4."/>
      <w:lvlJc w:val="left"/>
      <w:pPr>
        <w:ind w:left="2421" w:hanging="720"/>
      </w:pPr>
      <w:rPr>
        <w:color w:val="00B050"/>
      </w:rPr>
    </w:lvl>
    <w:lvl w:ilvl="4">
      <w:start w:val="1"/>
      <w:numFmt w:val="decimal"/>
      <w:lvlText w:val="%1.%2.%3.%4.%5."/>
      <w:lvlJc w:val="left"/>
      <w:pPr>
        <w:ind w:left="3348" w:hanging="1080"/>
      </w:pPr>
      <w:rPr>
        <w:color w:val="00B050"/>
      </w:rPr>
    </w:lvl>
    <w:lvl w:ilvl="5">
      <w:start w:val="1"/>
      <w:numFmt w:val="decimal"/>
      <w:lvlText w:val="%1.%2.%3.%4.%5.%6."/>
      <w:lvlJc w:val="left"/>
      <w:pPr>
        <w:ind w:left="3915" w:hanging="1080"/>
      </w:pPr>
      <w:rPr>
        <w:color w:val="00B050"/>
      </w:rPr>
    </w:lvl>
    <w:lvl w:ilvl="6">
      <w:start w:val="1"/>
      <w:numFmt w:val="decimal"/>
      <w:lvlText w:val="%1.%2.%3.%4.%5.%6.%7."/>
      <w:lvlJc w:val="left"/>
      <w:pPr>
        <w:ind w:left="4842" w:hanging="1440"/>
      </w:pPr>
      <w:rPr>
        <w:color w:val="00B050"/>
      </w:rPr>
    </w:lvl>
    <w:lvl w:ilvl="7">
      <w:start w:val="1"/>
      <w:numFmt w:val="decimal"/>
      <w:lvlText w:val="%1.%2.%3.%4.%5.%6.%7.%8."/>
      <w:lvlJc w:val="left"/>
      <w:pPr>
        <w:ind w:left="5409" w:hanging="1440"/>
      </w:pPr>
      <w:rPr>
        <w:color w:val="00B050"/>
      </w:rPr>
    </w:lvl>
    <w:lvl w:ilvl="8">
      <w:start w:val="1"/>
      <w:numFmt w:val="decimal"/>
      <w:lvlText w:val="%1.%2.%3.%4.%5.%6.%7.%8.%9."/>
      <w:lvlJc w:val="left"/>
      <w:pPr>
        <w:ind w:left="5976" w:hanging="1440"/>
      </w:pPr>
      <w:rPr>
        <w:color w:val="00B050"/>
      </w:rPr>
    </w:lvl>
  </w:abstractNum>
  <w:abstractNum w:abstractNumId="6" w15:restartNumberingAfterBreak="0">
    <w:nsid w:val="340156DC"/>
    <w:multiLevelType w:val="multilevel"/>
    <w:tmpl w:val="013216BE"/>
    <w:lvl w:ilvl="0">
      <w:start w:val="6"/>
      <w:numFmt w:val="decimal"/>
      <w:lvlText w:val="%1."/>
      <w:lvlJc w:val="left"/>
      <w:pPr>
        <w:ind w:left="504" w:hanging="504"/>
      </w:pPr>
    </w:lvl>
    <w:lvl w:ilvl="1">
      <w:start w:val="2"/>
      <w:numFmt w:val="decimal"/>
      <w:lvlText w:val="%1.%2."/>
      <w:lvlJc w:val="left"/>
      <w:pPr>
        <w:ind w:left="504" w:hanging="504"/>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42806311"/>
    <w:multiLevelType w:val="multilevel"/>
    <w:tmpl w:val="C29A2EAC"/>
    <w:lvl w:ilvl="0">
      <w:start w:val="6"/>
      <w:numFmt w:val="decimal"/>
      <w:lvlText w:val="%1."/>
      <w:lvlJc w:val="left"/>
      <w:pPr>
        <w:ind w:left="360" w:hanging="360"/>
      </w:pPr>
      <w:rPr>
        <w:b w:val="0"/>
      </w:rPr>
    </w:lvl>
    <w:lvl w:ilvl="1">
      <w:start w:val="1"/>
      <w:numFmt w:val="decimal"/>
      <w:lvlText w:val="%1.%2."/>
      <w:lvlJc w:val="left"/>
      <w:pPr>
        <w:ind w:left="1070" w:hanging="360"/>
      </w:pPr>
      <w:rPr>
        <w:b w:val="0"/>
        <w:i w:val="0"/>
        <w:color w:val="000000"/>
      </w:rPr>
    </w:lvl>
    <w:lvl w:ilvl="2">
      <w:start w:val="1"/>
      <w:numFmt w:val="decimal"/>
      <w:lvlText w:val="%1.%2.%3."/>
      <w:lvlJc w:val="left"/>
      <w:pPr>
        <w:ind w:left="1713" w:hanging="719"/>
      </w:pPr>
      <w:rPr>
        <w:i w:val="0"/>
        <w:color w:val="000000"/>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501D37AB"/>
    <w:multiLevelType w:val="multilevel"/>
    <w:tmpl w:val="9114493C"/>
    <w:lvl w:ilvl="0">
      <w:start w:val="2"/>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5976" w:hanging="1440"/>
      </w:pPr>
      <w:rPr>
        <w:color w:val="000000"/>
      </w:rPr>
    </w:lvl>
  </w:abstractNum>
  <w:num w:numId="1" w16cid:durableId="123933924">
    <w:abstractNumId w:val="0"/>
  </w:num>
  <w:num w:numId="2" w16cid:durableId="264700127">
    <w:abstractNumId w:val="6"/>
  </w:num>
  <w:num w:numId="3" w16cid:durableId="37441194">
    <w:abstractNumId w:val="5"/>
  </w:num>
  <w:num w:numId="4" w16cid:durableId="1889605059">
    <w:abstractNumId w:val="1"/>
  </w:num>
  <w:num w:numId="5" w16cid:durableId="349798106">
    <w:abstractNumId w:val="8"/>
  </w:num>
  <w:num w:numId="6" w16cid:durableId="1299650021">
    <w:abstractNumId w:val="4"/>
  </w:num>
  <w:num w:numId="7" w16cid:durableId="1808087117">
    <w:abstractNumId w:val="7"/>
  </w:num>
  <w:num w:numId="8" w16cid:durableId="458884396">
    <w:abstractNumId w:val="2"/>
  </w:num>
  <w:num w:numId="9" w16cid:durableId="16752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6A"/>
    <w:rsid w:val="0000264A"/>
    <w:rsid w:val="000129E3"/>
    <w:rsid w:val="00036493"/>
    <w:rsid w:val="00045A65"/>
    <w:rsid w:val="00055FE5"/>
    <w:rsid w:val="0009136A"/>
    <w:rsid w:val="000C253A"/>
    <w:rsid w:val="000D750A"/>
    <w:rsid w:val="000F64AD"/>
    <w:rsid w:val="001127A3"/>
    <w:rsid w:val="00113CE0"/>
    <w:rsid w:val="00144A61"/>
    <w:rsid w:val="00144B37"/>
    <w:rsid w:val="001607A5"/>
    <w:rsid w:val="00181162"/>
    <w:rsid w:val="00182033"/>
    <w:rsid w:val="00226697"/>
    <w:rsid w:val="002714E9"/>
    <w:rsid w:val="002F74DD"/>
    <w:rsid w:val="00345953"/>
    <w:rsid w:val="00363066"/>
    <w:rsid w:val="003804DC"/>
    <w:rsid w:val="003A67E4"/>
    <w:rsid w:val="003B0CFD"/>
    <w:rsid w:val="003C1087"/>
    <w:rsid w:val="003E78AF"/>
    <w:rsid w:val="00414B2A"/>
    <w:rsid w:val="00430CB1"/>
    <w:rsid w:val="00443B82"/>
    <w:rsid w:val="00471559"/>
    <w:rsid w:val="004844FC"/>
    <w:rsid w:val="004C0EFA"/>
    <w:rsid w:val="004E5F84"/>
    <w:rsid w:val="005036C3"/>
    <w:rsid w:val="00514300"/>
    <w:rsid w:val="00557D3D"/>
    <w:rsid w:val="005825B4"/>
    <w:rsid w:val="005E10AD"/>
    <w:rsid w:val="00620BC7"/>
    <w:rsid w:val="00631ACF"/>
    <w:rsid w:val="00640FE1"/>
    <w:rsid w:val="006438ED"/>
    <w:rsid w:val="00686740"/>
    <w:rsid w:val="006874DC"/>
    <w:rsid w:val="006910E8"/>
    <w:rsid w:val="006B5557"/>
    <w:rsid w:val="006E68B7"/>
    <w:rsid w:val="007254C9"/>
    <w:rsid w:val="00734CF3"/>
    <w:rsid w:val="007832F5"/>
    <w:rsid w:val="007B0A1F"/>
    <w:rsid w:val="007C1139"/>
    <w:rsid w:val="007E4E84"/>
    <w:rsid w:val="00815149"/>
    <w:rsid w:val="008654AD"/>
    <w:rsid w:val="008761CD"/>
    <w:rsid w:val="008A425B"/>
    <w:rsid w:val="008C6EC2"/>
    <w:rsid w:val="008E16B4"/>
    <w:rsid w:val="00910FE6"/>
    <w:rsid w:val="00916D6A"/>
    <w:rsid w:val="009912D8"/>
    <w:rsid w:val="009D41EF"/>
    <w:rsid w:val="00A02AED"/>
    <w:rsid w:val="00A26DCE"/>
    <w:rsid w:val="00A3541E"/>
    <w:rsid w:val="00A35584"/>
    <w:rsid w:val="00A5371D"/>
    <w:rsid w:val="00A54056"/>
    <w:rsid w:val="00AA6642"/>
    <w:rsid w:val="00AC3A72"/>
    <w:rsid w:val="00AC7115"/>
    <w:rsid w:val="00AD26C3"/>
    <w:rsid w:val="00AE0F82"/>
    <w:rsid w:val="00AF67D9"/>
    <w:rsid w:val="00B51BB5"/>
    <w:rsid w:val="00B52E32"/>
    <w:rsid w:val="00B919F3"/>
    <w:rsid w:val="00BB368E"/>
    <w:rsid w:val="00C10754"/>
    <w:rsid w:val="00C26227"/>
    <w:rsid w:val="00C341CF"/>
    <w:rsid w:val="00C661CF"/>
    <w:rsid w:val="00C95BA4"/>
    <w:rsid w:val="00CA4B8E"/>
    <w:rsid w:val="00CB522C"/>
    <w:rsid w:val="00CC16E0"/>
    <w:rsid w:val="00CE2181"/>
    <w:rsid w:val="00CE7B86"/>
    <w:rsid w:val="00D103A8"/>
    <w:rsid w:val="00D12BAF"/>
    <w:rsid w:val="00D32D73"/>
    <w:rsid w:val="00D5260A"/>
    <w:rsid w:val="00D93C51"/>
    <w:rsid w:val="00D97A57"/>
    <w:rsid w:val="00DB1DFC"/>
    <w:rsid w:val="00E0502E"/>
    <w:rsid w:val="00E13B8C"/>
    <w:rsid w:val="00E35FA6"/>
    <w:rsid w:val="00E833BB"/>
    <w:rsid w:val="00E84F7C"/>
    <w:rsid w:val="00E936E8"/>
    <w:rsid w:val="00EB734C"/>
    <w:rsid w:val="00EE2428"/>
    <w:rsid w:val="00EF2381"/>
    <w:rsid w:val="00F10DFB"/>
    <w:rsid w:val="00F30D07"/>
    <w:rsid w:val="00F408FD"/>
    <w:rsid w:val="00F43904"/>
    <w:rsid w:val="00F80CE4"/>
    <w:rsid w:val="00F83C6D"/>
    <w:rsid w:val="00F87586"/>
    <w:rsid w:val="00F91C61"/>
    <w:rsid w:val="00FC2214"/>
    <w:rsid w:val="00FD1EB8"/>
    <w:rsid w:val="00FD3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A44B"/>
  <w15:docId w15:val="{37ED7F54-EAAB-4635-9EF8-B3AC516F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H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0FE6"/>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Diagrama">
    <w:name w:val="No Spacing Diagrama"/>
    <w:link w:val="Betarp1"/>
    <w:locked/>
    <w:rsid w:val="00902CFF"/>
    <w:rPr>
      <w:rFonts w:ascii="Calibri" w:eastAsia="Calibri" w:hAnsi="Calibri" w:cs="Calibri"/>
      <w:sz w:val="22"/>
      <w:szCs w:val="22"/>
      <w:lang w:eastAsia="en-US"/>
    </w:rPr>
  </w:style>
  <w:style w:type="paragraph" w:customStyle="1" w:styleId="Betarp1">
    <w:name w:val="Be tarpų1"/>
    <w:link w:val="NoSpacingDiagrama"/>
    <w:qFormat/>
    <w:rsid w:val="00902CFF"/>
    <w:pPr>
      <w:spacing w:after="0" w:line="240" w:lineRule="auto"/>
    </w:pPr>
    <w:rPr>
      <w:sz w:val="22"/>
      <w:szCs w:val="22"/>
      <w:lang w:eastAsia="en-US"/>
    </w:rPr>
  </w:style>
  <w:style w:type="table" w:customStyle="1" w:styleId="a">
    <w:basedOn w:val="prastojilente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7628">
      <w:bodyDiv w:val="1"/>
      <w:marLeft w:val="0"/>
      <w:marRight w:val="0"/>
      <w:marTop w:val="0"/>
      <w:marBottom w:val="0"/>
      <w:divBdr>
        <w:top w:val="none" w:sz="0" w:space="0" w:color="auto"/>
        <w:left w:val="none" w:sz="0" w:space="0" w:color="auto"/>
        <w:bottom w:val="none" w:sz="0" w:space="0" w:color="auto"/>
        <w:right w:val="none" w:sz="0" w:space="0" w:color="auto"/>
      </w:divBdr>
    </w:div>
    <w:div w:id="158769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vpp.eviesiejipirkimai.lt/Notice/Details/2024-614234"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6fcdJN4JFvlTK3r616iOad53w==">CgMxLjAyCGguZ2pkZ3hzMgloLjMwajB6bGwyCWguMWZvYjl0ZTIJaC4zem55c2g3MgloLjJldDkycDAyCGgudHlqY3d0MgloLjNkeTZ2a20yCWguMXQzaDVzZjIJaC40ZDM0b2c4MgloLjJzOGV5bzEyCWguMTdkcDh2dTIJaC4zcmRjcmpuMgloLjI2aW4xcmcyCGgubG54Yno5OAByITFhaEN0U3k1bkY0dFJRU1NPc1FsbWpIN1gtRVMxbmxGWg==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A9593FDB9FE054695FCEE876D75FCB6" ma:contentTypeVersion="5" ma:contentTypeDescription="Kurkite naują dokumentą." ma:contentTypeScope="" ma:versionID="7d13eb3560b2b2f24c7a52f327a9a51f">
  <xsd:schema xmlns:xsd="http://www.w3.org/2001/XMLSchema" xmlns:xs="http://www.w3.org/2001/XMLSchema" xmlns:p="http://schemas.microsoft.com/office/2006/metadata/properties" xmlns:ns3="9e5b9c39-d038-4902-814c-900f3e15aa40" targetNamespace="http://schemas.microsoft.com/office/2006/metadata/properties" ma:root="true" ma:fieldsID="0619d3378a3bc09cad91ad75aa195ecf" ns3:_="">
    <xsd:import namespace="9e5b9c39-d038-4902-814c-900f3e15aa4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b9c39-d038-4902-814c-900f3e15aa4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4F6ED-5BA9-4122-B13F-02B673554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A5A5E12-930B-47D3-8A54-A3F12DA4003D}">
  <ds:schemaRefs>
    <ds:schemaRef ds:uri="http://schemas.openxmlformats.org/officeDocument/2006/bibliography"/>
  </ds:schemaRefs>
</ds:datastoreItem>
</file>

<file path=customXml/itemProps4.xml><?xml version="1.0" encoding="utf-8"?>
<ds:datastoreItem xmlns:ds="http://schemas.openxmlformats.org/officeDocument/2006/customXml" ds:itemID="{6F0570B3-E1F6-45E4-B60E-0CC35CA38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b9c39-d038-4902-814c-900f3e1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8448B-739A-43FD-BBE0-FF0FD1709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8861</Words>
  <Characters>5052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Bernotaitė</dc:creator>
  <cp:lastModifiedBy>Liubov Lavrinovič</cp:lastModifiedBy>
  <cp:revision>5</cp:revision>
  <dcterms:created xsi:type="dcterms:W3CDTF">2024-12-19T20:02:00Z</dcterms:created>
  <dcterms:modified xsi:type="dcterms:W3CDTF">2024-12-27T15:18:00Z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0x0101003A9593FDB9FE054695FCEE876D75FCB6</vt:lpwstr>
  </property>
</Properties>
</file>