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Default="006B02B6" w:rsidP="00B35758">
      <w:pPr>
        <w:jc w:val="center"/>
        <w:rPr>
          <w:sz w:val="22"/>
          <w:szCs w:val="22"/>
        </w:rPr>
      </w:pPr>
      <w:r>
        <w:rPr>
          <w:sz w:val="22"/>
          <w:szCs w:val="22"/>
        </w:rPr>
        <w:t>TARPTAUTINIO VIEŠOJO KONKURSO</w:t>
      </w:r>
    </w:p>
    <w:p w:rsidR="006672BD" w:rsidRPr="007A7217" w:rsidRDefault="006672BD" w:rsidP="00B35758">
      <w:pPr>
        <w:jc w:val="center"/>
        <w:rPr>
          <w:sz w:val="22"/>
          <w:szCs w:val="22"/>
        </w:rPr>
      </w:pPr>
    </w:p>
    <w:p w:rsidR="00F534D6" w:rsidRPr="00F534D6" w:rsidRDefault="00F534D6" w:rsidP="00F534D6">
      <w:pPr>
        <w:jc w:val="center"/>
        <w:rPr>
          <w:b/>
          <w:sz w:val="22"/>
          <w:szCs w:val="22"/>
        </w:rPr>
      </w:pPr>
      <w:r w:rsidRPr="00F534D6">
        <w:rPr>
          <w:b/>
          <w:bCs/>
          <w:sz w:val="22"/>
          <w:szCs w:val="22"/>
        </w:rPr>
        <w:t>Endoskopinė įranga</w:t>
      </w:r>
    </w:p>
    <w:p w:rsidR="00B35758" w:rsidRDefault="00B35758" w:rsidP="00B35758">
      <w:pPr>
        <w:jc w:val="center"/>
        <w:rPr>
          <w:sz w:val="22"/>
          <w:szCs w:val="22"/>
        </w:rPr>
      </w:pPr>
      <w:r w:rsidRPr="006B02B6">
        <w:rPr>
          <w:sz w:val="22"/>
          <w:szCs w:val="22"/>
        </w:rPr>
        <w:t>ATVIRO KONKURSO SĄLYGOS</w:t>
      </w:r>
    </w:p>
    <w:p w:rsidR="006672BD" w:rsidRPr="006B02B6" w:rsidRDefault="006672BD" w:rsidP="00B35758">
      <w:pPr>
        <w:jc w:val="center"/>
        <w:rPr>
          <w:sz w:val="22"/>
          <w:szCs w:val="22"/>
        </w:rPr>
      </w:pPr>
    </w:p>
    <w:p w:rsidR="00E17DFB" w:rsidRPr="006B02B6" w:rsidRDefault="00E17DFB"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F534D6" w:rsidRPr="00F534D6">
        <w:rPr>
          <w:bCs/>
          <w:sz w:val="22"/>
          <w:szCs w:val="22"/>
        </w:rPr>
        <w:t>Sutarties projektas_endoskopinė įranga;</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F534D6">
        <w:rPr>
          <w:sz w:val="22"/>
          <w:szCs w:val="22"/>
          <w:lang w:eastAsia="lt-LT"/>
        </w:rPr>
        <w:t>.</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F534D6" w:rsidRPr="00F534D6">
        <w:rPr>
          <w:rFonts w:cs="Times New Roman"/>
          <w:b/>
          <w:bCs/>
          <w:color w:val="548DD4" w:themeColor="text2" w:themeTint="99"/>
          <w:sz w:val="22"/>
          <w:szCs w:val="22"/>
          <w:lang w:val="lt-LT"/>
        </w:rPr>
        <w:t>endoskopinę įrangą</w:t>
      </w:r>
      <w:r w:rsidR="00F534D6" w:rsidRPr="00F534D6">
        <w:rPr>
          <w:rFonts w:cs="Times New Roman"/>
          <w:b/>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4021CE">
      <w:pPr>
        <w:pStyle w:val="Body2"/>
        <w:tabs>
          <w:tab w:val="left" w:pos="709"/>
        </w:tabs>
        <w:spacing w:after="0"/>
        <w:ind w:firstLine="567"/>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771E37" w:rsidRPr="00771E37">
        <w:rPr>
          <w:rFonts w:eastAsia="Arial Unicode MS"/>
          <w:b/>
          <w:bCs/>
          <w:color w:val="4F81BD" w:themeColor="accent1"/>
          <w:sz w:val="22"/>
          <w:szCs w:val="22"/>
          <w:bdr w:val="nil"/>
        </w:rPr>
        <w:t>endoskopinė įranga</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B5324F">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771E37">
        <w:rPr>
          <w:rFonts w:eastAsia="Arial Unicode MS"/>
          <w:iCs/>
          <w:sz w:val="22"/>
          <w:szCs w:val="22"/>
          <w:bdr w:val="nil"/>
          <w:shd w:val="clear" w:color="auto" w:fill="FFFFFF"/>
        </w:rPr>
        <w:t>2026-01-08</w:t>
      </w:r>
      <w:r w:rsidR="005E6B75" w:rsidRPr="005E6B7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r w:rsidR="005E6B75" w:rsidRPr="005E6B75">
        <w:rPr>
          <w:rFonts w:eastAsia="Arial Unicode MS"/>
          <w:iCs/>
          <w:sz w:val="22"/>
          <w:szCs w:val="22"/>
          <w:bdr w:val="nil"/>
          <w:shd w:val="clear" w:color="auto" w:fill="FFFFFF"/>
        </w:rPr>
        <w:t xml:space="preserve">dėl </w:t>
      </w:r>
      <w:r w:rsidR="00771E37" w:rsidRPr="00771E37">
        <w:rPr>
          <w:rFonts w:eastAsia="Arial Unicode MS"/>
          <w:bCs/>
          <w:iCs/>
          <w:sz w:val="22"/>
          <w:szCs w:val="22"/>
          <w:bdr w:val="nil"/>
          <w:shd w:val="clear" w:color="auto" w:fill="FFFFFF"/>
        </w:rPr>
        <w:t xml:space="preserve">endoskopinės įrangos </w:t>
      </w:r>
      <w:r w:rsidR="001E5124">
        <w:rPr>
          <w:rFonts w:eastAsia="Arial Unicode MS"/>
          <w:sz w:val="22"/>
          <w:szCs w:val="22"/>
          <w:bdr w:val="nil"/>
          <w:shd w:val="clear" w:color="auto" w:fill="FFFFFF"/>
          <w:lang w:val="en-US"/>
        </w:rPr>
        <w:t>pirkimo</w:t>
      </w:r>
      <w:r w:rsidRPr="00820D86">
        <w:rPr>
          <w:rFonts w:eastAsia="Arial Unicode MS"/>
          <w:sz w:val="22"/>
          <w:szCs w:val="22"/>
          <w:bdr w:val="nil"/>
          <w:shd w:val="clear" w:color="auto" w:fill="FFFFFF"/>
          <w:lang w:val="en-US"/>
        </w:rPr>
        <w:t xml:space="preserve"> (Nr. </w:t>
      </w:r>
      <w:r w:rsidR="001E5124">
        <w:rPr>
          <w:rFonts w:eastAsia="Arial Unicode MS"/>
          <w:i/>
          <w:iCs/>
          <w:sz w:val="22"/>
          <w:szCs w:val="22"/>
          <w:bdr w:val="nil"/>
          <w:shd w:val="clear" w:color="auto" w:fill="FFFFFF"/>
        </w:rPr>
        <w:t>6119122</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5D474B" w:rsidRPr="005D474B" w:rsidRDefault="00AA47CC" w:rsidP="005D474B">
      <w:pPr>
        <w:tabs>
          <w:tab w:val="left" w:pos="993"/>
          <w:tab w:val="left" w:pos="1134"/>
          <w:tab w:val="left" w:pos="1276"/>
          <w:tab w:val="left" w:pos="1440"/>
          <w:tab w:val="left" w:pos="1560"/>
          <w:tab w:val="left" w:pos="2127"/>
        </w:tabs>
        <w:ind w:firstLine="567"/>
        <w:jc w:val="both"/>
        <w:rPr>
          <w:rFonts w:eastAsia="Arial Unicode MS"/>
          <w:b/>
          <w:sz w:val="22"/>
          <w:szCs w:val="22"/>
          <w:bdr w:val="nil"/>
          <w:lang w:val="en-US" w:eastAsia="ar-SA"/>
        </w:rPr>
      </w:pPr>
      <w:r w:rsidRPr="005D474B">
        <w:rPr>
          <w:sz w:val="22"/>
          <w:szCs w:val="22"/>
          <w:lang w:eastAsia="lt-LT"/>
        </w:rPr>
        <w:t xml:space="preserve">2.7. </w:t>
      </w:r>
      <w:r w:rsidR="00B5324F">
        <w:rPr>
          <w:rFonts w:eastAsia="Arial Unicode MS"/>
          <w:sz w:val="22"/>
          <w:szCs w:val="22"/>
          <w:bdr w:val="nil"/>
          <w:lang w:val="en-US"/>
        </w:rPr>
        <w:t>Šis pirkimas skaidomas į tris</w:t>
      </w:r>
      <w:r w:rsidR="005D474B" w:rsidRPr="005D474B">
        <w:rPr>
          <w:rFonts w:eastAsia="Arial Unicode MS"/>
          <w:sz w:val="22"/>
          <w:szCs w:val="22"/>
          <w:bdr w:val="nil"/>
          <w:lang w:val="en-US"/>
        </w:rPr>
        <w:t xml:space="preserve"> atskiras pirkimo dalis:</w:t>
      </w:r>
    </w:p>
    <w:p w:rsidR="001134F3" w:rsidRP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 xml:space="preserve">2.7.1. </w:t>
      </w:r>
      <w:bookmarkStart w:id="0" w:name="_Hlk204853138"/>
      <w:r w:rsidR="00466FC2" w:rsidRPr="00466FC2">
        <w:rPr>
          <w:rFonts w:eastAsia="Arial Unicode MS"/>
          <w:bCs/>
          <w:sz w:val="22"/>
          <w:szCs w:val="22"/>
          <w:bdr w:val="nil"/>
          <w:lang w:eastAsia="ar-SA"/>
        </w:rPr>
        <w:t xml:space="preserve">Endoskopinė sistema </w:t>
      </w:r>
      <w:r w:rsidR="00D452DD">
        <w:rPr>
          <w:rFonts w:eastAsia="Arial Unicode MS"/>
          <w:bCs/>
          <w:sz w:val="22"/>
          <w:szCs w:val="22"/>
          <w:bdr w:val="nil"/>
          <w:lang w:eastAsia="ar-SA"/>
        </w:rPr>
        <w:t>– 1</w:t>
      </w:r>
      <w:r w:rsidRPr="001134F3">
        <w:rPr>
          <w:rFonts w:eastAsia="Arial Unicode MS"/>
          <w:bCs/>
          <w:sz w:val="22"/>
          <w:szCs w:val="22"/>
          <w:bdr w:val="nil"/>
          <w:lang w:eastAsia="ar-SA"/>
        </w:rPr>
        <w:t xml:space="preserve"> vnt.</w:t>
      </w:r>
      <w:r>
        <w:rPr>
          <w:rFonts w:eastAsia="Arial Unicode MS"/>
          <w:bCs/>
          <w:sz w:val="22"/>
          <w:szCs w:val="22"/>
          <w:bdr w:val="nil"/>
          <w:lang w:eastAsia="ar-SA"/>
        </w:rPr>
        <w:t>;</w:t>
      </w:r>
    </w:p>
    <w:p w:rsid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1134F3">
        <w:rPr>
          <w:rFonts w:eastAsia="Arial Unicode MS"/>
          <w:bCs/>
          <w:sz w:val="22"/>
          <w:szCs w:val="22"/>
          <w:bdr w:val="nil"/>
          <w:lang w:eastAsia="ar-SA"/>
        </w:rPr>
        <w:t xml:space="preserve">2.7.2. </w:t>
      </w:r>
      <w:bookmarkEnd w:id="0"/>
      <w:r w:rsidR="00466FC2" w:rsidRPr="00466FC2">
        <w:rPr>
          <w:rFonts w:eastAsia="Arial Unicode MS"/>
          <w:bCs/>
          <w:sz w:val="22"/>
          <w:szCs w:val="22"/>
          <w:bdr w:val="nil"/>
          <w:lang w:eastAsia="ar-SA"/>
        </w:rPr>
        <w:t xml:space="preserve">Ultragarsinis vaizdo gastroskopas </w:t>
      </w:r>
      <w:r w:rsidRPr="001134F3">
        <w:rPr>
          <w:rFonts w:eastAsia="Arial Unicode MS"/>
          <w:bCs/>
          <w:sz w:val="22"/>
          <w:szCs w:val="22"/>
          <w:bdr w:val="nil"/>
          <w:lang w:eastAsia="ar-SA"/>
        </w:rPr>
        <w:t xml:space="preserve">– </w:t>
      </w:r>
      <w:r w:rsidR="00466FC2">
        <w:rPr>
          <w:rFonts w:eastAsia="Arial Unicode MS"/>
          <w:bCs/>
          <w:sz w:val="22"/>
          <w:szCs w:val="22"/>
          <w:bdr w:val="nil"/>
          <w:lang w:eastAsia="ar-SA"/>
        </w:rPr>
        <w:t>1 vnt;</w:t>
      </w:r>
    </w:p>
    <w:p w:rsidR="00466FC2" w:rsidRPr="001134F3" w:rsidRDefault="00466FC2"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 xml:space="preserve">2.7.3. </w:t>
      </w:r>
      <w:r w:rsidRPr="00466FC2">
        <w:rPr>
          <w:rFonts w:eastAsia="Arial Unicode MS"/>
          <w:bCs/>
          <w:sz w:val="22"/>
          <w:szCs w:val="22"/>
          <w:bdr w:val="nil"/>
          <w:lang w:eastAsia="ar-SA"/>
        </w:rPr>
        <w:t>Endoskopų plovimo mašina</w:t>
      </w:r>
      <w:r>
        <w:rPr>
          <w:rFonts w:eastAsia="Arial Unicode MS"/>
          <w:bCs/>
          <w:sz w:val="22"/>
          <w:szCs w:val="22"/>
          <w:bdr w:val="nil"/>
          <w:lang w:eastAsia="ar-SA"/>
        </w:rPr>
        <w:t xml:space="preserve"> </w:t>
      </w:r>
      <w:r w:rsidRPr="00466FC2">
        <w:rPr>
          <w:rFonts w:eastAsia="Arial Unicode MS"/>
          <w:bCs/>
          <w:sz w:val="22"/>
          <w:szCs w:val="22"/>
          <w:bdr w:val="nil"/>
          <w:lang w:eastAsia="ar-SA"/>
        </w:rPr>
        <w:t>– 1 vnt</w:t>
      </w:r>
      <w:r w:rsidR="00091EC0">
        <w:rPr>
          <w:rFonts w:eastAsia="Arial Unicode MS"/>
          <w:bCs/>
          <w:sz w:val="22"/>
          <w:szCs w:val="22"/>
          <w:bdr w:val="nil"/>
          <w:lang w:eastAsia="ar-SA"/>
        </w:rPr>
        <w:t>.</w:t>
      </w:r>
    </w:p>
    <w:p w:rsidR="00496057" w:rsidRPr="005D474B" w:rsidRDefault="00DD4507" w:rsidP="00AA47CC">
      <w:pPr>
        <w:tabs>
          <w:tab w:val="left" w:pos="993"/>
        </w:tabs>
        <w:ind w:firstLine="567"/>
        <w:jc w:val="both"/>
        <w:rPr>
          <w:sz w:val="22"/>
          <w:szCs w:val="22"/>
          <w:lang w:eastAsia="lt-LT"/>
        </w:rPr>
      </w:pPr>
      <w:r w:rsidRPr="00DD4507">
        <w:rPr>
          <w:sz w:val="22"/>
          <w:szCs w:val="22"/>
          <w:lang w:eastAsia="lt-LT"/>
        </w:rPr>
        <w:t xml:space="preserve">Dalyvis gali pateikti pasiūlymą vienai pirkimo daliai, </w:t>
      </w:r>
      <w:r w:rsidR="00091EC0">
        <w:rPr>
          <w:sz w:val="22"/>
          <w:szCs w:val="22"/>
          <w:lang w:eastAsia="lt-LT"/>
        </w:rPr>
        <w:t xml:space="preserve">kelioms pirkimo dalims, </w:t>
      </w:r>
      <w:r w:rsidRPr="00DD4507">
        <w:rPr>
          <w:sz w:val="22"/>
          <w:szCs w:val="22"/>
          <w:lang w:eastAsia="lt-LT"/>
        </w:rPr>
        <w:t>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w:t>
      </w:r>
      <w:r w:rsidR="00525048">
        <w:rPr>
          <w:sz w:val="22"/>
          <w:szCs w:val="22"/>
          <w:lang w:eastAsia="ar-SA"/>
        </w:rPr>
        <w:t>.4 punktu</w:t>
      </w:r>
      <w:r w:rsidR="00794FD4" w:rsidRPr="00086228">
        <w:rPr>
          <w:sz w:val="22"/>
          <w:szCs w:val="22"/>
          <w:lang w:eastAsia="ar-SA"/>
        </w:rPr>
        <w:t>.</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F37F8" w:rsidRDefault="00CF37F8" w:rsidP="00C54A7B">
            <w:pPr>
              <w:suppressAutoHyphens/>
              <w:spacing w:after="40"/>
              <w:jc w:val="both"/>
              <w:rPr>
                <w:rFonts w:ascii="Times New Roman" w:hAnsi="Times New Roman" w:cs="Times New Roman"/>
                <w:color w:val="000000"/>
                <w:u w:val="single"/>
                <w:lang w:eastAsia="lt-LT"/>
              </w:rPr>
            </w:pPr>
            <w:r w:rsidRPr="00CF37F8">
              <w:rPr>
                <w:rStyle w:val="Hyperlink"/>
                <w:rFonts w:ascii="Times New Roman" w:hAnsi="Times New Roman" w:cs="Times New Roman"/>
                <w:lang w:eastAsia="lt-LT"/>
              </w:rPr>
              <w:t>https://vpt.lrv.lt/lt/nuorodos/kiti-duomenys/powerbi/melaginga-informacija-pateikusiu-tiekeju-sarasas-3/</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F37F8" w:rsidRDefault="00CF37F8" w:rsidP="00C54A7B">
            <w:pPr>
              <w:suppressAutoHyphens/>
              <w:spacing w:after="40"/>
              <w:jc w:val="both"/>
              <w:rPr>
                <w:rFonts w:ascii="Times New Roman" w:hAnsi="Times New Roman" w:cs="Times New Roman"/>
                <w:color w:val="000000"/>
                <w:lang w:eastAsia="lt-LT"/>
              </w:rPr>
            </w:pPr>
            <w:r w:rsidRPr="00CF37F8">
              <w:rPr>
                <w:rStyle w:val="Hyperlink"/>
                <w:rFonts w:ascii="Times New Roman" w:hAnsi="Times New Roman" w:cs="Times New Roman"/>
                <w:lang w:eastAsia="lt-LT"/>
              </w:rPr>
              <w:t>https://vpt.lrv.lt/lt/nuorodos/kiti-duomenys/powerbi/nepatikimi-tiekejai-1/</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534D6"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6"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F534D6" w:rsidP="007C37D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F534D6"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E76DB7" w:rsidRPr="007A7217" w:rsidRDefault="00E76DB7" w:rsidP="00E76DB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E76DB7" w:rsidRPr="007A7217" w:rsidRDefault="00E76DB7" w:rsidP="00E76DB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E76DB7" w:rsidRPr="007A7217" w:rsidRDefault="00E76DB7" w:rsidP="00E76DB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76DB7" w:rsidRPr="007A7217" w:rsidRDefault="00E76DB7" w:rsidP="00E76DB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76DB7" w:rsidRDefault="00E76DB7" w:rsidP="00E76DB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76DB7" w:rsidRPr="004C11F7" w:rsidRDefault="00E76DB7" w:rsidP="00E76D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E76DB7" w:rsidRPr="004C11F7" w:rsidRDefault="00E76DB7" w:rsidP="00E76D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76DB7" w:rsidRPr="004C11F7" w:rsidRDefault="00E76DB7" w:rsidP="00E76D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E76DB7" w:rsidRPr="004C11F7" w:rsidRDefault="00E76DB7" w:rsidP="00E76DB7">
      <w:pPr>
        <w:shd w:val="clear" w:color="auto" w:fill="FFFFFF"/>
        <w:ind w:left="-567" w:firstLine="1134"/>
        <w:jc w:val="both"/>
        <w:rPr>
          <w:b/>
          <w:sz w:val="22"/>
          <w:szCs w:val="22"/>
        </w:rPr>
      </w:pPr>
    </w:p>
    <w:p w:rsidR="00EB0348" w:rsidRDefault="00EB034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804EDD" w:rsidRPr="00804EDD">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464DA7">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E76DB7">
        <w:rPr>
          <w:rFonts w:cs="Times New Roman"/>
          <w:b/>
          <w:iCs/>
          <w:color w:val="548DD4" w:themeColor="text2" w:themeTint="99"/>
          <w:sz w:val="22"/>
          <w:szCs w:val="22"/>
        </w:rPr>
        <w:t>m. vasario 20</w:t>
      </w:r>
      <w:r w:rsidRPr="0004206C">
        <w:rPr>
          <w:rFonts w:cs="Times New Roman"/>
          <w:b/>
          <w:iCs/>
          <w:color w:val="548DD4" w:themeColor="text2" w:themeTint="99"/>
          <w:sz w:val="22"/>
          <w:szCs w:val="22"/>
        </w:rPr>
        <w:t xml:space="preserve"> d. </w:t>
      </w:r>
      <w:r w:rsidR="002C59AF" w:rsidRPr="0004206C">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val.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DC4FF6" w:rsidRPr="00B900A1" w:rsidRDefault="00DC4FF6" w:rsidP="00DC4FF6">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DC4FF6" w:rsidRPr="00B900A1" w:rsidRDefault="00DC4FF6" w:rsidP="00DC4FF6">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Pr="00B900A1">
        <w:rPr>
          <w:rFonts w:eastAsia="Arial Unicode MS"/>
          <w:sz w:val="22"/>
          <w:szCs w:val="22"/>
          <w:bdr w:val="nil"/>
          <w:lang w:val="it-IT"/>
        </w:rPr>
        <w:t>.</w:t>
      </w:r>
      <w:r w:rsidRPr="00B900A1">
        <w:rPr>
          <w:rFonts w:eastAsia="Arial Unicode MS"/>
          <w:sz w:val="22"/>
          <w:szCs w:val="22"/>
          <w:bdr w:val="nil"/>
          <w:lang w:val="en-US"/>
        </w:rPr>
        <w:t xml:space="preserve"> </w:t>
      </w:r>
      <w:r w:rsidRPr="00B900A1">
        <w:rPr>
          <w:rFonts w:eastAsia="Arial Unicode MS"/>
          <w:sz w:val="22"/>
          <w:szCs w:val="22"/>
          <w:bdr w:val="nil"/>
          <w:lang w:val="es-ES_tradnl"/>
        </w:rPr>
        <w:t>Europos bendrasis vie</w:t>
      </w:r>
      <w:r w:rsidRPr="00B900A1">
        <w:rPr>
          <w:rFonts w:eastAsia="Arial Unicode MS"/>
          <w:sz w:val="22"/>
          <w:szCs w:val="22"/>
          <w:bdr w:val="nil"/>
          <w:lang w:val="en-US"/>
        </w:rPr>
        <w:t>šųjų pirkimų dokumentas (EBVPD) parengtas pagal pirkimo sąlygų 5 priedą.</w:t>
      </w:r>
    </w:p>
    <w:p w:rsidR="00DC4FF6" w:rsidRPr="00B900A1" w:rsidRDefault="00DC4FF6" w:rsidP="00DC4FF6">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Pr="00B900A1">
        <w:rPr>
          <w:rFonts w:eastAsia="Arial Unicode MS"/>
          <w:sz w:val="22"/>
          <w:szCs w:val="22"/>
          <w:bdr w:val="nil"/>
          <w:lang w:val="it-IT"/>
        </w:rPr>
        <w:t>.</w:t>
      </w:r>
      <w:r w:rsidRPr="00B900A1">
        <w:rPr>
          <w:rFonts w:eastAsia="Arial Unicode MS"/>
          <w:sz w:val="22"/>
          <w:szCs w:val="22"/>
          <w:bdr w:val="nil"/>
          <w:lang w:val="en-US"/>
        </w:rPr>
        <w:t xml:space="preserve"> Jungtinės veiklos sutartis (jei taikoma);</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Pr>
          <w:rFonts w:eastAsia="Arial Unicode MS"/>
          <w:sz w:val="22"/>
          <w:szCs w:val="22"/>
          <w:bdr w:val="nil"/>
          <w:lang w:val="en-US" w:eastAsia="en-GB"/>
        </w:rPr>
        <w:t>5.11.4</w:t>
      </w:r>
      <w:r w:rsidRPr="00B900A1">
        <w:rPr>
          <w:rFonts w:eastAsia="Arial Unicode MS"/>
          <w:sz w:val="22"/>
          <w:szCs w:val="22"/>
          <w:bdr w:val="nil"/>
          <w:lang w:val="en-US" w:eastAsia="en-GB"/>
        </w:rPr>
        <w:t xml:space="preserve">. Įgaliojimas pasirašyti </w:t>
      </w:r>
      <w:r w:rsidRPr="00B900A1">
        <w:rPr>
          <w:rFonts w:eastAsia="Arial Unicode MS"/>
          <w:sz w:val="22"/>
          <w:szCs w:val="22"/>
          <w:bdr w:val="nil"/>
          <w:lang w:eastAsia="en-GB"/>
        </w:rPr>
        <w:t>pasiūlymą (jei taikoma);</w:t>
      </w:r>
      <w:r w:rsidRPr="00B900A1">
        <w:rPr>
          <w:rFonts w:eastAsia="Arial Unicode MS"/>
          <w:sz w:val="22"/>
          <w:szCs w:val="22"/>
          <w:bdr w:val="nil"/>
          <w:lang w:eastAsia="en-GB"/>
        </w:rPr>
        <w:tab/>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Pr>
          <w:rFonts w:eastAsia="Calibri"/>
          <w:color w:val="000000"/>
          <w:sz w:val="22"/>
          <w:szCs w:val="22"/>
          <w:bdr w:val="nil"/>
          <w:lang w:eastAsia="en-GB"/>
        </w:rPr>
        <w:t>5.11.5.</w:t>
      </w:r>
      <w:r w:rsidRPr="00B900A1">
        <w:rPr>
          <w:rFonts w:eastAsia="Calibri"/>
          <w:color w:val="000000"/>
          <w:sz w:val="22"/>
          <w:szCs w:val="22"/>
          <w:bdr w:val="nil"/>
          <w:lang w:eastAsia="en-GB"/>
        </w:rPr>
        <w:t xml:space="preserve"> Deklaracija dėl tiekėjo atsakingų asmenų (</w:t>
      </w:r>
      <w:r w:rsidRPr="00361148">
        <w:rPr>
          <w:rFonts w:eastAsia="Calibri"/>
          <w:color w:val="000000"/>
          <w:sz w:val="22"/>
          <w:szCs w:val="22"/>
          <w:bdr w:val="nil"/>
          <w:lang w:eastAsia="en-GB"/>
        </w:rPr>
        <w:t>2</w:t>
      </w:r>
      <w:r w:rsidRPr="00B900A1">
        <w:rPr>
          <w:rFonts w:eastAsia="Calibri"/>
          <w:color w:val="000000"/>
          <w:sz w:val="22"/>
          <w:szCs w:val="22"/>
          <w:bdr w:val="nil"/>
          <w:lang w:eastAsia="en-GB"/>
        </w:rPr>
        <w:t xml:space="preserve"> priedas);</w:t>
      </w:r>
    </w:p>
    <w:p w:rsidR="00DC4FF6" w:rsidRDefault="00DC4FF6" w:rsidP="00DC4FF6">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Pr="00424D6C">
        <w:rPr>
          <w:rFonts w:eastAsia="Arial Unicode MS"/>
          <w:color w:val="000000"/>
          <w:sz w:val="22"/>
          <w:szCs w:val="22"/>
          <w:bdr w:val="nil"/>
          <w:lang w:eastAsia="en-GB"/>
        </w:rPr>
        <w:t xml:space="preserve">Tiekėjo deklaracija dėl </w:t>
      </w:r>
      <w:r>
        <w:rPr>
          <w:rFonts w:eastAsia="Arial Unicode MS"/>
          <w:color w:val="000000"/>
          <w:sz w:val="22"/>
          <w:szCs w:val="22"/>
          <w:bdr w:val="nil"/>
          <w:lang w:eastAsia="en-GB"/>
        </w:rPr>
        <w:t>(ne)</w:t>
      </w:r>
      <w:r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DC4FF6" w:rsidRPr="00B900A1" w:rsidRDefault="00DC4FF6" w:rsidP="00DC4FF6">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Pr>
          <w:rFonts w:eastAsia="Arial Unicode MS"/>
          <w:sz w:val="22"/>
          <w:szCs w:val="22"/>
          <w:u w:val="single"/>
          <w:bdr w:val="nil"/>
        </w:rPr>
        <w:t>4 priedo</w:t>
      </w:r>
      <w:r w:rsidRPr="00EC63E5">
        <w:rPr>
          <w:rFonts w:eastAsia="Arial Unicode MS"/>
          <w:sz w:val="22"/>
          <w:szCs w:val="22"/>
          <w:u w:val="single"/>
          <w:bdr w:val="nil"/>
        </w:rPr>
        <w:t xml:space="preserve"> „Techninė specifikacija“</w:t>
      </w:r>
      <w:r w:rsidRPr="00B900A1">
        <w:rPr>
          <w:rFonts w:eastAsia="Arial Unicode MS"/>
          <w:sz w:val="22"/>
          <w:szCs w:val="22"/>
          <w:u w:val="single"/>
          <w:bdr w:val="nil"/>
        </w:rPr>
        <w:t xml:space="preserve"> </w:t>
      </w:r>
      <w:r>
        <w:rPr>
          <w:rFonts w:eastAsia="Arial Unicode MS"/>
          <w:sz w:val="22"/>
          <w:szCs w:val="22"/>
          <w:u w:val="single"/>
          <w:bdr w:val="nil"/>
        </w:rPr>
        <w:t xml:space="preserve">4 lentelės </w:t>
      </w:r>
      <w:r w:rsidRPr="00631949">
        <w:rPr>
          <w:rFonts w:eastAsia="Arial Unicode MS"/>
          <w:sz w:val="22"/>
          <w:szCs w:val="22"/>
          <w:u w:val="single"/>
          <w:bdr w:val="nil"/>
        </w:rPr>
        <w:t>grafoje „</w:t>
      </w:r>
      <w:r w:rsidRPr="00631949">
        <w:rPr>
          <w:rFonts w:eastAsia="Arial Unicode MS"/>
          <w:bCs/>
          <w:color w:val="000000" w:themeColor="text1"/>
          <w:sz w:val="22"/>
          <w:szCs w:val="22"/>
          <w:u w:val="single"/>
          <w:bdr w:val="nil"/>
        </w:rPr>
        <w:t>Siūlom</w:t>
      </w:r>
      <w:r>
        <w:rPr>
          <w:rFonts w:eastAsia="Arial Unicode MS"/>
          <w:bCs/>
          <w:color w:val="000000" w:themeColor="text1"/>
          <w:sz w:val="22"/>
          <w:szCs w:val="22"/>
          <w:u w:val="single"/>
          <w:bdr w:val="nil"/>
        </w:rPr>
        <w:t>os parametrų reikšmės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DC4FF6" w:rsidRPr="00B900A1" w:rsidRDefault="00DC4FF6" w:rsidP="00DC4FF6">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Pr="00B900A1">
        <w:rPr>
          <w:rFonts w:eastAsia="Arial Unicode MS"/>
          <w:iCs/>
          <w:sz w:val="22"/>
          <w:szCs w:val="22"/>
          <w:bdr w:val="nil"/>
          <w:lang w:eastAsia="en-GB"/>
        </w:rPr>
        <w:t xml:space="preserve">. </w:t>
      </w:r>
      <w:r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529F9" w:rsidRPr="00E061EA" w:rsidRDefault="00A529F9"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C524CA">
        <w:rPr>
          <w:b/>
          <w:iCs/>
          <w:color w:val="548DD4" w:themeColor="text2" w:themeTint="99"/>
          <w:sz w:val="22"/>
          <w:szCs w:val="22"/>
        </w:rPr>
        <w:t>6</w:t>
      </w:r>
      <w:r w:rsidR="009A3013" w:rsidRPr="00AD5535">
        <w:rPr>
          <w:b/>
          <w:iCs/>
          <w:color w:val="548DD4" w:themeColor="text2" w:themeTint="99"/>
          <w:sz w:val="22"/>
          <w:szCs w:val="22"/>
        </w:rPr>
        <w:t xml:space="preserve"> m. </w:t>
      </w:r>
      <w:r w:rsidR="00C524CA">
        <w:rPr>
          <w:b/>
          <w:iCs/>
          <w:color w:val="548DD4" w:themeColor="text2" w:themeTint="99"/>
          <w:sz w:val="22"/>
          <w:szCs w:val="22"/>
        </w:rPr>
        <w:t>vasario</w:t>
      </w:r>
      <w:r w:rsidR="000706F8" w:rsidRPr="00AD5535">
        <w:rPr>
          <w:b/>
          <w:iCs/>
          <w:color w:val="548DD4" w:themeColor="text2" w:themeTint="99"/>
          <w:sz w:val="22"/>
          <w:szCs w:val="22"/>
        </w:rPr>
        <w:t xml:space="preserve"> </w:t>
      </w:r>
      <w:r w:rsidR="00BB21CC">
        <w:rPr>
          <w:b/>
          <w:iCs/>
          <w:color w:val="548DD4" w:themeColor="text2" w:themeTint="99"/>
          <w:sz w:val="22"/>
          <w:szCs w:val="22"/>
        </w:rPr>
        <w:t>20</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2C59AF" w:rsidRPr="00AD5535">
        <w:rPr>
          <w:b/>
          <w:iCs/>
          <w:color w:val="548DD4" w:themeColor="text2" w:themeTint="99"/>
          <w:sz w:val="22"/>
          <w:szCs w:val="22"/>
        </w:rPr>
        <w:t>10</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C524CA">
        <w:rPr>
          <w:b/>
          <w:iCs/>
          <w:color w:val="548DD4" w:themeColor="text2" w:themeTint="99"/>
          <w:sz w:val="22"/>
          <w:szCs w:val="22"/>
          <w:u w:val="single"/>
        </w:rPr>
        <w:t>6</w:t>
      </w:r>
      <w:r w:rsidRPr="00AD5535">
        <w:rPr>
          <w:b/>
          <w:iCs/>
          <w:color w:val="548DD4" w:themeColor="text2" w:themeTint="99"/>
          <w:sz w:val="22"/>
          <w:szCs w:val="22"/>
          <w:u w:val="single"/>
        </w:rPr>
        <w:t xml:space="preserve"> m.</w:t>
      </w:r>
      <w:r w:rsidR="00C524CA">
        <w:rPr>
          <w:b/>
          <w:iCs/>
          <w:color w:val="548DD4" w:themeColor="text2" w:themeTint="99"/>
          <w:sz w:val="22"/>
          <w:szCs w:val="22"/>
          <w:u w:val="single"/>
        </w:rPr>
        <w:t xml:space="preserve"> vasario </w:t>
      </w:r>
      <w:r w:rsidR="002A5A44" w:rsidRPr="00AD5535">
        <w:rPr>
          <w:b/>
          <w:iCs/>
          <w:color w:val="548DD4" w:themeColor="text2" w:themeTint="99"/>
          <w:sz w:val="22"/>
          <w:szCs w:val="22"/>
          <w:u w:val="single"/>
        </w:rPr>
        <w:t xml:space="preserve"> </w:t>
      </w:r>
      <w:r w:rsidR="00BB21CC">
        <w:rPr>
          <w:b/>
          <w:iCs/>
          <w:color w:val="548DD4" w:themeColor="text2" w:themeTint="99"/>
          <w:sz w:val="22"/>
          <w:szCs w:val="22"/>
          <w:u w:val="single"/>
        </w:rPr>
        <w:t>20</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2C59AF" w:rsidRPr="00AD5535">
        <w:rPr>
          <w:b/>
          <w:iCs/>
          <w:color w:val="548DD4" w:themeColor="text2" w:themeTint="99"/>
          <w:sz w:val="22"/>
          <w:szCs w:val="22"/>
          <w:u w:val="single"/>
        </w:rPr>
        <w:t>10</w:t>
      </w:r>
      <w:r w:rsidRPr="00AD5535">
        <w:rPr>
          <w:b/>
          <w:iCs/>
          <w:color w:val="548DD4" w:themeColor="text2" w:themeTint="99"/>
          <w:sz w:val="22"/>
          <w:szCs w:val="22"/>
          <w:u w:val="single"/>
        </w:rPr>
        <w:t xml:space="preserve">.00 – </w:t>
      </w:r>
      <w:r w:rsidR="002C59AF" w:rsidRPr="00AD5535">
        <w:rPr>
          <w:b/>
          <w:iCs/>
          <w:color w:val="548DD4" w:themeColor="text2" w:themeTint="99"/>
          <w:sz w:val="22"/>
          <w:szCs w:val="22"/>
          <w:u w:val="single"/>
        </w:rPr>
        <w:t>10</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E07F41" w:rsidRPr="007A7217" w:rsidRDefault="00E07F41" w:rsidP="00E07F41">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E07F41" w:rsidRPr="007A7217" w:rsidRDefault="00E07F41" w:rsidP="00E07F41">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E07F41" w:rsidRPr="007A7217" w:rsidRDefault="00E07F41" w:rsidP="00E07F41">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E07F41" w:rsidRPr="007A7217" w:rsidRDefault="00E07F41" w:rsidP="00E07F41">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E07F41" w:rsidRPr="007A7217" w:rsidRDefault="00E07F41" w:rsidP="00E07F41">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E07F41" w:rsidRPr="007A7217" w:rsidRDefault="00E07F41" w:rsidP="00E07F41">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E07F41" w:rsidRPr="007A7217" w:rsidRDefault="00E07F41" w:rsidP="00E07F41">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Pr="007A7217">
        <w:rPr>
          <w:color w:val="000000"/>
          <w:sz w:val="22"/>
          <w:szCs w:val="22"/>
          <w:lang w:eastAsia="lt-LT"/>
        </w:rPr>
        <w:tab/>
      </w:r>
    </w:p>
    <w:p w:rsidR="00E07F41" w:rsidRPr="007A7217" w:rsidRDefault="00E07F41" w:rsidP="00E07F41">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Pr>
          <w:color w:val="000000"/>
          <w:sz w:val="22"/>
          <w:szCs w:val="22"/>
          <w:lang w:eastAsia="lt-LT"/>
        </w:rPr>
        <w:t>taisyklėmis.</w:t>
      </w:r>
    </w:p>
    <w:p w:rsidR="00E07F41" w:rsidRPr="007A7217" w:rsidRDefault="00E07F41" w:rsidP="00E07F41">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E07F41" w:rsidRPr="007A7217" w:rsidRDefault="00E07F41" w:rsidP="00E07F41">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E07F41" w:rsidRPr="007A7217" w:rsidRDefault="00E07F41" w:rsidP="00E07F41">
      <w:pPr>
        <w:tabs>
          <w:tab w:val="left" w:pos="567"/>
        </w:tabs>
        <w:suppressAutoHyphens/>
        <w:jc w:val="both"/>
        <w:rPr>
          <w:color w:val="000000"/>
          <w:sz w:val="22"/>
          <w:szCs w:val="22"/>
          <w:lang w:eastAsia="lt-LT"/>
        </w:rPr>
      </w:pPr>
      <w:r w:rsidRPr="007A7217">
        <w:rPr>
          <w:color w:val="000000"/>
          <w:sz w:val="22"/>
          <w:szCs w:val="22"/>
          <w:lang w:eastAsia="lt-LT"/>
        </w:rPr>
        <w:tab/>
        <w:t>11.</w:t>
      </w:r>
      <w:r>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E07F41" w:rsidRDefault="00E07F41" w:rsidP="00E07F41">
      <w:pPr>
        <w:tabs>
          <w:tab w:val="left" w:pos="567"/>
        </w:tabs>
        <w:suppressAutoHyphens/>
        <w:jc w:val="both"/>
        <w:rPr>
          <w:color w:val="000000"/>
          <w:sz w:val="22"/>
          <w:szCs w:val="22"/>
          <w:lang w:eastAsia="lt-LT"/>
        </w:rPr>
      </w:pPr>
      <w:r w:rsidRPr="007A7217">
        <w:rPr>
          <w:color w:val="000000"/>
          <w:sz w:val="22"/>
          <w:szCs w:val="22"/>
          <w:lang w:eastAsia="lt-LT"/>
        </w:rPr>
        <w:tab/>
        <w:t>11.</w:t>
      </w:r>
      <w:r>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tabs>
          <w:tab w:val="left" w:pos="567"/>
        </w:tabs>
        <w:suppressAutoHyphens/>
        <w:jc w:val="both"/>
        <w:rPr>
          <w:color w:val="000000"/>
          <w:sz w:val="22"/>
          <w:szCs w:val="22"/>
          <w:lang w:eastAsia="lt-LT"/>
        </w:rPr>
      </w:pP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w:t>
      </w:r>
      <w:r w:rsidR="0090382D" w:rsidRPr="00E2796A">
        <w:rPr>
          <w:rFonts w:eastAsia="Arial Unicode MS" w:cs="Arial Unicode MS"/>
          <w:color w:val="000000"/>
          <w:sz w:val="22"/>
          <w:szCs w:val="22"/>
          <w:bdr w:val="nil"/>
          <w:lang w:eastAsia="en-GB"/>
        </w:rPr>
        <w:t xml:space="preserve">organizacijos prašymu nepateikė ar nepatikslino pateiktos netikslios ar neišsamios informacijos dėl </w:t>
      </w:r>
      <w:r w:rsidR="0090382D" w:rsidRPr="00E2796A">
        <w:rPr>
          <w:rFonts w:eastAsia="Arial Unicode MS" w:cs="Arial Unicode MS"/>
          <w:color w:val="000000"/>
          <w:sz w:val="22"/>
          <w:szCs w:val="22"/>
          <w:bdr w:val="nil"/>
          <w:lang w:val="en-US" w:eastAsia="en-GB"/>
        </w:rPr>
        <w:t>Nacionalinio saugumo reikalavimų atitikties</w:t>
      </w:r>
      <w:r w:rsidR="0090382D" w:rsidRPr="0090382D">
        <w:rPr>
          <w:rFonts w:eastAsia="Arial Unicode MS" w:cs="Arial Unicode MS"/>
          <w:color w:val="000000"/>
          <w:sz w:val="22"/>
          <w:szCs w:val="22"/>
          <w:bdr w:val="nil"/>
          <w:lang w:val="en-US" w:eastAsia="en-GB"/>
        </w:rPr>
        <w:t xml:space="preserve">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14.1. </w:t>
      </w:r>
      <w:r w:rsidR="00147765" w:rsidRPr="00147765">
        <w:rPr>
          <w:rFonts w:cs="Times New Roman"/>
          <w:sz w:val="22"/>
          <w:szCs w:val="22"/>
          <w:lang w:val="lt-LT"/>
        </w:rPr>
        <w:t>Perkančioji organizacija ekonomiškai naudingiausią pasiūlymą išrenka pagal kainos ir kokybės santykį. Ekonomiškai naudingiausiu pasiūlymu laikomas pasiūlymas, kurio ekonominis naudingumas (E) yra didžiausias</w:t>
      </w:r>
      <w:r w:rsidRPr="00740EB5">
        <w:rPr>
          <w:rFonts w:cs="Times New Roman"/>
          <w:sz w:val="22"/>
          <w:szCs w:val="22"/>
          <w:lang w:val="lt-LT"/>
        </w:rPr>
        <w:t>.</w:t>
      </w: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14.2. </w:t>
      </w:r>
      <w:r w:rsidR="00147765" w:rsidRPr="00147765">
        <w:rPr>
          <w:rFonts w:cs="Times New Roman"/>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40EB5">
        <w:rPr>
          <w:rFonts w:cs="Times New Roman"/>
          <w:sz w:val="22"/>
          <w:szCs w:val="22"/>
          <w:lang w:val="lt-LT"/>
        </w:rPr>
        <w:t>.</w:t>
      </w:r>
    </w:p>
    <w:p w:rsidR="00650917" w:rsidRDefault="00AD1E1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14.3. </w:t>
      </w:r>
      <w:r w:rsidR="007514A5" w:rsidRPr="007514A5">
        <w:rPr>
          <w:rFonts w:eastAsia="Calibri"/>
          <w:color w:val="000000" w:themeColor="text1"/>
          <w:sz w:val="22"/>
          <w:szCs w:val="22"/>
        </w:rPr>
        <w:t>Didžiausia priimtina pasiūlymo kaina yra</w:t>
      </w:r>
      <w:r w:rsidR="00650917">
        <w:rPr>
          <w:rFonts w:eastAsia="Calibri"/>
          <w:color w:val="000000" w:themeColor="text1"/>
          <w:sz w:val="22"/>
          <w:szCs w:val="22"/>
        </w:rPr>
        <w:t>:</w:t>
      </w:r>
    </w:p>
    <w:p w:rsidR="00650917" w:rsidRDefault="00650917"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1 pirkimo dalis „</w:t>
      </w:r>
      <w:r w:rsidR="000A6946" w:rsidRPr="000A6946">
        <w:rPr>
          <w:rFonts w:eastAsia="Calibri"/>
          <w:color w:val="000000" w:themeColor="text1"/>
          <w:sz w:val="22"/>
          <w:szCs w:val="22"/>
        </w:rPr>
        <w:t>Endoskopinė sistema</w:t>
      </w:r>
      <w:r>
        <w:rPr>
          <w:rFonts w:eastAsia="Calibri"/>
          <w:color w:val="000000" w:themeColor="text1"/>
          <w:sz w:val="22"/>
          <w:szCs w:val="22"/>
        </w:rPr>
        <w:t>“</w:t>
      </w:r>
      <w:r w:rsidR="0025190A">
        <w:rPr>
          <w:rFonts w:eastAsia="Calibri"/>
          <w:color w:val="000000" w:themeColor="text1"/>
          <w:sz w:val="22"/>
          <w:szCs w:val="22"/>
        </w:rPr>
        <w:t>,</w:t>
      </w:r>
      <w:r>
        <w:rPr>
          <w:rFonts w:eastAsia="Calibri"/>
          <w:color w:val="000000" w:themeColor="text1"/>
          <w:sz w:val="22"/>
          <w:szCs w:val="22"/>
        </w:rPr>
        <w:t xml:space="preserve"> 1 vnt. - </w:t>
      </w:r>
      <w:r w:rsidR="007514A5" w:rsidRPr="007514A5">
        <w:rPr>
          <w:rFonts w:eastAsia="Calibri"/>
          <w:color w:val="000000" w:themeColor="text1"/>
          <w:sz w:val="22"/>
          <w:szCs w:val="22"/>
        </w:rPr>
        <w:t xml:space="preserve"> </w:t>
      </w:r>
      <w:r w:rsidR="000A6946" w:rsidRPr="000A6946">
        <w:rPr>
          <w:rFonts w:eastAsia="Calibri"/>
          <w:color w:val="000000" w:themeColor="text1"/>
          <w:sz w:val="22"/>
          <w:szCs w:val="22"/>
        </w:rPr>
        <w:t>229 585,00</w:t>
      </w:r>
      <w:r w:rsidR="003806F4">
        <w:rPr>
          <w:rFonts w:eastAsia="Calibri"/>
          <w:color w:val="000000" w:themeColor="text1"/>
          <w:sz w:val="22"/>
          <w:szCs w:val="22"/>
        </w:rPr>
        <w:t xml:space="preserve"> Eur (su PVM). Šią kainą</w:t>
      </w:r>
      <w:r w:rsidR="003806F4" w:rsidRPr="003806F4">
        <w:rPr>
          <w:rFonts w:eastAsia="Calibri"/>
          <w:color w:val="000000" w:themeColor="text1"/>
          <w:sz w:val="22"/>
          <w:szCs w:val="22"/>
        </w:rPr>
        <w:t xml:space="preserve"> vir</w:t>
      </w:r>
      <w:r w:rsidR="003806F4">
        <w:rPr>
          <w:rFonts w:eastAsia="Calibri"/>
          <w:color w:val="000000" w:themeColor="text1"/>
          <w:sz w:val="22"/>
          <w:szCs w:val="22"/>
        </w:rPr>
        <w:t>šijantys pasiūlymai bus atmesti;</w:t>
      </w:r>
    </w:p>
    <w:p w:rsidR="003806F4" w:rsidRPr="003806F4" w:rsidRDefault="00650917" w:rsidP="003806F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2 pirkimo dalis „</w:t>
      </w:r>
      <w:r w:rsidR="000A6946" w:rsidRPr="000A6946">
        <w:rPr>
          <w:rFonts w:eastAsia="Calibri"/>
          <w:color w:val="000000" w:themeColor="text1"/>
          <w:sz w:val="22"/>
          <w:szCs w:val="22"/>
        </w:rPr>
        <w:t>Ultragarsinis vaizdo gastroskopas</w:t>
      </w:r>
      <w:r>
        <w:rPr>
          <w:rFonts w:eastAsia="Calibri"/>
          <w:color w:val="000000" w:themeColor="text1"/>
          <w:sz w:val="22"/>
          <w:szCs w:val="22"/>
        </w:rPr>
        <w:t>“</w:t>
      </w:r>
      <w:r w:rsidR="0025190A">
        <w:rPr>
          <w:rFonts w:eastAsia="Calibri"/>
          <w:color w:val="000000" w:themeColor="text1"/>
          <w:sz w:val="22"/>
          <w:szCs w:val="22"/>
        </w:rPr>
        <w:t xml:space="preserve">, </w:t>
      </w:r>
      <w:r w:rsidR="000A6946">
        <w:rPr>
          <w:rFonts w:eastAsia="Calibri"/>
          <w:color w:val="000000" w:themeColor="text1"/>
          <w:sz w:val="22"/>
          <w:szCs w:val="22"/>
        </w:rPr>
        <w:t>1</w:t>
      </w:r>
      <w:r w:rsidR="0025190A">
        <w:rPr>
          <w:rFonts w:eastAsia="Calibri"/>
          <w:color w:val="000000" w:themeColor="text1"/>
          <w:sz w:val="22"/>
          <w:szCs w:val="22"/>
        </w:rPr>
        <w:t xml:space="preserve"> vnt. </w:t>
      </w:r>
      <w:r>
        <w:rPr>
          <w:rFonts w:eastAsia="Calibri"/>
          <w:color w:val="000000" w:themeColor="text1"/>
          <w:sz w:val="22"/>
          <w:szCs w:val="22"/>
        </w:rPr>
        <w:t xml:space="preserve">- </w:t>
      </w:r>
      <w:r w:rsidR="000A6946" w:rsidRPr="000A6946">
        <w:rPr>
          <w:rFonts w:eastAsia="Calibri"/>
          <w:color w:val="000000" w:themeColor="text1"/>
          <w:sz w:val="22"/>
          <w:szCs w:val="22"/>
        </w:rPr>
        <w:t>100 000,00</w:t>
      </w:r>
      <w:r w:rsidR="000A6946">
        <w:rPr>
          <w:rFonts w:eastAsia="Calibri"/>
          <w:color w:val="000000" w:themeColor="text1"/>
          <w:sz w:val="22"/>
          <w:szCs w:val="22"/>
        </w:rPr>
        <w:t xml:space="preserve"> </w:t>
      </w:r>
      <w:r w:rsidRPr="00650917">
        <w:rPr>
          <w:rFonts w:eastAsia="Calibri"/>
          <w:color w:val="000000" w:themeColor="text1"/>
          <w:sz w:val="22"/>
          <w:szCs w:val="22"/>
        </w:rPr>
        <w:t>Eur (su PVM).</w:t>
      </w:r>
      <w:r w:rsidR="003806F4">
        <w:rPr>
          <w:rFonts w:eastAsia="Calibri"/>
          <w:color w:val="000000" w:themeColor="text1"/>
          <w:sz w:val="22"/>
          <w:szCs w:val="22"/>
        </w:rPr>
        <w:t xml:space="preserve"> </w:t>
      </w:r>
      <w:r w:rsidR="003806F4" w:rsidRPr="003806F4">
        <w:rPr>
          <w:rFonts w:eastAsia="Calibri"/>
          <w:color w:val="000000" w:themeColor="text1"/>
          <w:sz w:val="22"/>
          <w:szCs w:val="22"/>
        </w:rPr>
        <w:t>Šią kainą vir</w:t>
      </w:r>
      <w:r w:rsidR="000A6946">
        <w:rPr>
          <w:rFonts w:eastAsia="Calibri"/>
          <w:color w:val="000000" w:themeColor="text1"/>
          <w:sz w:val="22"/>
          <w:szCs w:val="22"/>
        </w:rPr>
        <w:t>šijantys pasiūlymai bus atmesti;</w:t>
      </w:r>
    </w:p>
    <w:p w:rsidR="000A6946" w:rsidRPr="003806F4" w:rsidRDefault="000A6946" w:rsidP="000A694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3</w:t>
      </w:r>
      <w:r>
        <w:rPr>
          <w:rFonts w:eastAsia="Calibri"/>
          <w:color w:val="000000" w:themeColor="text1"/>
          <w:sz w:val="22"/>
          <w:szCs w:val="22"/>
        </w:rPr>
        <w:t xml:space="preserve"> pirkimo dalis „</w:t>
      </w:r>
      <w:r w:rsidRPr="000A6946">
        <w:rPr>
          <w:rFonts w:eastAsia="Calibri"/>
          <w:color w:val="000000" w:themeColor="text1"/>
          <w:sz w:val="22"/>
          <w:szCs w:val="22"/>
        </w:rPr>
        <w:t>Endoskopų plovimo mašina</w:t>
      </w:r>
      <w:r>
        <w:rPr>
          <w:rFonts w:eastAsia="Calibri"/>
          <w:color w:val="000000" w:themeColor="text1"/>
          <w:sz w:val="22"/>
          <w:szCs w:val="22"/>
        </w:rPr>
        <w:t xml:space="preserve">“, 1 vnt. - </w:t>
      </w:r>
      <w:r w:rsidRPr="000A6946">
        <w:rPr>
          <w:rFonts w:eastAsia="Calibri"/>
          <w:color w:val="000000" w:themeColor="text1"/>
          <w:sz w:val="22"/>
          <w:szCs w:val="22"/>
        </w:rPr>
        <w:t>69 908,00</w:t>
      </w:r>
      <w:r>
        <w:rPr>
          <w:rFonts w:eastAsia="Calibri"/>
          <w:color w:val="000000" w:themeColor="text1"/>
          <w:sz w:val="22"/>
          <w:szCs w:val="22"/>
        </w:rPr>
        <w:t xml:space="preserve"> </w:t>
      </w:r>
      <w:r w:rsidRPr="00650917">
        <w:rPr>
          <w:rFonts w:eastAsia="Calibri"/>
          <w:color w:val="000000" w:themeColor="text1"/>
          <w:sz w:val="22"/>
          <w:szCs w:val="22"/>
        </w:rPr>
        <w:t>Eur (su PVM).</w:t>
      </w:r>
      <w:r>
        <w:rPr>
          <w:rFonts w:eastAsia="Calibri"/>
          <w:color w:val="000000" w:themeColor="text1"/>
          <w:sz w:val="22"/>
          <w:szCs w:val="22"/>
        </w:rPr>
        <w:t xml:space="preserve"> </w:t>
      </w:r>
      <w:r w:rsidRPr="003806F4">
        <w:rPr>
          <w:rFonts w:eastAsia="Calibri"/>
          <w:color w:val="000000" w:themeColor="text1"/>
          <w:sz w:val="22"/>
          <w:szCs w:val="22"/>
        </w:rPr>
        <w:t>Šią kainą vir</w:t>
      </w:r>
      <w:r>
        <w:rPr>
          <w:rFonts w:eastAsia="Calibri"/>
          <w:color w:val="000000" w:themeColor="text1"/>
          <w:sz w:val="22"/>
          <w:szCs w:val="22"/>
        </w:rPr>
        <w:t>šijantys pasiūlymai bus atmesti.</w:t>
      </w:r>
    </w:p>
    <w:p w:rsidR="00650917" w:rsidRDefault="00650917"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F036D" w:rsidRPr="00ED435B" w:rsidRDefault="00BF036D" w:rsidP="00BF036D">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Pr>
          <w:rFonts w:ascii="Cambria" w:hAnsi="Cambria"/>
          <w:b/>
          <w:sz w:val="22"/>
          <w:szCs w:val="22"/>
        </w:rPr>
        <w:t>4</w:t>
      </w:r>
      <w:r w:rsidRPr="00ED435B">
        <w:rPr>
          <w:rFonts w:ascii="Cambria" w:hAnsi="Cambria"/>
          <w:b/>
          <w:sz w:val="22"/>
          <w:szCs w:val="22"/>
        </w:rPr>
        <w:t>.</w:t>
      </w:r>
      <w:r w:rsidR="00D74EA5">
        <w:rPr>
          <w:rFonts w:ascii="Cambria" w:hAnsi="Cambria"/>
          <w:b/>
          <w:sz w:val="22"/>
          <w:szCs w:val="22"/>
        </w:rPr>
        <w:t xml:space="preserve">  </w:t>
      </w:r>
      <w:r w:rsidR="00305F75">
        <w:rPr>
          <w:rFonts w:ascii="Cambria" w:hAnsi="Cambria"/>
          <w:b/>
          <w:sz w:val="22"/>
          <w:szCs w:val="22"/>
        </w:rPr>
        <w:t xml:space="preserve">1 </w:t>
      </w:r>
      <w:r w:rsidRPr="00ED435B">
        <w:rPr>
          <w:rFonts w:ascii="Cambria" w:hAnsi="Cambria"/>
          <w:b/>
          <w:sz w:val="22"/>
          <w:szCs w:val="22"/>
        </w:rPr>
        <w:t xml:space="preserve"> pirkimo dalies</w:t>
      </w:r>
      <w:r w:rsidR="00D74EA5">
        <w:rPr>
          <w:rFonts w:ascii="Cambria" w:hAnsi="Cambria"/>
          <w:b/>
          <w:sz w:val="22"/>
          <w:szCs w:val="22"/>
        </w:rPr>
        <w:t xml:space="preserve"> </w:t>
      </w:r>
      <w:r>
        <w:rPr>
          <w:rFonts w:ascii="Cambria" w:eastAsia="Arial Unicode MS" w:hAnsi="Cambria"/>
          <w:bCs/>
          <w:sz w:val="22"/>
          <w:szCs w:val="22"/>
          <w:bdr w:val="nil"/>
          <w:lang w:eastAsia="ar-SA"/>
        </w:rPr>
        <w:t>„</w:t>
      </w:r>
      <w:r w:rsidR="00191C41" w:rsidRPr="00191C41">
        <w:rPr>
          <w:rFonts w:ascii="Cambria" w:hAnsi="Cambria"/>
          <w:b/>
          <w:bCs/>
          <w:sz w:val="22"/>
          <w:szCs w:val="22"/>
        </w:rPr>
        <w:t>Endoskopinė sistema</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EC6F8D" w:rsidRPr="00EC6F8D" w:rsidRDefault="00962785"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14.4.1. </w:t>
      </w:r>
      <w:r w:rsidR="00EC6F8D" w:rsidRPr="00EC6F8D">
        <w:rPr>
          <w:rFonts w:eastAsia="Calibri"/>
          <w:color w:val="000000" w:themeColor="text1"/>
          <w:sz w:val="22"/>
          <w:szCs w:val="22"/>
        </w:rPr>
        <w:t>Numatytų vertinimo kriterijų lyginamieji svoriai:</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1) Kaina (K) – 70;</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2) Techniniai pranašumai (T) – 30;</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Vertinimo kriterijai ir jų parametrų lyginamieji svoriai: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003"/>
        <w:gridCol w:w="2042"/>
        <w:gridCol w:w="1328"/>
        <w:gridCol w:w="2554"/>
      </w:tblGrid>
      <w:tr w:rsidR="00EC6F8D" w:rsidRPr="00EC6F8D" w:rsidTr="005866B4">
        <w:tc>
          <w:tcPr>
            <w:tcW w:w="5870" w:type="dxa"/>
            <w:gridSpan w:val="3"/>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b/>
                <w:bCs/>
                <w:color w:val="000000" w:themeColor="text1"/>
                <w:sz w:val="22"/>
                <w:szCs w:val="22"/>
              </w:rPr>
            </w:pPr>
            <w:r w:rsidRPr="00EC6F8D">
              <w:rPr>
                <w:rFonts w:eastAsia="Calibri"/>
                <w:b/>
                <w:bCs/>
                <w:color w:val="000000" w:themeColor="text1"/>
                <w:sz w:val="22"/>
                <w:szCs w:val="22"/>
              </w:rPr>
              <w:t>Vertinimo kriterijai</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Parametro lyginamasis svoris</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hanging="70"/>
              <w:contextualSpacing/>
              <w:jc w:val="center"/>
              <w:rPr>
                <w:rFonts w:eastAsia="Calibri"/>
                <w:b/>
                <w:bCs/>
                <w:color w:val="000000" w:themeColor="text1"/>
                <w:sz w:val="22"/>
                <w:szCs w:val="22"/>
              </w:rPr>
            </w:pPr>
            <w:r w:rsidRPr="00EC6F8D">
              <w:rPr>
                <w:rFonts w:eastAsia="Calibri"/>
                <w:b/>
                <w:bCs/>
                <w:color w:val="000000" w:themeColor="text1"/>
                <w:sz w:val="22"/>
                <w:szCs w:val="22"/>
              </w:rPr>
              <w:t>Lyginamasis svoris ekonominio naudingumo įvertinime</w:t>
            </w:r>
          </w:p>
        </w:tc>
      </w:tr>
      <w:tr w:rsidR="00EC6F8D" w:rsidRPr="00EC6F8D" w:rsidTr="005866B4">
        <w:tc>
          <w:tcPr>
            <w:tcW w:w="7198"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Kaina (K)</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X=70</w:t>
            </w:r>
          </w:p>
        </w:tc>
      </w:tr>
      <w:tr w:rsidR="00EC6F8D" w:rsidRPr="00EC6F8D" w:rsidTr="005866B4">
        <w:tc>
          <w:tcPr>
            <w:tcW w:w="7198"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Techniniai pranašumai (T)</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Y=30</w:t>
            </w:r>
          </w:p>
        </w:tc>
      </w:tr>
      <w:tr w:rsidR="00EC6F8D" w:rsidRPr="00EC6F8D" w:rsidTr="005866B4">
        <w:tc>
          <w:tcPr>
            <w:tcW w:w="825"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Nr.</w:t>
            </w:r>
          </w:p>
        </w:tc>
        <w:tc>
          <w:tcPr>
            <w:tcW w:w="3003"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Parametrai</w:t>
            </w:r>
          </w:p>
        </w:tc>
        <w:tc>
          <w:tcPr>
            <w:tcW w:w="2042"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Vertinimo būdas</w:t>
            </w:r>
          </w:p>
        </w:tc>
        <w:tc>
          <w:tcPr>
            <w:tcW w:w="1328"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2554"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 </w:t>
            </w:r>
          </w:p>
        </w:tc>
      </w:tr>
      <w:tr w:rsidR="00E33E96"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vertAlign w:val="subscript"/>
              </w:rPr>
            </w:pPr>
            <w:r w:rsidRPr="002D1BD4">
              <w:rPr>
                <w:rFonts w:eastAsia="Times New Roman"/>
                <w:color w:val="000000" w:themeColor="text1"/>
                <w:sz w:val="22"/>
                <w:szCs w:val="22"/>
              </w:rPr>
              <w:t>T</w:t>
            </w:r>
            <w:r w:rsidRPr="002D1BD4">
              <w:rPr>
                <w:rFonts w:eastAsia="Times New Roman"/>
                <w:color w:val="000000" w:themeColor="text1"/>
                <w:sz w:val="22"/>
                <w:szCs w:val="22"/>
                <w:vertAlign w:val="subscript"/>
              </w:rPr>
              <w:t>1</w:t>
            </w:r>
          </w:p>
        </w:tc>
        <w:tc>
          <w:tcPr>
            <w:tcW w:w="3003"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ind w:left="28"/>
              <w:jc w:val="both"/>
              <w:rPr>
                <w:rFonts w:eastAsia="Times New Roman"/>
                <w:color w:val="000000" w:themeColor="text1"/>
                <w:sz w:val="22"/>
                <w:szCs w:val="22"/>
              </w:rPr>
            </w:pPr>
            <w:r w:rsidRPr="002D1BD4">
              <w:rPr>
                <w:rFonts w:eastAsia="Times New Roman"/>
                <w:color w:val="000000" w:themeColor="text1"/>
                <w:sz w:val="22"/>
                <w:szCs w:val="22"/>
              </w:rPr>
              <w:t>Vaizdo centras (techninės specifikacijos p. 1.2) ir elektrochirurginis generatorius (techninės specifikacijos p. 1.8) turi pilną valdymo meniu lietuvių kalba</w:t>
            </w:r>
          </w:p>
        </w:tc>
        <w:tc>
          <w:tcPr>
            <w:tcW w:w="2042"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 xml:space="preserve">Statinis: </w:t>
            </w:r>
          </w:p>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(taip/ne)</w:t>
            </w:r>
          </w:p>
        </w:tc>
        <w:tc>
          <w:tcPr>
            <w:tcW w:w="1328"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ind w:left="522" w:hanging="491"/>
              <w:jc w:val="center"/>
              <w:rPr>
                <w:rFonts w:eastAsia="Times New Roman"/>
                <w:color w:val="000000" w:themeColor="text1"/>
                <w:sz w:val="22"/>
                <w:szCs w:val="22"/>
              </w:rPr>
            </w:pPr>
            <w:r w:rsidRPr="002D1BD4">
              <w:rPr>
                <w:rFonts w:eastAsia="Times New Roman"/>
                <w:color w:val="000000" w:themeColor="text1"/>
                <w:sz w:val="22"/>
                <w:szCs w:val="22"/>
              </w:rPr>
              <w:t>L</w:t>
            </w:r>
            <w:r w:rsidRPr="002D1BD4">
              <w:rPr>
                <w:rFonts w:eastAsia="Times New Roman"/>
                <w:color w:val="000000" w:themeColor="text1"/>
                <w:sz w:val="22"/>
                <w:szCs w:val="22"/>
                <w:vertAlign w:val="subscript"/>
              </w:rPr>
              <w:t>1</w:t>
            </w:r>
            <w:r w:rsidRPr="002D1BD4">
              <w:rPr>
                <w:rFonts w:eastAsia="Times New Roman"/>
                <w:color w:val="000000" w:themeColor="text1"/>
                <w:sz w:val="22"/>
                <w:szCs w:val="22"/>
              </w:rPr>
              <w:t xml:space="preserve"> = 0,2</w:t>
            </w:r>
          </w:p>
        </w:tc>
        <w:tc>
          <w:tcPr>
            <w:tcW w:w="2554" w:type="dxa"/>
            <w:tcBorders>
              <w:top w:val="single" w:sz="4" w:space="0" w:color="auto"/>
              <w:left w:val="single" w:sz="4" w:space="0" w:color="auto"/>
              <w:bottom w:val="single" w:sz="4" w:space="0" w:color="auto"/>
              <w:right w:val="single" w:sz="4" w:space="0" w:color="auto"/>
            </w:tcBorders>
            <w:vAlign w:val="center"/>
          </w:tcPr>
          <w:p w:rsidR="00E33E96" w:rsidRPr="0022154A" w:rsidRDefault="00E33E96" w:rsidP="00E33E96">
            <w:pPr>
              <w:jc w:val="center"/>
              <w:rPr>
                <w:color w:val="000000" w:themeColor="text1"/>
                <w:sz w:val="22"/>
                <w:szCs w:val="22"/>
              </w:rPr>
            </w:pPr>
          </w:p>
        </w:tc>
      </w:tr>
      <w:tr w:rsidR="00E33E96"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vertAlign w:val="subscript"/>
              </w:rPr>
            </w:pPr>
            <w:r w:rsidRPr="002D1BD4">
              <w:rPr>
                <w:rFonts w:eastAsia="Times New Roman"/>
                <w:color w:val="000000" w:themeColor="text1"/>
                <w:sz w:val="22"/>
                <w:szCs w:val="22"/>
              </w:rPr>
              <w:t>T</w:t>
            </w:r>
            <w:r w:rsidRPr="002D1BD4">
              <w:rPr>
                <w:rFonts w:eastAsia="Times New Roman"/>
                <w:color w:val="000000" w:themeColor="text1"/>
                <w:sz w:val="22"/>
                <w:szCs w:val="22"/>
                <w:vertAlign w:val="subscript"/>
              </w:rPr>
              <w:t>2</w:t>
            </w:r>
          </w:p>
        </w:tc>
        <w:tc>
          <w:tcPr>
            <w:tcW w:w="3003"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ind w:left="28"/>
              <w:jc w:val="both"/>
              <w:rPr>
                <w:rFonts w:eastAsia="Times New Roman"/>
                <w:color w:val="000000" w:themeColor="text1"/>
                <w:sz w:val="22"/>
                <w:szCs w:val="22"/>
              </w:rPr>
            </w:pPr>
            <w:r w:rsidRPr="002D1BD4">
              <w:rPr>
                <w:rFonts w:eastAsia="Times New Roman"/>
                <w:color w:val="000000" w:themeColor="text1"/>
                <w:sz w:val="22"/>
                <w:szCs w:val="22"/>
              </w:rPr>
              <w:t>Vaizdo centro šviesos šaltinis turi ≥ 5 šviesos diodus (techninės specifikacijos p. 1.2.2.1)</w:t>
            </w:r>
          </w:p>
        </w:tc>
        <w:tc>
          <w:tcPr>
            <w:tcW w:w="2042"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 xml:space="preserve">Statinis: </w:t>
            </w:r>
          </w:p>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(taip/ne)</w:t>
            </w:r>
          </w:p>
        </w:tc>
        <w:tc>
          <w:tcPr>
            <w:tcW w:w="1328"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ind w:left="522" w:hanging="491"/>
              <w:jc w:val="center"/>
              <w:rPr>
                <w:rFonts w:eastAsia="Times New Roman"/>
                <w:color w:val="000000" w:themeColor="text1"/>
                <w:sz w:val="22"/>
                <w:szCs w:val="22"/>
              </w:rPr>
            </w:pPr>
            <w:r w:rsidRPr="002D1BD4">
              <w:rPr>
                <w:rFonts w:eastAsia="Times New Roman"/>
                <w:color w:val="000000" w:themeColor="text1"/>
                <w:sz w:val="22"/>
                <w:szCs w:val="22"/>
              </w:rPr>
              <w:t>L</w:t>
            </w:r>
            <w:r w:rsidRPr="002D1BD4">
              <w:rPr>
                <w:rFonts w:eastAsia="Times New Roman"/>
                <w:color w:val="000000" w:themeColor="text1"/>
                <w:sz w:val="22"/>
                <w:szCs w:val="22"/>
                <w:vertAlign w:val="subscript"/>
              </w:rPr>
              <w:t>2</w:t>
            </w:r>
            <w:r w:rsidRPr="002D1BD4">
              <w:rPr>
                <w:rFonts w:eastAsia="Times New Roman"/>
                <w:color w:val="000000" w:themeColor="text1"/>
                <w:sz w:val="22"/>
                <w:szCs w:val="22"/>
              </w:rPr>
              <w:t xml:space="preserve"> = 0,2</w:t>
            </w:r>
          </w:p>
        </w:tc>
        <w:tc>
          <w:tcPr>
            <w:tcW w:w="2554" w:type="dxa"/>
            <w:tcBorders>
              <w:top w:val="single" w:sz="4" w:space="0" w:color="auto"/>
              <w:left w:val="single" w:sz="4" w:space="0" w:color="auto"/>
              <w:bottom w:val="single" w:sz="4" w:space="0" w:color="auto"/>
              <w:right w:val="single" w:sz="4" w:space="0" w:color="auto"/>
            </w:tcBorders>
            <w:vAlign w:val="center"/>
          </w:tcPr>
          <w:p w:rsidR="00E33E96" w:rsidRPr="0022154A" w:rsidRDefault="00E33E96" w:rsidP="00E33E96">
            <w:pPr>
              <w:jc w:val="center"/>
              <w:rPr>
                <w:color w:val="000000" w:themeColor="text1"/>
                <w:sz w:val="22"/>
                <w:szCs w:val="22"/>
              </w:rPr>
            </w:pPr>
          </w:p>
        </w:tc>
      </w:tr>
      <w:tr w:rsidR="00E33E96"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vertAlign w:val="subscript"/>
              </w:rPr>
            </w:pPr>
            <w:r w:rsidRPr="002D1BD4">
              <w:rPr>
                <w:rFonts w:eastAsia="Times New Roman"/>
                <w:color w:val="000000" w:themeColor="text1"/>
                <w:sz w:val="22"/>
                <w:szCs w:val="22"/>
              </w:rPr>
              <w:t>T</w:t>
            </w:r>
            <w:r w:rsidRPr="002D1BD4">
              <w:rPr>
                <w:rFonts w:eastAsia="Times New Roman"/>
                <w:color w:val="000000" w:themeColor="text1"/>
                <w:sz w:val="22"/>
                <w:szCs w:val="22"/>
                <w:vertAlign w:val="subscript"/>
              </w:rPr>
              <w:t>3</w:t>
            </w:r>
          </w:p>
        </w:tc>
        <w:tc>
          <w:tcPr>
            <w:tcW w:w="3003"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ind w:left="28"/>
              <w:jc w:val="both"/>
              <w:rPr>
                <w:rFonts w:eastAsia="Times New Roman"/>
                <w:color w:val="000000" w:themeColor="text1"/>
                <w:sz w:val="22"/>
                <w:szCs w:val="22"/>
              </w:rPr>
            </w:pPr>
            <w:r w:rsidRPr="002D1BD4">
              <w:rPr>
                <w:rFonts w:eastAsia="Times New Roman"/>
                <w:color w:val="000000" w:themeColor="text1"/>
                <w:sz w:val="22"/>
                <w:szCs w:val="22"/>
              </w:rPr>
              <w:t>Vaizdo kolonoskopas (techninės specifikacijos p. 1.7) turi dvigubo židinio režimą, kur artimo židinio režimo apžiūros laukas ≥ 160</w:t>
            </w:r>
            <w:r w:rsidRPr="002D1BD4">
              <w:rPr>
                <w:rFonts w:eastAsia="Times New Roman"/>
                <w:color w:val="000000" w:themeColor="text1"/>
                <w:sz w:val="22"/>
                <w:szCs w:val="22"/>
              </w:rPr>
              <w:sym w:font="Symbol" w:char="F0B0"/>
            </w:r>
          </w:p>
        </w:tc>
        <w:tc>
          <w:tcPr>
            <w:tcW w:w="2042"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 xml:space="preserve">Statinis: </w:t>
            </w:r>
          </w:p>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(taip/ne)</w:t>
            </w:r>
          </w:p>
        </w:tc>
        <w:tc>
          <w:tcPr>
            <w:tcW w:w="1328"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ind w:left="522" w:hanging="491"/>
              <w:jc w:val="center"/>
              <w:rPr>
                <w:rFonts w:eastAsia="Times New Roman"/>
                <w:color w:val="000000" w:themeColor="text1"/>
                <w:sz w:val="22"/>
                <w:szCs w:val="22"/>
              </w:rPr>
            </w:pPr>
            <w:r w:rsidRPr="002D1BD4">
              <w:rPr>
                <w:rFonts w:eastAsia="Times New Roman"/>
                <w:color w:val="000000" w:themeColor="text1"/>
                <w:sz w:val="22"/>
                <w:szCs w:val="22"/>
              </w:rPr>
              <w:t>L</w:t>
            </w:r>
            <w:r w:rsidRPr="002D1BD4">
              <w:rPr>
                <w:rFonts w:eastAsia="Times New Roman"/>
                <w:color w:val="000000" w:themeColor="text1"/>
                <w:sz w:val="22"/>
                <w:szCs w:val="22"/>
                <w:vertAlign w:val="subscript"/>
              </w:rPr>
              <w:t>3</w:t>
            </w:r>
            <w:r w:rsidRPr="002D1BD4">
              <w:rPr>
                <w:rFonts w:eastAsia="Times New Roman"/>
                <w:color w:val="000000" w:themeColor="text1"/>
                <w:sz w:val="22"/>
                <w:szCs w:val="22"/>
              </w:rPr>
              <w:t xml:space="preserve"> = 0,4</w:t>
            </w:r>
          </w:p>
        </w:tc>
        <w:tc>
          <w:tcPr>
            <w:tcW w:w="2554" w:type="dxa"/>
            <w:tcBorders>
              <w:top w:val="single" w:sz="4" w:space="0" w:color="auto"/>
              <w:left w:val="single" w:sz="4" w:space="0" w:color="auto"/>
              <w:bottom w:val="single" w:sz="4" w:space="0" w:color="auto"/>
              <w:right w:val="single" w:sz="4" w:space="0" w:color="auto"/>
            </w:tcBorders>
            <w:vAlign w:val="center"/>
          </w:tcPr>
          <w:p w:rsidR="00E33E96" w:rsidRPr="0022154A" w:rsidRDefault="00E33E96" w:rsidP="00E33E96">
            <w:pPr>
              <w:jc w:val="center"/>
              <w:rPr>
                <w:rFonts w:eastAsia="Times New Roman"/>
                <w:color w:val="000000" w:themeColor="text1"/>
                <w:sz w:val="22"/>
                <w:szCs w:val="22"/>
                <w:lang w:val="pt-PT"/>
              </w:rPr>
            </w:pPr>
          </w:p>
        </w:tc>
      </w:tr>
      <w:tr w:rsidR="00E33E96"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T</w:t>
            </w:r>
            <w:r w:rsidRPr="002D1BD4">
              <w:rPr>
                <w:rFonts w:eastAsia="Times New Roman"/>
                <w:color w:val="000000" w:themeColor="text1"/>
                <w:sz w:val="22"/>
                <w:szCs w:val="22"/>
                <w:vertAlign w:val="subscript"/>
              </w:rPr>
              <w:t>4</w:t>
            </w:r>
          </w:p>
        </w:tc>
        <w:tc>
          <w:tcPr>
            <w:tcW w:w="3003"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both"/>
              <w:rPr>
                <w:color w:val="000000" w:themeColor="text1"/>
                <w:sz w:val="22"/>
                <w:szCs w:val="22"/>
              </w:rPr>
            </w:pPr>
            <w:r w:rsidRPr="002D1BD4">
              <w:rPr>
                <w:color w:val="000000" w:themeColor="text1"/>
                <w:sz w:val="22"/>
                <w:szCs w:val="22"/>
              </w:rPr>
              <w:t>Siūlomi endoskopai (techninės specifikacijos p. 1.5, 1.6 ir 1.7) tinkami plauti LSMU ligoninės Kauno klinikų turimomis gamintojo „Olympus“ plovimo-dezinfekavimo mašinomis „ETD3“, „ETD4“, „miniETD2“, „ETD GA Premium“</w:t>
            </w:r>
            <w:r w:rsidRPr="002D1BD4">
              <w:rPr>
                <w:b/>
                <w:color w:val="000000" w:themeColor="text1"/>
                <w:sz w:val="22"/>
                <w:szCs w:val="22"/>
              </w:rPr>
              <w:t xml:space="preserve"> </w:t>
            </w:r>
            <w:r w:rsidRPr="002D1BD4">
              <w:rPr>
                <w:color w:val="000000" w:themeColor="text1"/>
                <w:sz w:val="22"/>
                <w:szCs w:val="22"/>
              </w:rPr>
              <w:t>(jei siūlomų endoskopų techninis suderinamumas su nurodytų modelių plovimo – dezinfekavimo mašinomis galimas tik papildomų adapterių pagalba, adapterių komplektą (ne mažiau kaip po vieną adapterį vaizdo kolonoskopams ir vaizdo gastroskopams, viso ne mažiau kaip 2 vnt. adapterių) tiekėjas pateikia kartu su endoskopais)</w:t>
            </w:r>
          </w:p>
        </w:tc>
        <w:tc>
          <w:tcPr>
            <w:tcW w:w="2042"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 xml:space="preserve">Statinis: </w:t>
            </w:r>
          </w:p>
          <w:p w:rsidR="00E33E96" w:rsidRPr="002D1BD4" w:rsidRDefault="00E33E96" w:rsidP="00E33E96">
            <w:pPr>
              <w:jc w:val="center"/>
              <w:rPr>
                <w:rFonts w:eastAsia="Times New Roman"/>
                <w:color w:val="000000" w:themeColor="text1"/>
                <w:sz w:val="22"/>
                <w:szCs w:val="22"/>
              </w:rPr>
            </w:pPr>
            <w:r w:rsidRPr="002D1BD4">
              <w:rPr>
                <w:rFonts w:eastAsia="Times New Roman"/>
                <w:color w:val="000000" w:themeColor="text1"/>
                <w:sz w:val="22"/>
                <w:szCs w:val="22"/>
              </w:rPr>
              <w:t>(taip/ne)</w:t>
            </w:r>
          </w:p>
        </w:tc>
        <w:tc>
          <w:tcPr>
            <w:tcW w:w="1328" w:type="dxa"/>
            <w:tcBorders>
              <w:top w:val="single" w:sz="4" w:space="0" w:color="auto"/>
              <w:left w:val="single" w:sz="4" w:space="0" w:color="auto"/>
              <w:bottom w:val="single" w:sz="4" w:space="0" w:color="auto"/>
              <w:right w:val="single" w:sz="4" w:space="0" w:color="auto"/>
            </w:tcBorders>
            <w:vAlign w:val="center"/>
          </w:tcPr>
          <w:p w:rsidR="00E33E96" w:rsidRPr="002D1BD4" w:rsidRDefault="00E33E96" w:rsidP="00E33E96">
            <w:pPr>
              <w:ind w:left="522" w:hanging="491"/>
              <w:jc w:val="center"/>
              <w:rPr>
                <w:rFonts w:eastAsia="Times New Roman"/>
                <w:color w:val="000000" w:themeColor="text1"/>
                <w:sz w:val="22"/>
                <w:szCs w:val="22"/>
              </w:rPr>
            </w:pPr>
            <w:r w:rsidRPr="002D1BD4">
              <w:rPr>
                <w:rFonts w:eastAsia="Times New Roman"/>
                <w:color w:val="000000" w:themeColor="text1"/>
                <w:sz w:val="22"/>
                <w:szCs w:val="22"/>
              </w:rPr>
              <w:t>L</w:t>
            </w:r>
            <w:r w:rsidRPr="002D1BD4">
              <w:rPr>
                <w:rFonts w:eastAsia="Times New Roman"/>
                <w:color w:val="000000" w:themeColor="text1"/>
                <w:sz w:val="22"/>
                <w:szCs w:val="22"/>
                <w:vertAlign w:val="subscript"/>
              </w:rPr>
              <w:t>4</w:t>
            </w:r>
            <w:r w:rsidRPr="002D1BD4">
              <w:rPr>
                <w:rFonts w:eastAsia="Times New Roman"/>
                <w:color w:val="000000" w:themeColor="text1"/>
                <w:sz w:val="22"/>
                <w:szCs w:val="22"/>
              </w:rPr>
              <w:t xml:space="preserve"> = 0,2</w:t>
            </w:r>
          </w:p>
        </w:tc>
        <w:tc>
          <w:tcPr>
            <w:tcW w:w="2554" w:type="dxa"/>
            <w:tcBorders>
              <w:top w:val="single" w:sz="4" w:space="0" w:color="auto"/>
              <w:left w:val="single" w:sz="4" w:space="0" w:color="auto"/>
              <w:bottom w:val="single" w:sz="4" w:space="0" w:color="auto"/>
              <w:right w:val="single" w:sz="4" w:space="0" w:color="auto"/>
            </w:tcBorders>
            <w:vAlign w:val="center"/>
          </w:tcPr>
          <w:p w:rsidR="00E33E96" w:rsidRPr="0022154A" w:rsidRDefault="00E33E96" w:rsidP="00E33E96">
            <w:pPr>
              <w:jc w:val="center"/>
              <w:rPr>
                <w:rFonts w:eastAsia="Times New Roman"/>
                <w:color w:val="000000" w:themeColor="text1"/>
                <w:sz w:val="22"/>
                <w:szCs w:val="22"/>
                <w:lang w:val="pt-PT"/>
              </w:rPr>
            </w:pPr>
          </w:p>
        </w:tc>
      </w:tr>
    </w:tbl>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Pr="00EC6F8D" w:rsidRDefault="007E565C"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14.4.2. </w:t>
      </w:r>
      <w:r w:rsidR="00EC6F8D" w:rsidRPr="00EC6F8D">
        <w:rPr>
          <w:rFonts w:eastAsia="Calibri"/>
          <w:color w:val="000000" w:themeColor="text1"/>
          <w:sz w:val="22"/>
          <w:szCs w:val="22"/>
        </w:rPr>
        <w:t>Pasiūlymo ekonominio naudingumo (kainos ir kokybės santykio) apskaičiavimo tvarka (formulė) yra pateikiama žemiau:</w:t>
      </w:r>
    </w:p>
    <w:p w:rsidR="0068529E" w:rsidRPr="003A54F5" w:rsidRDefault="0068529E" w:rsidP="0068529E">
      <w:pPr>
        <w:pStyle w:val="ListParagraph"/>
        <w:shd w:val="clear" w:color="auto" w:fill="FFFFFF"/>
        <w:ind w:left="0" w:firstLine="567"/>
        <w:jc w:val="both"/>
        <w:rPr>
          <w:rFonts w:ascii="Times New Roman" w:hAnsi="Times New Roman"/>
          <w:noProof/>
          <w:color w:val="000000" w:themeColor="text1"/>
        </w:rPr>
      </w:pPr>
      <w:r w:rsidRPr="003A54F5">
        <w:rPr>
          <w:rFonts w:ascii="Times New Roman" w:hAnsi="Times New Roman"/>
          <w:noProof/>
          <w:color w:val="000000" w:themeColor="text1"/>
        </w:rPr>
        <w:t>1. Pasiūlymo ekonominis naudingumas (E) apskaičiuojamas sudedant tiekėjo pasiūlymo kainos (K) ir techninių pranašumų (T) balus:</w:t>
      </w:r>
    </w:p>
    <w:p w:rsidR="0068529E" w:rsidRDefault="0068529E" w:rsidP="0068529E">
      <w:pPr>
        <w:shd w:val="clear" w:color="auto" w:fill="FFFFFF"/>
        <w:jc w:val="center"/>
        <w:rPr>
          <w:i/>
          <w:iCs/>
          <w:color w:val="000000" w:themeColor="text1"/>
        </w:rPr>
      </w:pPr>
      <w:r w:rsidRPr="003A54F5">
        <w:rPr>
          <w:i/>
          <w:iCs/>
          <w:color w:val="000000" w:themeColor="text1"/>
        </w:rPr>
        <w:t xml:space="preserve">E </w:t>
      </w:r>
      <w:r w:rsidRPr="003A54F5">
        <w:rPr>
          <w:color w:val="000000" w:themeColor="text1"/>
        </w:rPr>
        <w:t xml:space="preserve">= </w:t>
      </w:r>
      <w:r w:rsidRPr="003A54F5">
        <w:rPr>
          <w:i/>
          <w:color w:val="000000" w:themeColor="text1"/>
        </w:rPr>
        <w:t>K</w:t>
      </w:r>
      <w:r w:rsidRPr="003A54F5">
        <w:rPr>
          <w:i/>
          <w:iCs/>
          <w:color w:val="000000" w:themeColor="text1"/>
        </w:rPr>
        <w:t>+ T</w:t>
      </w:r>
    </w:p>
    <w:p w:rsidR="00176A9D" w:rsidRPr="003A54F5" w:rsidRDefault="00176A9D" w:rsidP="0068529E">
      <w:pPr>
        <w:shd w:val="clear" w:color="auto" w:fill="FFFFFF"/>
        <w:jc w:val="center"/>
        <w:rPr>
          <w:color w:val="000000" w:themeColor="text1"/>
        </w:rPr>
      </w:pPr>
    </w:p>
    <w:p w:rsidR="0068529E" w:rsidRPr="003A54F5" w:rsidRDefault="0068529E" w:rsidP="00176A9D">
      <w:pPr>
        <w:pStyle w:val="ListParagraph"/>
        <w:shd w:val="clear" w:color="auto" w:fill="FFFFFF"/>
        <w:ind w:left="0" w:firstLine="567"/>
        <w:jc w:val="both"/>
        <w:rPr>
          <w:rFonts w:ascii="Times New Roman" w:hAnsi="Times New Roman"/>
          <w:noProof/>
          <w:color w:val="000000" w:themeColor="text1"/>
        </w:rPr>
      </w:pPr>
      <w:r w:rsidRPr="003A54F5">
        <w:rPr>
          <w:rFonts w:ascii="Times New Roman" w:hAnsi="Times New Roman"/>
          <w:noProof/>
          <w:color w:val="000000" w:themeColor="text1"/>
        </w:rPr>
        <w:t>2. Pasiūlymo kainos (K) balai apskaičiuojami mažiausios pasiūlytos kainos (K</w:t>
      </w:r>
      <w:r w:rsidRPr="003A54F5">
        <w:rPr>
          <w:rFonts w:ascii="Times New Roman" w:hAnsi="Times New Roman"/>
          <w:noProof/>
          <w:color w:val="000000" w:themeColor="text1"/>
          <w:vertAlign w:val="subscript"/>
        </w:rPr>
        <w:t>min</w:t>
      </w:r>
      <w:r w:rsidRPr="003A54F5">
        <w:rPr>
          <w:rFonts w:ascii="Times New Roman" w:hAnsi="Times New Roman"/>
          <w:noProof/>
          <w:color w:val="000000" w:themeColor="text1"/>
        </w:rPr>
        <w:t>) ir vertinamo pasiūlymo kainos (K</w:t>
      </w:r>
      <w:r w:rsidRPr="003A54F5">
        <w:rPr>
          <w:rFonts w:ascii="Times New Roman" w:hAnsi="Times New Roman"/>
          <w:noProof/>
          <w:color w:val="000000" w:themeColor="text1"/>
          <w:vertAlign w:val="subscript"/>
        </w:rPr>
        <w:t>v</w:t>
      </w:r>
      <w:r w:rsidRPr="003A54F5">
        <w:rPr>
          <w:rFonts w:ascii="Times New Roman" w:hAnsi="Times New Roman"/>
          <w:noProof/>
          <w:color w:val="000000" w:themeColor="text1"/>
        </w:rPr>
        <w:t>) santykį padauginant iš kainos lyginamojo svorio (X):</w:t>
      </w:r>
    </w:p>
    <w:p w:rsidR="0068529E" w:rsidRPr="00176A9D" w:rsidRDefault="0068529E" w:rsidP="0068529E">
      <w:pPr>
        <w:shd w:val="clear" w:color="auto" w:fill="FFFFFF"/>
        <w:jc w:val="center"/>
        <w:rPr>
          <w:rFonts w:eastAsiaTheme="minorEastAsia"/>
          <w:color w:val="000000" w:themeColor="text1"/>
        </w:rPr>
      </w:pPr>
      <m:oMathPara>
        <m:oMath>
          <m:r>
            <w:rPr>
              <w:rFonts w:ascii="Cambria Math" w:hAnsi="Cambria Math"/>
              <w:color w:val="000000" w:themeColor="text1"/>
            </w:rPr>
            <m:t>K=</m:t>
          </m:r>
          <m:f>
            <m:fPr>
              <m:ctrlPr>
                <w:rPr>
                  <w:rFonts w:ascii="Cambria Math" w:hAnsi="Cambria Math"/>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min</m:t>
                  </m:r>
                </m:sub>
              </m:sSub>
            </m:num>
            <m:den>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v</m:t>
                  </m:r>
                </m:sub>
              </m:sSub>
            </m:den>
          </m:f>
          <m:r>
            <w:rPr>
              <w:rFonts w:ascii="Cambria Math" w:hAnsi="Cambria Math"/>
              <w:color w:val="000000" w:themeColor="text1"/>
            </w:rPr>
            <m:t xml:space="preserve"> ×X</m:t>
          </m:r>
        </m:oMath>
      </m:oMathPara>
    </w:p>
    <w:p w:rsidR="00176A9D" w:rsidRPr="003A54F5" w:rsidRDefault="00176A9D" w:rsidP="0068529E">
      <w:pPr>
        <w:shd w:val="clear" w:color="auto" w:fill="FFFFFF"/>
        <w:jc w:val="center"/>
        <w:rPr>
          <w:rFonts w:eastAsiaTheme="minorEastAsia"/>
          <w:color w:val="000000" w:themeColor="text1"/>
        </w:rPr>
      </w:pPr>
    </w:p>
    <w:p w:rsidR="0068529E" w:rsidRPr="00DD41F1" w:rsidRDefault="0068529E" w:rsidP="00176A9D">
      <w:pPr>
        <w:ind w:firstLine="567"/>
        <w:jc w:val="both"/>
        <w:rPr>
          <w:color w:val="000000" w:themeColor="text1"/>
          <w:sz w:val="22"/>
          <w:szCs w:val="22"/>
          <w:bdr w:val="none" w:sz="0" w:space="0" w:color="auto" w:frame="1"/>
        </w:rPr>
      </w:pPr>
      <w:r w:rsidRPr="00DD41F1">
        <w:rPr>
          <w:color w:val="000000" w:themeColor="text1"/>
          <w:sz w:val="22"/>
          <w:szCs w:val="22"/>
          <w:bdr w:val="none" w:sz="0" w:space="0" w:color="auto" w:frame="1"/>
        </w:rPr>
        <w:t>3. Siūlomo objekto T</w:t>
      </w:r>
      <w:r w:rsidRPr="00DD41F1">
        <w:rPr>
          <w:color w:val="000000" w:themeColor="text1"/>
          <w:sz w:val="22"/>
          <w:szCs w:val="22"/>
          <w:bdr w:val="none" w:sz="0" w:space="0" w:color="auto" w:frame="1"/>
          <w:vertAlign w:val="subscript"/>
        </w:rPr>
        <w:t>i</w:t>
      </w:r>
      <w:r w:rsidRPr="00DD41F1">
        <w:rPr>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68529E" w:rsidRPr="00DD41F1" w:rsidRDefault="0068529E" w:rsidP="0068529E">
      <w:pPr>
        <w:ind w:firstLine="1134"/>
        <w:jc w:val="both"/>
        <w:rPr>
          <w:color w:val="000000" w:themeColor="text1"/>
          <w:sz w:val="22"/>
          <w:szCs w:val="22"/>
          <w:bdr w:val="none" w:sz="0" w:space="0" w:color="auto" w:frame="1"/>
        </w:rPr>
      </w:pPr>
      <w:r w:rsidRPr="00DD41F1">
        <w:rPr>
          <w:color w:val="000000" w:themeColor="text1"/>
          <w:sz w:val="22"/>
          <w:szCs w:val="22"/>
          <w:bdr w:val="none" w:sz="0" w:space="0" w:color="auto" w:frame="1"/>
        </w:rPr>
        <w:t xml:space="preserve">Jei siūlomas objektas turi nurodytą pranašumą: </w:t>
      </w:r>
      <w:r w:rsidRPr="00DD41F1">
        <w:rPr>
          <w:i/>
          <w:color w:val="000000" w:themeColor="text1"/>
          <w:sz w:val="22"/>
          <w:szCs w:val="22"/>
          <w:bdr w:val="none" w:sz="0" w:space="0" w:color="auto" w:frame="1"/>
        </w:rPr>
        <w:t>T</w:t>
      </w:r>
      <w:r w:rsidRPr="00DD41F1">
        <w:rPr>
          <w:i/>
          <w:color w:val="000000" w:themeColor="text1"/>
          <w:sz w:val="22"/>
          <w:szCs w:val="22"/>
          <w:bdr w:val="none" w:sz="0" w:space="0" w:color="auto" w:frame="1"/>
          <w:vertAlign w:val="subscript"/>
        </w:rPr>
        <w:t>i</w:t>
      </w:r>
      <w:r w:rsidRPr="00DD41F1">
        <w:rPr>
          <w:i/>
          <w:color w:val="000000" w:themeColor="text1"/>
          <w:sz w:val="22"/>
          <w:szCs w:val="22"/>
          <w:bdr w:val="none" w:sz="0" w:space="0" w:color="auto" w:frame="1"/>
        </w:rPr>
        <w:t xml:space="preserve"> = L</w:t>
      </w:r>
      <w:r w:rsidRPr="00DD41F1">
        <w:rPr>
          <w:i/>
          <w:color w:val="000000" w:themeColor="text1"/>
          <w:sz w:val="22"/>
          <w:szCs w:val="22"/>
          <w:bdr w:val="none" w:sz="0" w:space="0" w:color="auto" w:frame="1"/>
          <w:vertAlign w:val="subscript"/>
        </w:rPr>
        <w:t>i</w:t>
      </w:r>
      <w:r w:rsidRPr="00DD41F1">
        <w:rPr>
          <w:i/>
          <w:color w:val="000000" w:themeColor="text1"/>
          <w:sz w:val="22"/>
          <w:szCs w:val="22"/>
          <w:bdr w:val="none" w:sz="0" w:space="0" w:color="auto" w:frame="1"/>
        </w:rPr>
        <w:t>;</w:t>
      </w:r>
    </w:p>
    <w:p w:rsidR="0068529E" w:rsidRPr="00DD41F1" w:rsidRDefault="0068529E" w:rsidP="0068529E">
      <w:pPr>
        <w:ind w:firstLine="1134"/>
        <w:rPr>
          <w:i/>
          <w:color w:val="000000" w:themeColor="text1"/>
          <w:sz w:val="22"/>
          <w:szCs w:val="22"/>
          <w:bdr w:val="none" w:sz="0" w:space="0" w:color="auto" w:frame="1"/>
        </w:rPr>
      </w:pPr>
      <w:r w:rsidRPr="00DD41F1">
        <w:rPr>
          <w:color w:val="000000" w:themeColor="text1"/>
          <w:sz w:val="22"/>
          <w:szCs w:val="22"/>
          <w:bdr w:val="none" w:sz="0" w:space="0" w:color="auto" w:frame="1"/>
        </w:rPr>
        <w:t xml:space="preserve">Jei siūlomas objektas neturi nurodyto pranašumo: </w:t>
      </w:r>
      <w:r w:rsidRPr="00DD41F1">
        <w:rPr>
          <w:i/>
          <w:color w:val="000000" w:themeColor="text1"/>
          <w:sz w:val="22"/>
          <w:szCs w:val="22"/>
          <w:bdr w:val="none" w:sz="0" w:space="0" w:color="auto" w:frame="1"/>
        </w:rPr>
        <w:t>T</w:t>
      </w:r>
      <w:r w:rsidRPr="00DD41F1">
        <w:rPr>
          <w:i/>
          <w:color w:val="000000" w:themeColor="text1"/>
          <w:sz w:val="22"/>
          <w:szCs w:val="22"/>
          <w:bdr w:val="none" w:sz="0" w:space="0" w:color="auto" w:frame="1"/>
          <w:vertAlign w:val="subscript"/>
        </w:rPr>
        <w:t>i</w:t>
      </w:r>
      <w:r w:rsidRPr="00DD41F1">
        <w:rPr>
          <w:i/>
          <w:color w:val="000000" w:themeColor="text1"/>
          <w:sz w:val="22"/>
          <w:szCs w:val="22"/>
          <w:bdr w:val="none" w:sz="0" w:space="0" w:color="auto" w:frame="1"/>
        </w:rPr>
        <w:t xml:space="preserve"> = L</w:t>
      </w:r>
      <w:r w:rsidRPr="00DD41F1">
        <w:rPr>
          <w:i/>
          <w:color w:val="000000" w:themeColor="text1"/>
          <w:sz w:val="22"/>
          <w:szCs w:val="22"/>
          <w:bdr w:val="none" w:sz="0" w:space="0" w:color="auto" w:frame="1"/>
          <w:vertAlign w:val="subscript"/>
        </w:rPr>
        <w:t>i</w:t>
      </w:r>
      <w:r w:rsidRPr="00DD41F1">
        <w:rPr>
          <w:i/>
          <w:color w:val="000000" w:themeColor="text1"/>
          <w:sz w:val="22"/>
          <w:szCs w:val="22"/>
          <w:bdr w:val="none" w:sz="0" w:space="0" w:color="auto" w:frame="1"/>
        </w:rPr>
        <w:t>= 0;</w:t>
      </w:r>
    </w:p>
    <w:p w:rsidR="0068529E" w:rsidRPr="003A54F5" w:rsidRDefault="0068529E" w:rsidP="0068529E">
      <w:pPr>
        <w:shd w:val="clear" w:color="auto" w:fill="FFFFFF"/>
        <w:jc w:val="both"/>
        <w:rPr>
          <w:color w:val="000000" w:themeColor="text1"/>
          <w:bdr w:val="none" w:sz="0" w:space="0" w:color="auto" w:frame="1"/>
        </w:rPr>
      </w:pPr>
    </w:p>
    <w:p w:rsidR="0068529E" w:rsidRDefault="0068529E" w:rsidP="00DD41F1">
      <w:pPr>
        <w:shd w:val="clear" w:color="auto" w:fill="FFFFFF"/>
        <w:ind w:firstLine="567"/>
        <w:jc w:val="both"/>
        <w:rPr>
          <w:color w:val="000000" w:themeColor="text1"/>
          <w:sz w:val="22"/>
          <w:szCs w:val="22"/>
          <w:bdr w:val="none" w:sz="0" w:space="0" w:color="auto" w:frame="1"/>
        </w:rPr>
      </w:pPr>
      <w:r w:rsidRPr="00DD41F1">
        <w:rPr>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1335F9" w:rsidRPr="00DD41F1" w:rsidRDefault="001335F9" w:rsidP="00DD41F1">
      <w:pPr>
        <w:shd w:val="clear" w:color="auto" w:fill="FFFFFF"/>
        <w:ind w:firstLine="567"/>
        <w:jc w:val="both"/>
        <w:rPr>
          <w:color w:val="000000" w:themeColor="text1"/>
          <w:sz w:val="22"/>
          <w:szCs w:val="22"/>
          <w:bdr w:val="none" w:sz="0" w:space="0" w:color="auto" w:frame="1"/>
        </w:rPr>
      </w:pPr>
    </w:p>
    <w:p w:rsidR="0068529E" w:rsidRPr="001335F9" w:rsidRDefault="0068529E" w:rsidP="0068529E">
      <w:pPr>
        <w:jc w:val="center"/>
        <w:rPr>
          <w:rFonts w:eastAsiaTheme="minorEastAsia"/>
          <w:color w:val="000000" w:themeColor="text1"/>
          <w:bdr w:val="none" w:sz="0" w:space="0" w:color="auto" w:frame="1"/>
        </w:rPr>
      </w:pPr>
      <m:oMathPara>
        <m:oMath>
          <m:r>
            <w:rPr>
              <w:rFonts w:ascii="Cambria Math" w:eastAsia="Helvetica Neue UltraLight" w:hAnsi="Cambria Math"/>
              <w:color w:val="000000" w:themeColor="text1"/>
              <w:bdr w:val="none" w:sz="0" w:space="0" w:color="auto" w:frame="1"/>
            </w:rPr>
            <m:t xml:space="preserve">T= </m:t>
          </m:r>
          <m:d>
            <m:dPr>
              <m:ctrlPr>
                <w:rPr>
                  <w:rFonts w:ascii="Cambria Math" w:eastAsia="Helvetica Neue UltraLight" w:hAnsi="Cambria Math"/>
                  <w:i/>
                  <w:color w:val="000000" w:themeColor="text1"/>
                  <w:bdr w:val="none" w:sz="0" w:space="0" w:color="auto" w:frame="1"/>
                </w:rPr>
              </m:ctrlPr>
            </m:dPr>
            <m:e>
              <m:nary>
                <m:naryPr>
                  <m:chr m:val="∑"/>
                  <m:grow m:val="1"/>
                  <m:ctrlPr>
                    <w:rPr>
                      <w:rFonts w:ascii="Cambria Math" w:eastAsia="Helvetica Neue UltraLight" w:hAnsi="Cambria Math"/>
                      <w:color w:val="000000" w:themeColor="text1"/>
                      <w:bdr w:val="none" w:sz="0" w:space="0" w:color="auto" w:frame="1"/>
                    </w:rPr>
                  </m:ctrlPr>
                </m:naryPr>
                <m:sub>
                  <m:r>
                    <w:rPr>
                      <w:rFonts w:ascii="Cambria Math" w:eastAsia="Cambria Math" w:hAnsi="Cambria Math"/>
                      <w:color w:val="000000" w:themeColor="text1"/>
                      <w:bdr w:val="none" w:sz="0" w:space="0" w:color="auto" w:frame="1"/>
                    </w:rPr>
                    <m:t>i=1</m:t>
                  </m:r>
                </m:sub>
                <m:sup>
                  <m:r>
                    <w:rPr>
                      <w:rFonts w:ascii="Cambria Math" w:eastAsia="Helvetica Neue UltraLight" w:hAnsi="Cambria Math"/>
                      <w:color w:val="000000" w:themeColor="text1"/>
                      <w:bdr w:val="none" w:sz="0" w:space="0" w:color="auto" w:frame="1"/>
                    </w:rPr>
                    <m:t>4</m:t>
                  </m:r>
                </m:sup>
                <m:e>
                  <m:sSub>
                    <m:sSubPr>
                      <m:ctrlPr>
                        <w:rPr>
                          <w:rFonts w:ascii="Cambria Math" w:eastAsia="Helvetica Neue UltraLight" w:hAnsi="Cambria Math"/>
                          <w:i/>
                          <w:color w:val="000000" w:themeColor="text1"/>
                          <w:bdr w:val="none" w:sz="0" w:space="0" w:color="auto" w:frame="1"/>
                        </w:rPr>
                      </m:ctrlPr>
                    </m:sSubPr>
                    <m:e>
                      <m:r>
                        <w:rPr>
                          <w:rFonts w:ascii="Cambria Math" w:eastAsia="Helvetica Neue UltraLight" w:hAnsi="Cambria Math"/>
                          <w:color w:val="000000" w:themeColor="text1"/>
                          <w:bdr w:val="none" w:sz="0" w:space="0" w:color="auto" w:frame="1"/>
                        </w:rPr>
                        <m:t>T</m:t>
                      </m:r>
                    </m:e>
                    <m:sub>
                      <m:r>
                        <w:rPr>
                          <w:rFonts w:ascii="Cambria Math" w:eastAsia="Helvetica Neue UltraLight" w:hAnsi="Cambria Math"/>
                          <w:color w:val="000000" w:themeColor="text1"/>
                          <w:bdr w:val="none" w:sz="0" w:space="0" w:color="auto" w:frame="1"/>
                        </w:rPr>
                        <m:t>i</m:t>
                      </m:r>
                    </m:sub>
                  </m:sSub>
                </m:e>
              </m:nary>
            </m:e>
          </m:d>
          <m:r>
            <w:rPr>
              <w:rFonts w:ascii="Cambria Math" w:eastAsia="Helvetica Neue UltraLight" w:hAnsi="Cambria Math"/>
              <w:color w:val="000000" w:themeColor="text1"/>
              <w:bdr w:val="none" w:sz="0" w:space="0" w:color="auto" w:frame="1"/>
            </w:rPr>
            <m:t>×Y</m:t>
          </m:r>
        </m:oMath>
      </m:oMathPara>
    </w:p>
    <w:p w:rsidR="001335F9" w:rsidRPr="003A54F5" w:rsidRDefault="001335F9" w:rsidP="0068529E">
      <w:pPr>
        <w:jc w:val="center"/>
        <w:rPr>
          <w:color w:val="000000" w:themeColor="text1"/>
          <w:bdr w:val="none" w:sz="0" w:space="0" w:color="auto" w:frame="1"/>
        </w:rPr>
      </w:pPr>
    </w:p>
    <w:p w:rsidR="0068529E" w:rsidRPr="00DD41F1" w:rsidRDefault="00DD41F1" w:rsidP="00DD41F1">
      <w:pPr>
        <w:ind w:firstLine="567"/>
        <w:jc w:val="both"/>
        <w:rPr>
          <w:rFonts w:eastAsia="Calibri"/>
          <w:color w:val="000000" w:themeColor="text1"/>
          <w:sz w:val="22"/>
          <w:szCs w:val="22"/>
        </w:rPr>
      </w:pPr>
      <w:r>
        <w:rPr>
          <w:color w:val="000000" w:themeColor="text1"/>
          <w:sz w:val="22"/>
          <w:szCs w:val="22"/>
          <w:lang w:bidi="hi-IN"/>
        </w:rPr>
        <w:t xml:space="preserve">14.4.3. </w:t>
      </w:r>
      <w:r w:rsidR="0068529E" w:rsidRPr="00DD41F1">
        <w:rPr>
          <w:color w:val="000000" w:themeColor="text1"/>
          <w:sz w:val="22"/>
          <w:szCs w:val="22"/>
          <w:lang w:bidi="hi-IN"/>
        </w:rPr>
        <w:t>Laimėjusiu Pasiūlymu bus pripažintas Pasiūlymas, atitinkantis visus Pirkimo dokumentuose nustatytus reikalavimus, kurio ekonominis naudingumas (E) bus didžiausias.</w:t>
      </w:r>
    </w:p>
    <w:p w:rsidR="0068529E" w:rsidRPr="003A54F5" w:rsidRDefault="001335F9" w:rsidP="001335F9">
      <w:pPr>
        <w:ind w:firstLine="567"/>
        <w:jc w:val="both"/>
        <w:rPr>
          <w:color w:val="000000" w:themeColor="text1"/>
        </w:rPr>
      </w:pPr>
      <w:r>
        <w:rPr>
          <w:rFonts w:eastAsia="Calibri"/>
          <w:color w:val="000000" w:themeColor="text1"/>
          <w:sz w:val="22"/>
          <w:szCs w:val="22"/>
        </w:rPr>
        <w:t xml:space="preserve">14.4.4. </w:t>
      </w:r>
      <w:r w:rsidR="0068529E" w:rsidRPr="00DD41F1">
        <w:rPr>
          <w:rFonts w:eastAsia="Calibri"/>
          <w:color w:val="000000" w:themeColor="text1"/>
          <w:sz w:val="22"/>
          <w:szCs w:val="22"/>
        </w:rPr>
        <w:t>Tais atvejais, kai kelių dalyvių pasiūlymų ekonominis naudingumas yra vienodas, nustatant pasiūlymų eilę, pirmesnis į šią eilę įrašomas dalyvis, kurio pasiūlymas pateiktas anksčiausiai</w:t>
      </w:r>
      <w:r w:rsidR="0068529E" w:rsidRPr="003A54F5">
        <w:rPr>
          <w:rFonts w:eastAsia="Calibri"/>
          <w:color w:val="000000" w:themeColor="text1"/>
        </w:rPr>
        <w:t>.</w:t>
      </w:r>
      <w:bookmarkStart w:id="2" w:name="_Toc47844937"/>
      <w:bookmarkStart w:id="3" w:name="_Toc60525491"/>
      <w:bookmarkEnd w:id="2"/>
      <w:bookmarkEnd w:id="3"/>
      <w:r w:rsidR="0068529E" w:rsidRPr="003A54F5">
        <w:rPr>
          <w:color w:val="000000" w:themeColor="text1"/>
        </w:rPr>
        <w:t xml:space="preserve"> </w:t>
      </w:r>
    </w:p>
    <w:p w:rsidR="0068529E" w:rsidRDefault="0068529E"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68529E" w:rsidRDefault="0068529E"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35AEA" w:rsidRPr="00ED435B" w:rsidRDefault="00535AEA" w:rsidP="00535AEA">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sidR="002D1BD4">
        <w:rPr>
          <w:rFonts w:ascii="Cambria" w:hAnsi="Cambria"/>
          <w:b/>
          <w:sz w:val="22"/>
          <w:szCs w:val="22"/>
        </w:rPr>
        <w:t xml:space="preserve">5. </w:t>
      </w:r>
      <w:r w:rsidRPr="00ED435B">
        <w:rPr>
          <w:rFonts w:ascii="Cambria" w:hAnsi="Cambria"/>
          <w:b/>
          <w:sz w:val="22"/>
          <w:szCs w:val="22"/>
        </w:rPr>
        <w:t xml:space="preserve"> </w:t>
      </w:r>
      <w:r w:rsidR="00305F75">
        <w:rPr>
          <w:rFonts w:ascii="Cambria" w:hAnsi="Cambria"/>
          <w:b/>
          <w:sz w:val="22"/>
          <w:szCs w:val="22"/>
        </w:rPr>
        <w:t xml:space="preserve">2 </w:t>
      </w:r>
      <w:r w:rsidRPr="00ED435B">
        <w:rPr>
          <w:rFonts w:ascii="Cambria" w:hAnsi="Cambria"/>
          <w:b/>
          <w:sz w:val="22"/>
          <w:szCs w:val="22"/>
        </w:rPr>
        <w:t>pirkimo dalies</w:t>
      </w:r>
      <w:r w:rsidRPr="007764FA">
        <w:rPr>
          <w:rFonts w:ascii="Cambria" w:eastAsia="Arial Unicode MS" w:hAnsi="Cambria"/>
          <w:bCs/>
          <w:sz w:val="22"/>
          <w:szCs w:val="22"/>
          <w:bdr w:val="nil"/>
          <w:lang w:eastAsia="ar-SA"/>
        </w:rPr>
        <w:t xml:space="preserve"> </w:t>
      </w:r>
      <w:r>
        <w:rPr>
          <w:rFonts w:ascii="Cambria" w:eastAsia="Arial Unicode MS" w:hAnsi="Cambria"/>
          <w:bCs/>
          <w:sz w:val="22"/>
          <w:szCs w:val="22"/>
          <w:bdr w:val="nil"/>
          <w:lang w:eastAsia="ar-SA"/>
        </w:rPr>
        <w:t>„</w:t>
      </w:r>
      <w:r w:rsidR="003220B0" w:rsidRPr="003220B0">
        <w:rPr>
          <w:rFonts w:ascii="Cambria" w:hAnsi="Cambria"/>
          <w:b/>
          <w:bCs/>
          <w:sz w:val="22"/>
          <w:szCs w:val="22"/>
        </w:rPr>
        <w:t>Ultragarsinis vaizdo gastroskopas</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52258D" w:rsidRPr="0052258D" w:rsidRDefault="00535AEA"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14.5.1.</w:t>
      </w:r>
      <w:r w:rsidR="0052258D" w:rsidRPr="0052258D">
        <w:rPr>
          <w:noProof/>
          <w:sz w:val="22"/>
          <w:szCs w:val="22"/>
        </w:rPr>
        <w:t xml:space="preserve"> </w:t>
      </w:r>
      <w:r w:rsidR="0052258D" w:rsidRPr="0052258D">
        <w:rPr>
          <w:rFonts w:eastAsia="Calibri"/>
          <w:color w:val="000000" w:themeColor="text1"/>
          <w:sz w:val="22"/>
          <w:szCs w:val="22"/>
        </w:rPr>
        <w:t>Numatytų vertinimo kriterijų lyginamieji svoriai:</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1) Kaina (K) – 70;</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2) Techniniai pranašumai (T) – 30;</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Vertinimo kriterijai ir jų parametrų lyginamieji svoriai: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479"/>
        <w:gridCol w:w="1575"/>
        <w:gridCol w:w="1797"/>
        <w:gridCol w:w="3006"/>
      </w:tblGrid>
      <w:tr w:rsidR="0052258D" w:rsidRPr="009A60D9" w:rsidTr="009A60D9">
        <w:tc>
          <w:tcPr>
            <w:tcW w:w="4836" w:type="dxa"/>
            <w:gridSpan w:val="3"/>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Vertinimo kriterijai</w:t>
            </w:r>
          </w:p>
        </w:tc>
        <w:tc>
          <w:tcPr>
            <w:tcW w:w="1797"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8"/>
              <w:contextualSpacing/>
              <w:jc w:val="center"/>
              <w:rPr>
                <w:rFonts w:eastAsia="Calibri"/>
                <w:b/>
                <w:bCs/>
                <w:color w:val="000000" w:themeColor="text1"/>
                <w:sz w:val="22"/>
                <w:szCs w:val="22"/>
              </w:rPr>
            </w:pPr>
            <w:r w:rsidRPr="009A60D9">
              <w:rPr>
                <w:rFonts w:eastAsia="Calibri"/>
                <w:b/>
                <w:bCs/>
                <w:color w:val="000000" w:themeColor="text1"/>
                <w:sz w:val="22"/>
                <w:szCs w:val="22"/>
              </w:rPr>
              <w:t>Parametro lyginamasis svoris</w:t>
            </w: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Lyginamasis svoris ekonominio naudingumo įvertinime</w:t>
            </w:r>
          </w:p>
        </w:tc>
      </w:tr>
      <w:tr w:rsidR="0052258D" w:rsidRPr="009A60D9" w:rsidTr="009A60D9">
        <w:tc>
          <w:tcPr>
            <w:tcW w:w="6633" w:type="dxa"/>
            <w:gridSpan w:val="4"/>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9A60D9">
              <w:rPr>
                <w:rFonts w:eastAsia="Calibri"/>
                <w:b/>
                <w:bCs/>
                <w:color w:val="000000" w:themeColor="text1"/>
                <w:sz w:val="22"/>
                <w:szCs w:val="22"/>
              </w:rPr>
              <w:t>Kaina (K)</w:t>
            </w: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X=70</w:t>
            </w:r>
          </w:p>
        </w:tc>
      </w:tr>
      <w:tr w:rsidR="0052258D" w:rsidRPr="009A60D9" w:rsidTr="009A60D9">
        <w:tc>
          <w:tcPr>
            <w:tcW w:w="6633" w:type="dxa"/>
            <w:gridSpan w:val="4"/>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9A60D9">
              <w:rPr>
                <w:rFonts w:eastAsia="Calibri"/>
                <w:b/>
                <w:bCs/>
                <w:color w:val="000000" w:themeColor="text1"/>
                <w:sz w:val="22"/>
                <w:szCs w:val="22"/>
              </w:rPr>
              <w:t>Techniniai pranašumai (T)</w:t>
            </w: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Y=30</w:t>
            </w:r>
          </w:p>
        </w:tc>
      </w:tr>
      <w:tr w:rsidR="0052258D" w:rsidRPr="009A60D9" w:rsidTr="009A60D9">
        <w:tc>
          <w:tcPr>
            <w:tcW w:w="782"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center"/>
              <w:rPr>
                <w:rFonts w:eastAsia="Calibri"/>
                <w:b/>
                <w:bCs/>
                <w:color w:val="000000" w:themeColor="text1"/>
                <w:sz w:val="22"/>
                <w:szCs w:val="22"/>
              </w:rPr>
            </w:pPr>
            <w:r w:rsidRPr="009A60D9">
              <w:rPr>
                <w:rFonts w:eastAsia="Calibri"/>
                <w:b/>
                <w:bCs/>
                <w:color w:val="000000" w:themeColor="text1"/>
                <w:sz w:val="22"/>
                <w:szCs w:val="22"/>
              </w:rPr>
              <w:t>Nr.</w:t>
            </w:r>
          </w:p>
        </w:tc>
        <w:tc>
          <w:tcPr>
            <w:tcW w:w="2479"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Parametrai</w:t>
            </w:r>
          </w:p>
        </w:tc>
        <w:tc>
          <w:tcPr>
            <w:tcW w:w="1575"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Vertinimo būdas</w:t>
            </w:r>
          </w:p>
        </w:tc>
        <w:tc>
          <w:tcPr>
            <w:tcW w:w="1797"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9A60D9">
              <w:rPr>
                <w:rFonts w:eastAsia="Calibri"/>
                <w:b/>
                <w:bCs/>
                <w:color w:val="000000" w:themeColor="text1"/>
                <w:sz w:val="22"/>
                <w:szCs w:val="22"/>
              </w:rPr>
              <w:t> </w:t>
            </w:r>
          </w:p>
        </w:tc>
      </w:tr>
      <w:tr w:rsidR="00101991" w:rsidRPr="009A60D9" w:rsidTr="009A60D9">
        <w:tc>
          <w:tcPr>
            <w:tcW w:w="782" w:type="dxa"/>
            <w:tcBorders>
              <w:top w:val="single" w:sz="4" w:space="0" w:color="auto"/>
              <w:left w:val="single" w:sz="4" w:space="0" w:color="auto"/>
              <w:bottom w:val="single" w:sz="4" w:space="0" w:color="auto"/>
              <w:right w:val="single" w:sz="4" w:space="0" w:color="auto"/>
            </w:tcBorders>
            <w:vAlign w:val="center"/>
          </w:tcPr>
          <w:p w:rsidR="00101991" w:rsidRPr="00101991" w:rsidRDefault="00101991" w:rsidP="00101991">
            <w:pPr>
              <w:jc w:val="center"/>
              <w:rPr>
                <w:rFonts w:eastAsia="Times New Roman"/>
                <w:color w:val="000000" w:themeColor="text1"/>
                <w:sz w:val="22"/>
                <w:szCs w:val="22"/>
              </w:rPr>
            </w:pPr>
            <w:r w:rsidRPr="00101991">
              <w:rPr>
                <w:rFonts w:eastAsia="Times New Roman"/>
                <w:color w:val="000000" w:themeColor="text1"/>
                <w:sz w:val="22"/>
                <w:szCs w:val="22"/>
              </w:rPr>
              <w:t>T</w:t>
            </w:r>
            <w:r w:rsidRPr="00101991">
              <w:rPr>
                <w:rFonts w:eastAsia="Times New Roman"/>
                <w:color w:val="000000" w:themeColor="text1"/>
                <w:sz w:val="22"/>
                <w:szCs w:val="22"/>
                <w:vertAlign w:val="subscript"/>
              </w:rPr>
              <w:t>1</w:t>
            </w:r>
          </w:p>
        </w:tc>
        <w:tc>
          <w:tcPr>
            <w:tcW w:w="2479" w:type="dxa"/>
            <w:tcBorders>
              <w:top w:val="single" w:sz="4" w:space="0" w:color="auto"/>
              <w:left w:val="single" w:sz="4" w:space="0" w:color="auto"/>
              <w:bottom w:val="single" w:sz="4" w:space="0" w:color="auto"/>
              <w:right w:val="single" w:sz="4" w:space="0" w:color="auto"/>
            </w:tcBorders>
            <w:vAlign w:val="center"/>
          </w:tcPr>
          <w:p w:rsidR="00101991" w:rsidRPr="00101991" w:rsidRDefault="00101991" w:rsidP="00101991">
            <w:pPr>
              <w:jc w:val="both"/>
              <w:rPr>
                <w:color w:val="000000" w:themeColor="text1"/>
                <w:sz w:val="22"/>
                <w:szCs w:val="22"/>
              </w:rPr>
            </w:pPr>
            <w:r w:rsidRPr="00101991">
              <w:rPr>
                <w:color w:val="000000" w:themeColor="text1"/>
                <w:sz w:val="22"/>
                <w:szCs w:val="22"/>
              </w:rPr>
              <w:t>Siūlomas ultragarsinis vaizdo gastroskopas tinkamas plauti LSMU ligoninės Kauno klinikų turimomis gamintojo „Olympus“ plovimo-dezinfekavimo mašinomis „ETD3“, „ETD4“ (jei siūlomo endoskopo techninis suderinamumas su nurodytų modelių plovimo – dezinfekavimo mašinomis galimas tik specialaus adapterio pagalba, adapterį tiekėjas pateikia kartu su endoskopu)</w:t>
            </w:r>
          </w:p>
        </w:tc>
        <w:tc>
          <w:tcPr>
            <w:tcW w:w="1575" w:type="dxa"/>
            <w:tcBorders>
              <w:top w:val="single" w:sz="4" w:space="0" w:color="auto"/>
              <w:left w:val="single" w:sz="4" w:space="0" w:color="auto"/>
              <w:bottom w:val="single" w:sz="4" w:space="0" w:color="auto"/>
              <w:right w:val="single" w:sz="4" w:space="0" w:color="auto"/>
            </w:tcBorders>
            <w:vAlign w:val="center"/>
          </w:tcPr>
          <w:p w:rsidR="00101991" w:rsidRPr="00101991" w:rsidRDefault="00101991" w:rsidP="00101991">
            <w:pPr>
              <w:jc w:val="center"/>
              <w:rPr>
                <w:rFonts w:eastAsia="Times New Roman"/>
                <w:color w:val="000000" w:themeColor="text1"/>
                <w:sz w:val="22"/>
                <w:szCs w:val="22"/>
              </w:rPr>
            </w:pPr>
            <w:r w:rsidRPr="00101991">
              <w:rPr>
                <w:rFonts w:eastAsia="Times New Roman"/>
                <w:color w:val="000000" w:themeColor="text1"/>
                <w:sz w:val="22"/>
                <w:szCs w:val="22"/>
              </w:rPr>
              <w:t xml:space="preserve">Statinis: </w:t>
            </w:r>
          </w:p>
          <w:p w:rsidR="00101991" w:rsidRPr="00101991" w:rsidRDefault="00101991" w:rsidP="00101991">
            <w:pPr>
              <w:jc w:val="center"/>
              <w:rPr>
                <w:rFonts w:eastAsia="Times New Roman"/>
                <w:color w:val="000000" w:themeColor="text1"/>
                <w:sz w:val="22"/>
                <w:szCs w:val="22"/>
              </w:rPr>
            </w:pPr>
            <w:r w:rsidRPr="00101991">
              <w:rPr>
                <w:rFonts w:eastAsia="Times New Roman"/>
                <w:color w:val="000000" w:themeColor="text1"/>
                <w:sz w:val="22"/>
                <w:szCs w:val="22"/>
              </w:rPr>
              <w:t>(taip/ne)</w:t>
            </w:r>
          </w:p>
        </w:tc>
        <w:tc>
          <w:tcPr>
            <w:tcW w:w="1797" w:type="dxa"/>
            <w:tcBorders>
              <w:top w:val="single" w:sz="4" w:space="0" w:color="auto"/>
              <w:left w:val="single" w:sz="4" w:space="0" w:color="auto"/>
              <w:bottom w:val="single" w:sz="4" w:space="0" w:color="auto"/>
              <w:right w:val="single" w:sz="4" w:space="0" w:color="auto"/>
            </w:tcBorders>
            <w:vAlign w:val="center"/>
          </w:tcPr>
          <w:p w:rsidR="00101991" w:rsidRPr="00101991" w:rsidRDefault="00101991" w:rsidP="00101991">
            <w:pPr>
              <w:ind w:left="522" w:hanging="491"/>
              <w:jc w:val="center"/>
              <w:rPr>
                <w:rFonts w:eastAsia="Times New Roman"/>
                <w:color w:val="000000" w:themeColor="text1"/>
                <w:sz w:val="22"/>
                <w:szCs w:val="22"/>
              </w:rPr>
            </w:pPr>
            <w:r w:rsidRPr="00101991">
              <w:rPr>
                <w:rFonts w:eastAsia="Times New Roman"/>
                <w:color w:val="000000" w:themeColor="text1"/>
                <w:sz w:val="22"/>
                <w:szCs w:val="22"/>
              </w:rPr>
              <w:t>L</w:t>
            </w:r>
            <w:r w:rsidRPr="00101991">
              <w:rPr>
                <w:rFonts w:eastAsia="Times New Roman"/>
                <w:color w:val="000000" w:themeColor="text1"/>
                <w:sz w:val="22"/>
                <w:szCs w:val="22"/>
                <w:vertAlign w:val="subscript"/>
              </w:rPr>
              <w:t>1</w:t>
            </w:r>
            <w:r w:rsidRPr="00101991">
              <w:rPr>
                <w:rFonts w:eastAsia="Times New Roman"/>
                <w:color w:val="000000" w:themeColor="text1"/>
                <w:sz w:val="22"/>
                <w:szCs w:val="22"/>
              </w:rPr>
              <w:t xml:space="preserve"> = 1</w:t>
            </w:r>
          </w:p>
        </w:tc>
        <w:tc>
          <w:tcPr>
            <w:tcW w:w="3006" w:type="dxa"/>
            <w:tcBorders>
              <w:top w:val="single" w:sz="4" w:space="0" w:color="auto"/>
              <w:left w:val="single" w:sz="4" w:space="0" w:color="auto"/>
              <w:bottom w:val="single" w:sz="4" w:space="0" w:color="auto"/>
              <w:right w:val="single" w:sz="4" w:space="0" w:color="auto"/>
            </w:tcBorders>
            <w:vAlign w:val="center"/>
          </w:tcPr>
          <w:p w:rsidR="00101991" w:rsidRPr="009A60D9" w:rsidRDefault="00101991" w:rsidP="00101991">
            <w:pPr>
              <w:jc w:val="center"/>
              <w:rPr>
                <w:color w:val="000000" w:themeColor="text1"/>
                <w:sz w:val="22"/>
                <w:szCs w:val="22"/>
              </w:rPr>
            </w:pPr>
          </w:p>
        </w:tc>
      </w:tr>
    </w:tbl>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1B1DF2" w:rsidRPr="001B1DF2" w:rsidRDefault="001B1DF2" w:rsidP="001B1DF2">
      <w:pPr>
        <w:shd w:val="clear" w:color="auto" w:fill="FFFFFF"/>
        <w:ind w:firstLine="567"/>
        <w:jc w:val="both"/>
        <w:rPr>
          <w:color w:val="000000" w:themeColor="text1"/>
          <w:sz w:val="22"/>
          <w:szCs w:val="22"/>
        </w:rPr>
      </w:pPr>
      <w:r>
        <w:rPr>
          <w:color w:val="000000" w:themeColor="text1"/>
          <w:sz w:val="22"/>
          <w:szCs w:val="22"/>
        </w:rPr>
        <w:t xml:space="preserve">14.5.2. </w:t>
      </w:r>
      <w:r w:rsidRPr="001B1DF2">
        <w:rPr>
          <w:color w:val="000000" w:themeColor="text1"/>
          <w:sz w:val="22"/>
          <w:szCs w:val="22"/>
        </w:rPr>
        <w:t>Pasiūlymo ekonominio naudingumo (kainos ir kokybės santykio) apskaičiavimo tvarka (formulė) yra pateikiama žemiau:</w:t>
      </w:r>
    </w:p>
    <w:p w:rsidR="001B1DF2" w:rsidRPr="001B1DF2" w:rsidRDefault="001B1DF2" w:rsidP="001B1DF2">
      <w:pPr>
        <w:pStyle w:val="ListParagraph"/>
        <w:shd w:val="clear" w:color="auto" w:fill="FFFFFF"/>
        <w:ind w:left="0" w:firstLine="567"/>
        <w:jc w:val="both"/>
        <w:rPr>
          <w:rFonts w:ascii="Times New Roman" w:hAnsi="Times New Roman"/>
          <w:noProof/>
          <w:color w:val="000000" w:themeColor="text1"/>
        </w:rPr>
      </w:pPr>
      <w:r w:rsidRPr="001B1DF2">
        <w:rPr>
          <w:rFonts w:ascii="Times New Roman" w:hAnsi="Times New Roman"/>
          <w:noProof/>
          <w:color w:val="000000" w:themeColor="text1"/>
        </w:rPr>
        <w:t>1. Pasiūlymo ekonominis naudingumas (E) apskaičiuojamas sudedant tiekėjo pasiūlymo kainos (K) ir techninių pranašumų (T) balus:</w:t>
      </w:r>
    </w:p>
    <w:p w:rsidR="001B1DF2" w:rsidRDefault="001B1DF2" w:rsidP="001B1DF2">
      <w:pPr>
        <w:shd w:val="clear" w:color="auto" w:fill="FFFFFF"/>
        <w:jc w:val="center"/>
        <w:rPr>
          <w:i/>
          <w:iCs/>
          <w:color w:val="000000" w:themeColor="text1"/>
          <w:sz w:val="22"/>
          <w:szCs w:val="22"/>
        </w:rPr>
      </w:pPr>
      <w:r w:rsidRPr="001B1DF2">
        <w:rPr>
          <w:i/>
          <w:iCs/>
          <w:color w:val="000000" w:themeColor="text1"/>
          <w:sz w:val="22"/>
          <w:szCs w:val="22"/>
        </w:rPr>
        <w:t xml:space="preserve">E </w:t>
      </w:r>
      <w:r w:rsidRPr="001B1DF2">
        <w:rPr>
          <w:color w:val="000000" w:themeColor="text1"/>
          <w:sz w:val="22"/>
          <w:szCs w:val="22"/>
        </w:rPr>
        <w:t xml:space="preserve">= </w:t>
      </w:r>
      <w:r w:rsidRPr="001B1DF2">
        <w:rPr>
          <w:i/>
          <w:color w:val="000000" w:themeColor="text1"/>
          <w:sz w:val="22"/>
          <w:szCs w:val="22"/>
        </w:rPr>
        <w:t>K</w:t>
      </w:r>
      <w:r w:rsidRPr="001B1DF2">
        <w:rPr>
          <w:i/>
          <w:iCs/>
          <w:color w:val="000000" w:themeColor="text1"/>
          <w:sz w:val="22"/>
          <w:szCs w:val="22"/>
        </w:rPr>
        <w:t>+ T</w:t>
      </w:r>
    </w:p>
    <w:p w:rsidR="001B1DF2" w:rsidRPr="001B1DF2" w:rsidRDefault="001B1DF2" w:rsidP="001B1DF2">
      <w:pPr>
        <w:shd w:val="clear" w:color="auto" w:fill="FFFFFF"/>
        <w:jc w:val="center"/>
        <w:rPr>
          <w:color w:val="000000" w:themeColor="text1"/>
          <w:sz w:val="22"/>
          <w:szCs w:val="22"/>
        </w:rPr>
      </w:pPr>
    </w:p>
    <w:p w:rsidR="001B1DF2" w:rsidRPr="001B1DF2" w:rsidRDefault="001B1DF2" w:rsidP="001B1DF2">
      <w:pPr>
        <w:pStyle w:val="ListParagraph"/>
        <w:shd w:val="clear" w:color="auto" w:fill="FFFFFF"/>
        <w:ind w:left="0" w:firstLine="567"/>
        <w:jc w:val="both"/>
        <w:rPr>
          <w:rFonts w:ascii="Times New Roman" w:hAnsi="Times New Roman"/>
          <w:noProof/>
          <w:color w:val="000000" w:themeColor="text1"/>
        </w:rPr>
      </w:pPr>
      <w:r w:rsidRPr="001B1DF2">
        <w:rPr>
          <w:rFonts w:ascii="Times New Roman" w:hAnsi="Times New Roman"/>
          <w:noProof/>
          <w:color w:val="000000" w:themeColor="text1"/>
        </w:rPr>
        <w:t>2. Pasiūlymo kainos (K) balai apskaičiuojami mažiausios pasiūlytos kainos (K</w:t>
      </w:r>
      <w:r w:rsidRPr="001B1DF2">
        <w:rPr>
          <w:rFonts w:ascii="Times New Roman" w:hAnsi="Times New Roman"/>
          <w:noProof/>
          <w:color w:val="000000" w:themeColor="text1"/>
          <w:vertAlign w:val="subscript"/>
        </w:rPr>
        <w:t>min</w:t>
      </w:r>
      <w:r w:rsidRPr="001B1DF2">
        <w:rPr>
          <w:rFonts w:ascii="Times New Roman" w:hAnsi="Times New Roman"/>
          <w:noProof/>
          <w:color w:val="000000" w:themeColor="text1"/>
        </w:rPr>
        <w:t>) ir vertinamo pasiūlymo kainos (K</w:t>
      </w:r>
      <w:r w:rsidRPr="001B1DF2">
        <w:rPr>
          <w:rFonts w:ascii="Times New Roman" w:hAnsi="Times New Roman"/>
          <w:noProof/>
          <w:color w:val="000000" w:themeColor="text1"/>
          <w:vertAlign w:val="subscript"/>
        </w:rPr>
        <w:t>v</w:t>
      </w:r>
      <w:r w:rsidRPr="001B1DF2">
        <w:rPr>
          <w:rFonts w:ascii="Times New Roman" w:hAnsi="Times New Roman"/>
          <w:noProof/>
          <w:color w:val="000000" w:themeColor="text1"/>
        </w:rPr>
        <w:t>) santykį padauginant iš kainos lyginamojo svorio (X):</w:t>
      </w:r>
    </w:p>
    <w:p w:rsidR="001B1DF2" w:rsidRPr="001B1DF2" w:rsidRDefault="001B1DF2" w:rsidP="001B1DF2">
      <w:pPr>
        <w:shd w:val="clear" w:color="auto" w:fill="FFFFFF"/>
        <w:jc w:val="center"/>
        <w:rPr>
          <w:rFonts w:eastAsiaTheme="minorEastAsia"/>
          <w:color w:val="000000" w:themeColor="text1"/>
          <w:sz w:val="22"/>
          <w:szCs w:val="22"/>
        </w:rPr>
      </w:pPr>
      <m:oMathPara>
        <m:oMath>
          <m:r>
            <w:rPr>
              <w:rFonts w:ascii="Cambria Math" w:hAnsi="Cambria Math"/>
              <w:color w:val="000000" w:themeColor="text1"/>
              <w:sz w:val="22"/>
              <w:szCs w:val="22"/>
            </w:rPr>
            <m:t>K=</m:t>
          </m:r>
          <m:f>
            <m:fPr>
              <m:ctrlPr>
                <w:rPr>
                  <w:rFonts w:ascii="Cambria Math" w:hAnsi="Cambria Math"/>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min</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v</m:t>
                  </m:r>
                </m:sub>
              </m:sSub>
            </m:den>
          </m:f>
          <m:r>
            <w:rPr>
              <w:rFonts w:ascii="Cambria Math" w:hAnsi="Cambria Math"/>
              <w:color w:val="000000" w:themeColor="text1"/>
              <w:sz w:val="22"/>
              <w:szCs w:val="22"/>
            </w:rPr>
            <m:t xml:space="preserve"> ×X</m:t>
          </m:r>
        </m:oMath>
      </m:oMathPara>
    </w:p>
    <w:p w:rsidR="001B1DF2" w:rsidRPr="001B1DF2" w:rsidRDefault="001B1DF2" w:rsidP="001B1DF2">
      <w:pPr>
        <w:shd w:val="clear" w:color="auto" w:fill="FFFFFF"/>
        <w:jc w:val="center"/>
        <w:rPr>
          <w:rFonts w:eastAsiaTheme="minorEastAsia"/>
          <w:color w:val="000000" w:themeColor="text1"/>
          <w:sz w:val="22"/>
          <w:szCs w:val="22"/>
        </w:rPr>
      </w:pPr>
    </w:p>
    <w:p w:rsidR="001B1DF2" w:rsidRPr="001B1DF2" w:rsidRDefault="001B1DF2" w:rsidP="001B1DF2">
      <w:pPr>
        <w:ind w:firstLine="567"/>
        <w:jc w:val="both"/>
        <w:rPr>
          <w:color w:val="000000" w:themeColor="text1"/>
          <w:sz w:val="22"/>
          <w:szCs w:val="22"/>
          <w:bdr w:val="none" w:sz="0" w:space="0" w:color="auto" w:frame="1"/>
        </w:rPr>
      </w:pPr>
      <w:r w:rsidRPr="001B1DF2">
        <w:rPr>
          <w:color w:val="000000" w:themeColor="text1"/>
          <w:sz w:val="22"/>
          <w:szCs w:val="22"/>
          <w:bdr w:val="none" w:sz="0" w:space="0" w:color="auto" w:frame="1"/>
        </w:rPr>
        <w:t>3. Siūlomo objekto T</w:t>
      </w:r>
      <w:r w:rsidRPr="001B1DF2">
        <w:rPr>
          <w:color w:val="000000" w:themeColor="text1"/>
          <w:sz w:val="22"/>
          <w:szCs w:val="22"/>
          <w:bdr w:val="none" w:sz="0" w:space="0" w:color="auto" w:frame="1"/>
          <w:vertAlign w:val="subscript"/>
        </w:rPr>
        <w:t>i</w:t>
      </w:r>
      <w:r w:rsidRPr="001B1DF2">
        <w:rPr>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1B1DF2" w:rsidRPr="001B1DF2" w:rsidRDefault="001B1DF2" w:rsidP="001B1DF2">
      <w:pPr>
        <w:ind w:firstLine="1134"/>
        <w:jc w:val="both"/>
        <w:rPr>
          <w:color w:val="000000" w:themeColor="text1"/>
          <w:sz w:val="22"/>
          <w:szCs w:val="22"/>
          <w:bdr w:val="none" w:sz="0" w:space="0" w:color="auto" w:frame="1"/>
        </w:rPr>
      </w:pPr>
      <w:r w:rsidRPr="001B1DF2">
        <w:rPr>
          <w:color w:val="000000" w:themeColor="text1"/>
          <w:sz w:val="22"/>
          <w:szCs w:val="22"/>
          <w:bdr w:val="none" w:sz="0" w:space="0" w:color="auto" w:frame="1"/>
        </w:rPr>
        <w:t xml:space="preserve">Jei siūlomas objektas turi nurodytą pranašumą: </w:t>
      </w:r>
      <w:r w:rsidRPr="001B1DF2">
        <w:rPr>
          <w:i/>
          <w:color w:val="000000" w:themeColor="text1"/>
          <w:sz w:val="22"/>
          <w:szCs w:val="22"/>
          <w:bdr w:val="none" w:sz="0" w:space="0" w:color="auto" w:frame="1"/>
        </w:rPr>
        <w:t>T</w:t>
      </w:r>
      <w:r w:rsidRPr="001B1DF2">
        <w:rPr>
          <w:i/>
          <w:color w:val="000000" w:themeColor="text1"/>
          <w:sz w:val="22"/>
          <w:szCs w:val="22"/>
          <w:bdr w:val="none" w:sz="0" w:space="0" w:color="auto" w:frame="1"/>
          <w:vertAlign w:val="subscript"/>
        </w:rPr>
        <w:t>i</w:t>
      </w:r>
      <w:r w:rsidRPr="001B1DF2">
        <w:rPr>
          <w:i/>
          <w:color w:val="000000" w:themeColor="text1"/>
          <w:sz w:val="22"/>
          <w:szCs w:val="22"/>
          <w:bdr w:val="none" w:sz="0" w:space="0" w:color="auto" w:frame="1"/>
        </w:rPr>
        <w:t xml:space="preserve"> = L</w:t>
      </w:r>
      <w:r w:rsidRPr="001B1DF2">
        <w:rPr>
          <w:i/>
          <w:color w:val="000000" w:themeColor="text1"/>
          <w:sz w:val="22"/>
          <w:szCs w:val="22"/>
          <w:bdr w:val="none" w:sz="0" w:space="0" w:color="auto" w:frame="1"/>
          <w:vertAlign w:val="subscript"/>
        </w:rPr>
        <w:t>i</w:t>
      </w:r>
      <w:r w:rsidRPr="001B1DF2">
        <w:rPr>
          <w:i/>
          <w:color w:val="000000" w:themeColor="text1"/>
          <w:sz w:val="22"/>
          <w:szCs w:val="22"/>
          <w:bdr w:val="none" w:sz="0" w:space="0" w:color="auto" w:frame="1"/>
        </w:rPr>
        <w:t>;</w:t>
      </w:r>
    </w:p>
    <w:p w:rsidR="001B1DF2" w:rsidRPr="001B1DF2" w:rsidRDefault="001B1DF2" w:rsidP="001B1DF2">
      <w:pPr>
        <w:ind w:firstLine="1134"/>
        <w:rPr>
          <w:i/>
          <w:color w:val="000000" w:themeColor="text1"/>
          <w:sz w:val="22"/>
          <w:szCs w:val="22"/>
          <w:bdr w:val="none" w:sz="0" w:space="0" w:color="auto" w:frame="1"/>
        </w:rPr>
      </w:pPr>
      <w:r w:rsidRPr="001B1DF2">
        <w:rPr>
          <w:color w:val="000000" w:themeColor="text1"/>
          <w:sz w:val="22"/>
          <w:szCs w:val="22"/>
          <w:bdr w:val="none" w:sz="0" w:space="0" w:color="auto" w:frame="1"/>
        </w:rPr>
        <w:t xml:space="preserve">Jei siūlomas objektas neturi nurodyto pranašumo: </w:t>
      </w:r>
      <w:r w:rsidRPr="001B1DF2">
        <w:rPr>
          <w:i/>
          <w:color w:val="000000" w:themeColor="text1"/>
          <w:sz w:val="22"/>
          <w:szCs w:val="22"/>
          <w:bdr w:val="none" w:sz="0" w:space="0" w:color="auto" w:frame="1"/>
        </w:rPr>
        <w:t>T</w:t>
      </w:r>
      <w:r w:rsidRPr="001B1DF2">
        <w:rPr>
          <w:i/>
          <w:color w:val="000000" w:themeColor="text1"/>
          <w:sz w:val="22"/>
          <w:szCs w:val="22"/>
          <w:bdr w:val="none" w:sz="0" w:space="0" w:color="auto" w:frame="1"/>
          <w:vertAlign w:val="subscript"/>
        </w:rPr>
        <w:t>i</w:t>
      </w:r>
      <w:r w:rsidRPr="001B1DF2">
        <w:rPr>
          <w:i/>
          <w:color w:val="000000" w:themeColor="text1"/>
          <w:sz w:val="22"/>
          <w:szCs w:val="22"/>
          <w:bdr w:val="none" w:sz="0" w:space="0" w:color="auto" w:frame="1"/>
        </w:rPr>
        <w:t xml:space="preserve"> = L</w:t>
      </w:r>
      <w:r w:rsidRPr="001B1DF2">
        <w:rPr>
          <w:i/>
          <w:color w:val="000000" w:themeColor="text1"/>
          <w:sz w:val="22"/>
          <w:szCs w:val="22"/>
          <w:bdr w:val="none" w:sz="0" w:space="0" w:color="auto" w:frame="1"/>
          <w:vertAlign w:val="subscript"/>
        </w:rPr>
        <w:t>i</w:t>
      </w:r>
      <w:r w:rsidRPr="001B1DF2">
        <w:rPr>
          <w:i/>
          <w:color w:val="000000" w:themeColor="text1"/>
          <w:sz w:val="22"/>
          <w:szCs w:val="22"/>
          <w:bdr w:val="none" w:sz="0" w:space="0" w:color="auto" w:frame="1"/>
        </w:rPr>
        <w:t>= 0;</w:t>
      </w:r>
    </w:p>
    <w:p w:rsidR="001B1DF2" w:rsidRPr="001B1DF2" w:rsidRDefault="001B1DF2" w:rsidP="001B1DF2">
      <w:pPr>
        <w:shd w:val="clear" w:color="auto" w:fill="FFFFFF"/>
        <w:jc w:val="both"/>
        <w:rPr>
          <w:color w:val="000000" w:themeColor="text1"/>
          <w:sz w:val="22"/>
          <w:szCs w:val="22"/>
          <w:bdr w:val="none" w:sz="0" w:space="0" w:color="auto" w:frame="1"/>
        </w:rPr>
      </w:pPr>
    </w:p>
    <w:p w:rsidR="001B1DF2" w:rsidRDefault="001B1DF2" w:rsidP="00C877B7">
      <w:pPr>
        <w:shd w:val="clear" w:color="auto" w:fill="FFFFFF"/>
        <w:ind w:firstLine="567"/>
        <w:jc w:val="both"/>
        <w:rPr>
          <w:color w:val="000000" w:themeColor="text1"/>
          <w:sz w:val="22"/>
          <w:szCs w:val="22"/>
          <w:bdr w:val="none" w:sz="0" w:space="0" w:color="auto" w:frame="1"/>
        </w:rPr>
      </w:pPr>
      <w:r w:rsidRPr="001B1DF2">
        <w:rPr>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C877B7" w:rsidRPr="001B1DF2" w:rsidRDefault="00C877B7" w:rsidP="00C877B7">
      <w:pPr>
        <w:shd w:val="clear" w:color="auto" w:fill="FFFFFF"/>
        <w:ind w:firstLine="567"/>
        <w:jc w:val="both"/>
        <w:rPr>
          <w:color w:val="000000" w:themeColor="text1"/>
          <w:sz w:val="22"/>
          <w:szCs w:val="22"/>
          <w:bdr w:val="none" w:sz="0" w:space="0" w:color="auto" w:frame="1"/>
        </w:rPr>
      </w:pPr>
    </w:p>
    <w:p w:rsidR="001B1DF2" w:rsidRPr="00C877B7" w:rsidRDefault="001B1DF2" w:rsidP="001B1DF2">
      <w:pPr>
        <w:jc w:val="center"/>
        <w:rPr>
          <w:rFonts w:eastAsiaTheme="minorEastAs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1</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C877B7" w:rsidRPr="001B1DF2" w:rsidRDefault="00C877B7" w:rsidP="001B1DF2">
      <w:pPr>
        <w:jc w:val="center"/>
        <w:rPr>
          <w:color w:val="000000" w:themeColor="text1"/>
          <w:sz w:val="22"/>
          <w:szCs w:val="22"/>
          <w:bdr w:val="none" w:sz="0" w:space="0" w:color="auto" w:frame="1"/>
        </w:rPr>
      </w:pPr>
    </w:p>
    <w:p w:rsidR="001B1DF2" w:rsidRPr="001B1DF2" w:rsidRDefault="00C877B7" w:rsidP="00C877B7">
      <w:pPr>
        <w:ind w:firstLine="567"/>
        <w:jc w:val="both"/>
        <w:rPr>
          <w:rFonts w:eastAsia="Calibri"/>
          <w:color w:val="000000" w:themeColor="text1"/>
          <w:sz w:val="22"/>
          <w:szCs w:val="22"/>
        </w:rPr>
      </w:pPr>
      <w:r>
        <w:rPr>
          <w:color w:val="000000" w:themeColor="text1"/>
          <w:sz w:val="22"/>
          <w:szCs w:val="22"/>
        </w:rPr>
        <w:t xml:space="preserve">14.5.3. </w:t>
      </w:r>
      <w:r w:rsidR="001B1DF2" w:rsidRPr="001B1DF2">
        <w:rPr>
          <w:color w:val="000000" w:themeColor="text1"/>
          <w:sz w:val="22"/>
          <w:szCs w:val="22"/>
          <w:lang w:bidi="hi-IN"/>
        </w:rPr>
        <w:t>Laimėjusiu Pasiūlymu bus pripažintas Pasiūlymas, atitinkantis visus Pirkimo dokumentuose nustatytus reikalavimus, kurio ekonominis naudingumas (E) bus didžiausias.</w:t>
      </w:r>
    </w:p>
    <w:p w:rsidR="001B1DF2" w:rsidRPr="001B1DF2" w:rsidRDefault="00C877B7" w:rsidP="00C877B7">
      <w:pPr>
        <w:ind w:firstLine="567"/>
        <w:jc w:val="both"/>
        <w:rPr>
          <w:color w:val="000000" w:themeColor="text1"/>
          <w:sz w:val="22"/>
          <w:szCs w:val="22"/>
        </w:rPr>
      </w:pPr>
      <w:r>
        <w:rPr>
          <w:color w:val="000000" w:themeColor="text1"/>
          <w:sz w:val="22"/>
          <w:szCs w:val="22"/>
        </w:rPr>
        <w:t>14.5.4</w:t>
      </w:r>
      <w:r>
        <w:rPr>
          <w:color w:val="000000" w:themeColor="text1"/>
          <w:sz w:val="22"/>
          <w:szCs w:val="22"/>
        </w:rPr>
        <w:t>.</w:t>
      </w:r>
      <w:r>
        <w:rPr>
          <w:color w:val="000000" w:themeColor="text1"/>
          <w:sz w:val="22"/>
          <w:szCs w:val="22"/>
        </w:rPr>
        <w:t xml:space="preserve"> </w:t>
      </w:r>
      <w:r w:rsidR="001B1DF2" w:rsidRPr="001B1DF2">
        <w:rPr>
          <w:rFonts w:eastAsia="Calibri"/>
          <w:color w:val="000000" w:themeColor="text1"/>
          <w:sz w:val="22"/>
          <w:szCs w:val="22"/>
        </w:rPr>
        <w:t>Tais atvejais, kai kelių dalyvių pasiūlymų ekonominis naudingumas yra vienodas, nustatant pasiūlymų eilę, pirmesnis į šią eilę įrašomas dalyvis, kurio pasiūlymas pateiktas anksčiausiai.</w:t>
      </w:r>
      <w:r w:rsidR="001B1DF2" w:rsidRPr="001B1DF2">
        <w:rPr>
          <w:color w:val="000000" w:themeColor="text1"/>
          <w:sz w:val="22"/>
          <w:szCs w:val="22"/>
        </w:rPr>
        <w:t xml:space="preserve"> </w:t>
      </w: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1E17CC" w:rsidRDefault="001E17CC"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C877B7" w:rsidRPr="00ED435B" w:rsidRDefault="00C877B7" w:rsidP="00C877B7">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Pr>
          <w:rFonts w:ascii="Cambria" w:hAnsi="Cambria"/>
          <w:b/>
          <w:sz w:val="22"/>
          <w:szCs w:val="22"/>
        </w:rPr>
        <w:t>6</w:t>
      </w:r>
      <w:r>
        <w:rPr>
          <w:rFonts w:ascii="Cambria" w:hAnsi="Cambria"/>
          <w:b/>
          <w:sz w:val="22"/>
          <w:szCs w:val="22"/>
        </w:rPr>
        <w:t xml:space="preserve">. </w:t>
      </w:r>
      <w:r w:rsidRPr="00ED435B">
        <w:rPr>
          <w:rFonts w:ascii="Cambria" w:hAnsi="Cambria"/>
          <w:b/>
          <w:sz w:val="22"/>
          <w:szCs w:val="22"/>
        </w:rPr>
        <w:t xml:space="preserve"> </w:t>
      </w:r>
      <w:r w:rsidR="002A2BBB">
        <w:rPr>
          <w:rFonts w:ascii="Cambria" w:hAnsi="Cambria"/>
          <w:b/>
          <w:sz w:val="22"/>
          <w:szCs w:val="22"/>
        </w:rPr>
        <w:t xml:space="preserve">3 </w:t>
      </w:r>
      <w:r w:rsidRPr="00ED435B">
        <w:rPr>
          <w:rFonts w:ascii="Cambria" w:hAnsi="Cambria"/>
          <w:b/>
          <w:sz w:val="22"/>
          <w:szCs w:val="22"/>
        </w:rPr>
        <w:t>pirkimo dalies</w:t>
      </w:r>
      <w:r w:rsidRPr="007764FA">
        <w:rPr>
          <w:rFonts w:ascii="Cambria" w:eastAsia="Arial Unicode MS" w:hAnsi="Cambria"/>
          <w:bCs/>
          <w:sz w:val="22"/>
          <w:szCs w:val="22"/>
          <w:bdr w:val="nil"/>
          <w:lang w:eastAsia="ar-SA"/>
        </w:rPr>
        <w:t xml:space="preserve"> </w:t>
      </w:r>
      <w:r>
        <w:rPr>
          <w:rFonts w:ascii="Cambria" w:eastAsia="Arial Unicode MS" w:hAnsi="Cambria"/>
          <w:bCs/>
          <w:sz w:val="22"/>
          <w:szCs w:val="22"/>
          <w:bdr w:val="nil"/>
          <w:lang w:eastAsia="ar-SA"/>
        </w:rPr>
        <w:t xml:space="preserve"> „</w:t>
      </w:r>
      <w:r w:rsidRPr="00C877B7">
        <w:rPr>
          <w:rFonts w:ascii="Cambria" w:hAnsi="Cambria"/>
          <w:b/>
          <w:bCs/>
          <w:sz w:val="22"/>
          <w:szCs w:val="22"/>
        </w:rPr>
        <w:t>Endoskopų plovimo mašina</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C877B7" w:rsidRPr="0052258D" w:rsidRDefault="003154C7" w:rsidP="00C877B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14.6</w:t>
      </w:r>
      <w:r w:rsidR="00C877B7">
        <w:rPr>
          <w:rFonts w:eastAsia="Calibri"/>
          <w:color w:val="000000" w:themeColor="text1"/>
          <w:sz w:val="22"/>
          <w:szCs w:val="22"/>
        </w:rPr>
        <w:t>.1.</w:t>
      </w:r>
      <w:r w:rsidR="00C877B7" w:rsidRPr="0052258D">
        <w:rPr>
          <w:noProof/>
          <w:sz w:val="22"/>
          <w:szCs w:val="22"/>
        </w:rPr>
        <w:t xml:space="preserve"> </w:t>
      </w:r>
      <w:r w:rsidR="00C877B7" w:rsidRPr="0052258D">
        <w:rPr>
          <w:rFonts w:eastAsia="Calibri"/>
          <w:color w:val="000000" w:themeColor="text1"/>
          <w:sz w:val="22"/>
          <w:szCs w:val="22"/>
        </w:rPr>
        <w:t>Numatytų vertinimo kriterijų lyginamieji svoriai:</w:t>
      </w:r>
    </w:p>
    <w:p w:rsidR="00C877B7" w:rsidRPr="0052258D" w:rsidRDefault="00C877B7" w:rsidP="00C877B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1) Kaina (K) – 70;</w:t>
      </w:r>
    </w:p>
    <w:p w:rsidR="00C877B7" w:rsidRPr="0052258D" w:rsidRDefault="00C877B7" w:rsidP="00C877B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2) Techniniai pranašumai (T) – 30;</w:t>
      </w:r>
    </w:p>
    <w:p w:rsidR="00C877B7" w:rsidRPr="0052258D" w:rsidRDefault="00C877B7" w:rsidP="00C877B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Vertinimo kriterijai ir jų parametrų lyginamieji svoriai: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762"/>
        <w:gridCol w:w="1418"/>
        <w:gridCol w:w="1797"/>
        <w:gridCol w:w="2880"/>
      </w:tblGrid>
      <w:tr w:rsidR="00C877B7" w:rsidRPr="009A60D9" w:rsidTr="001B722B">
        <w:tc>
          <w:tcPr>
            <w:tcW w:w="4962" w:type="dxa"/>
            <w:gridSpan w:val="3"/>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Vertinimo kriterijai</w:t>
            </w:r>
          </w:p>
        </w:tc>
        <w:tc>
          <w:tcPr>
            <w:tcW w:w="1797"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8"/>
              <w:contextualSpacing/>
              <w:jc w:val="center"/>
              <w:rPr>
                <w:rFonts w:eastAsia="Calibri"/>
                <w:b/>
                <w:bCs/>
                <w:color w:val="000000" w:themeColor="text1"/>
                <w:sz w:val="22"/>
                <w:szCs w:val="22"/>
              </w:rPr>
            </w:pPr>
            <w:r w:rsidRPr="009A60D9">
              <w:rPr>
                <w:rFonts w:eastAsia="Calibri"/>
                <w:b/>
                <w:bCs/>
                <w:color w:val="000000" w:themeColor="text1"/>
                <w:sz w:val="22"/>
                <w:szCs w:val="22"/>
              </w:rPr>
              <w:t>Parametro lyginamasis svoris</w:t>
            </w:r>
          </w:p>
        </w:tc>
        <w:tc>
          <w:tcPr>
            <w:tcW w:w="2880"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Lyginamasis svoris ekonominio naudingumo įvertinime</w:t>
            </w:r>
          </w:p>
        </w:tc>
      </w:tr>
      <w:tr w:rsidR="00C877B7" w:rsidRPr="009A60D9" w:rsidTr="001B722B">
        <w:tc>
          <w:tcPr>
            <w:tcW w:w="6759" w:type="dxa"/>
            <w:gridSpan w:val="4"/>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9A60D9">
              <w:rPr>
                <w:rFonts w:eastAsia="Calibri"/>
                <w:b/>
                <w:bCs/>
                <w:color w:val="000000" w:themeColor="text1"/>
                <w:sz w:val="22"/>
                <w:szCs w:val="22"/>
              </w:rPr>
              <w:t>Kaina (K)</w:t>
            </w:r>
          </w:p>
        </w:tc>
        <w:tc>
          <w:tcPr>
            <w:tcW w:w="2880"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X=70</w:t>
            </w:r>
          </w:p>
        </w:tc>
      </w:tr>
      <w:tr w:rsidR="00C877B7" w:rsidRPr="009A60D9" w:rsidTr="001B722B">
        <w:tc>
          <w:tcPr>
            <w:tcW w:w="6759" w:type="dxa"/>
            <w:gridSpan w:val="4"/>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9A60D9">
              <w:rPr>
                <w:rFonts w:eastAsia="Calibri"/>
                <w:b/>
                <w:bCs/>
                <w:color w:val="000000" w:themeColor="text1"/>
                <w:sz w:val="22"/>
                <w:szCs w:val="22"/>
              </w:rPr>
              <w:t>Techniniai pranašumai (T)</w:t>
            </w:r>
          </w:p>
        </w:tc>
        <w:tc>
          <w:tcPr>
            <w:tcW w:w="2880"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Y=30</w:t>
            </w:r>
          </w:p>
        </w:tc>
      </w:tr>
      <w:tr w:rsidR="00C877B7" w:rsidRPr="009A60D9" w:rsidTr="001B722B">
        <w:tc>
          <w:tcPr>
            <w:tcW w:w="782"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center"/>
              <w:rPr>
                <w:rFonts w:eastAsia="Calibri"/>
                <w:b/>
                <w:bCs/>
                <w:color w:val="000000" w:themeColor="text1"/>
                <w:sz w:val="22"/>
                <w:szCs w:val="22"/>
              </w:rPr>
            </w:pPr>
            <w:r w:rsidRPr="009A60D9">
              <w:rPr>
                <w:rFonts w:eastAsia="Calibri"/>
                <w:b/>
                <w:bCs/>
                <w:color w:val="000000" w:themeColor="text1"/>
                <w:sz w:val="22"/>
                <w:szCs w:val="22"/>
              </w:rPr>
              <w:t>Nr.</w:t>
            </w:r>
          </w:p>
        </w:tc>
        <w:tc>
          <w:tcPr>
            <w:tcW w:w="2762"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Parametrai</w:t>
            </w:r>
          </w:p>
        </w:tc>
        <w:tc>
          <w:tcPr>
            <w:tcW w:w="1418"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Vertinimo būdas</w:t>
            </w:r>
          </w:p>
        </w:tc>
        <w:tc>
          <w:tcPr>
            <w:tcW w:w="1797"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2880" w:type="dxa"/>
            <w:shd w:val="clear" w:color="auto" w:fill="auto"/>
            <w:vAlign w:val="center"/>
            <w:hideMark/>
          </w:tcPr>
          <w:p w:rsidR="00C877B7" w:rsidRPr="009A60D9" w:rsidRDefault="00C877B7" w:rsidP="004165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9A60D9">
              <w:rPr>
                <w:rFonts w:eastAsia="Calibri"/>
                <w:b/>
                <w:bCs/>
                <w:color w:val="000000" w:themeColor="text1"/>
                <w:sz w:val="22"/>
                <w:szCs w:val="22"/>
              </w:rPr>
              <w:t> </w:t>
            </w:r>
          </w:p>
        </w:tc>
      </w:tr>
      <w:tr w:rsidR="003154C7" w:rsidRPr="009A60D9" w:rsidTr="001B722B">
        <w:tc>
          <w:tcPr>
            <w:tcW w:w="782" w:type="dxa"/>
            <w:tcBorders>
              <w:top w:val="single" w:sz="4" w:space="0" w:color="auto"/>
              <w:left w:val="single" w:sz="4" w:space="0" w:color="auto"/>
              <w:bottom w:val="single" w:sz="4" w:space="0" w:color="auto"/>
              <w:right w:val="single" w:sz="4" w:space="0" w:color="auto"/>
            </w:tcBorders>
            <w:vAlign w:val="center"/>
          </w:tcPr>
          <w:p w:rsidR="003154C7" w:rsidRPr="003154C7" w:rsidRDefault="003154C7" w:rsidP="003154C7">
            <w:pPr>
              <w:spacing w:line="256" w:lineRule="auto"/>
              <w:ind w:right="-81"/>
              <w:jc w:val="center"/>
              <w:rPr>
                <w:rFonts w:eastAsia="Times New Roman"/>
                <w:b/>
                <w:color w:val="000000" w:themeColor="text1"/>
                <w:sz w:val="22"/>
                <w:szCs w:val="22"/>
              </w:rPr>
            </w:pPr>
            <w:r w:rsidRPr="003154C7">
              <w:rPr>
                <w:rFonts w:eastAsia="Times New Roman"/>
                <w:color w:val="000000" w:themeColor="text1"/>
                <w:sz w:val="22"/>
                <w:szCs w:val="22"/>
              </w:rPr>
              <w:t>T</w:t>
            </w:r>
            <w:r w:rsidRPr="003154C7">
              <w:rPr>
                <w:rFonts w:eastAsia="Times New Roman"/>
                <w:color w:val="000000" w:themeColor="text1"/>
                <w:sz w:val="22"/>
                <w:szCs w:val="22"/>
                <w:vertAlign w:val="subscript"/>
              </w:rPr>
              <w:t>1</w:t>
            </w:r>
          </w:p>
        </w:tc>
        <w:tc>
          <w:tcPr>
            <w:tcW w:w="2762" w:type="dxa"/>
            <w:tcBorders>
              <w:top w:val="single" w:sz="4" w:space="0" w:color="auto"/>
              <w:left w:val="single" w:sz="4" w:space="0" w:color="auto"/>
              <w:bottom w:val="single" w:sz="4" w:space="0" w:color="auto"/>
              <w:right w:val="single" w:sz="4" w:space="0" w:color="auto"/>
            </w:tcBorders>
          </w:tcPr>
          <w:p w:rsidR="003154C7" w:rsidRPr="003154C7" w:rsidRDefault="003154C7" w:rsidP="003154C7">
            <w:pPr>
              <w:spacing w:line="256" w:lineRule="auto"/>
              <w:ind w:right="-108"/>
              <w:rPr>
                <w:rFonts w:eastAsia="Times New Roman"/>
                <w:color w:val="000000" w:themeColor="text1"/>
                <w:sz w:val="22"/>
                <w:szCs w:val="22"/>
              </w:rPr>
            </w:pPr>
            <w:r w:rsidRPr="003154C7">
              <w:rPr>
                <w:rFonts w:eastAsia="Times New Roman"/>
                <w:color w:val="000000" w:themeColor="text1"/>
                <w:sz w:val="22"/>
                <w:szCs w:val="22"/>
              </w:rPr>
              <w:t>Papildomas antras skalavimo etapas plovimo – dezinfekavimo cikle (techninės specifikacijos p. 9)</w:t>
            </w:r>
          </w:p>
        </w:tc>
        <w:tc>
          <w:tcPr>
            <w:tcW w:w="1418" w:type="dxa"/>
            <w:tcBorders>
              <w:top w:val="single" w:sz="4" w:space="0" w:color="auto"/>
              <w:left w:val="single" w:sz="4" w:space="0" w:color="auto"/>
              <w:bottom w:val="single" w:sz="4" w:space="0" w:color="auto"/>
              <w:right w:val="single" w:sz="4" w:space="0" w:color="auto"/>
            </w:tcBorders>
            <w:vAlign w:val="center"/>
          </w:tcPr>
          <w:p w:rsidR="003154C7" w:rsidRPr="003154C7" w:rsidRDefault="003154C7" w:rsidP="003154C7">
            <w:pPr>
              <w:jc w:val="center"/>
              <w:rPr>
                <w:rFonts w:eastAsia="Times New Roman"/>
                <w:color w:val="000000" w:themeColor="text1"/>
                <w:sz w:val="22"/>
                <w:szCs w:val="22"/>
              </w:rPr>
            </w:pPr>
            <w:r w:rsidRPr="003154C7">
              <w:rPr>
                <w:rFonts w:eastAsia="Times New Roman"/>
                <w:color w:val="000000" w:themeColor="text1"/>
                <w:sz w:val="22"/>
                <w:szCs w:val="22"/>
              </w:rPr>
              <w:t>Statinis: (taip/ne)</w:t>
            </w:r>
          </w:p>
        </w:tc>
        <w:tc>
          <w:tcPr>
            <w:tcW w:w="1797" w:type="dxa"/>
            <w:tcBorders>
              <w:top w:val="single" w:sz="4" w:space="0" w:color="auto"/>
              <w:left w:val="single" w:sz="4" w:space="0" w:color="auto"/>
              <w:bottom w:val="single" w:sz="4" w:space="0" w:color="auto"/>
              <w:right w:val="single" w:sz="4" w:space="0" w:color="auto"/>
            </w:tcBorders>
            <w:vAlign w:val="center"/>
          </w:tcPr>
          <w:p w:rsidR="003154C7" w:rsidRPr="003154C7" w:rsidRDefault="003154C7" w:rsidP="003154C7">
            <w:pPr>
              <w:spacing w:line="256" w:lineRule="auto"/>
              <w:ind w:right="-250" w:hanging="108"/>
              <w:jc w:val="center"/>
              <w:rPr>
                <w:rFonts w:eastAsia="Times New Roman"/>
                <w:b/>
                <w:color w:val="000000" w:themeColor="text1"/>
                <w:sz w:val="22"/>
                <w:szCs w:val="22"/>
              </w:rPr>
            </w:pPr>
            <w:r w:rsidRPr="003154C7">
              <w:rPr>
                <w:rFonts w:eastAsia="Times New Roman"/>
                <w:color w:val="000000" w:themeColor="text1"/>
                <w:sz w:val="22"/>
                <w:szCs w:val="22"/>
              </w:rPr>
              <w:t>L</w:t>
            </w:r>
            <w:r w:rsidRPr="003154C7">
              <w:rPr>
                <w:rFonts w:eastAsia="Times New Roman"/>
                <w:color w:val="000000" w:themeColor="text1"/>
                <w:sz w:val="22"/>
                <w:szCs w:val="22"/>
                <w:vertAlign w:val="subscript"/>
              </w:rPr>
              <w:t>1</w:t>
            </w:r>
            <w:r w:rsidRPr="003154C7">
              <w:rPr>
                <w:rFonts w:eastAsia="Times New Roman"/>
                <w:color w:val="000000" w:themeColor="text1"/>
                <w:sz w:val="22"/>
                <w:szCs w:val="22"/>
              </w:rPr>
              <w:t xml:space="preserve"> = 0,3</w:t>
            </w:r>
          </w:p>
        </w:tc>
        <w:tc>
          <w:tcPr>
            <w:tcW w:w="2880" w:type="dxa"/>
            <w:tcBorders>
              <w:top w:val="single" w:sz="4" w:space="0" w:color="auto"/>
              <w:left w:val="single" w:sz="4" w:space="0" w:color="auto"/>
              <w:bottom w:val="single" w:sz="4" w:space="0" w:color="auto"/>
              <w:right w:val="single" w:sz="4" w:space="0" w:color="auto"/>
            </w:tcBorders>
            <w:vAlign w:val="center"/>
          </w:tcPr>
          <w:p w:rsidR="003154C7" w:rsidRPr="009A60D9" w:rsidRDefault="003154C7" w:rsidP="003154C7">
            <w:pPr>
              <w:jc w:val="center"/>
              <w:rPr>
                <w:color w:val="000000" w:themeColor="text1"/>
                <w:sz w:val="22"/>
                <w:szCs w:val="22"/>
              </w:rPr>
            </w:pPr>
          </w:p>
        </w:tc>
      </w:tr>
      <w:tr w:rsidR="003154C7" w:rsidRPr="009A60D9" w:rsidTr="001B722B">
        <w:tc>
          <w:tcPr>
            <w:tcW w:w="782" w:type="dxa"/>
            <w:tcBorders>
              <w:top w:val="single" w:sz="4" w:space="0" w:color="auto"/>
              <w:left w:val="single" w:sz="4" w:space="0" w:color="auto"/>
              <w:bottom w:val="single" w:sz="4" w:space="0" w:color="auto"/>
              <w:right w:val="single" w:sz="4" w:space="0" w:color="auto"/>
            </w:tcBorders>
            <w:vAlign w:val="center"/>
          </w:tcPr>
          <w:p w:rsidR="003154C7" w:rsidRPr="003154C7" w:rsidRDefault="003154C7" w:rsidP="003154C7">
            <w:pPr>
              <w:jc w:val="center"/>
              <w:rPr>
                <w:rFonts w:eastAsia="Times New Roman"/>
                <w:color w:val="000000" w:themeColor="text1"/>
                <w:sz w:val="22"/>
                <w:szCs w:val="22"/>
              </w:rPr>
            </w:pPr>
            <w:r w:rsidRPr="003154C7">
              <w:rPr>
                <w:rFonts w:eastAsia="Times New Roman"/>
                <w:color w:val="000000" w:themeColor="text1"/>
                <w:sz w:val="22"/>
                <w:szCs w:val="22"/>
              </w:rPr>
              <w:t>T</w:t>
            </w:r>
            <w:r w:rsidRPr="003154C7">
              <w:rPr>
                <w:rFonts w:eastAsia="Times New Roman"/>
                <w:color w:val="000000" w:themeColor="text1"/>
                <w:sz w:val="22"/>
                <w:szCs w:val="22"/>
                <w:vertAlign w:val="subscript"/>
              </w:rPr>
              <w:t>2</w:t>
            </w:r>
          </w:p>
        </w:tc>
        <w:tc>
          <w:tcPr>
            <w:tcW w:w="2762" w:type="dxa"/>
            <w:tcBorders>
              <w:top w:val="single" w:sz="4" w:space="0" w:color="auto"/>
              <w:left w:val="single" w:sz="4" w:space="0" w:color="auto"/>
              <w:bottom w:val="single" w:sz="4" w:space="0" w:color="auto"/>
              <w:right w:val="single" w:sz="4" w:space="0" w:color="auto"/>
            </w:tcBorders>
            <w:vAlign w:val="center"/>
          </w:tcPr>
          <w:p w:rsidR="003154C7" w:rsidRPr="003154C7" w:rsidRDefault="003154C7" w:rsidP="003154C7">
            <w:pPr>
              <w:jc w:val="both"/>
              <w:rPr>
                <w:color w:val="000000" w:themeColor="text1"/>
                <w:sz w:val="22"/>
                <w:szCs w:val="22"/>
              </w:rPr>
            </w:pPr>
            <w:r w:rsidRPr="003154C7">
              <w:rPr>
                <w:color w:val="000000" w:themeColor="text1"/>
                <w:sz w:val="22"/>
                <w:szCs w:val="22"/>
              </w:rPr>
              <w:t xml:space="preserve">Dezinfekcijos procesui naudojama dezinfekcinė medžiaga (techninės specifikacijos p. 11.1) – gliuteraldehidas </w:t>
            </w:r>
          </w:p>
        </w:tc>
        <w:tc>
          <w:tcPr>
            <w:tcW w:w="1418" w:type="dxa"/>
            <w:tcBorders>
              <w:top w:val="single" w:sz="4" w:space="0" w:color="auto"/>
              <w:left w:val="single" w:sz="4" w:space="0" w:color="auto"/>
              <w:bottom w:val="single" w:sz="4" w:space="0" w:color="auto"/>
              <w:right w:val="single" w:sz="4" w:space="0" w:color="auto"/>
            </w:tcBorders>
            <w:vAlign w:val="center"/>
          </w:tcPr>
          <w:p w:rsidR="003154C7" w:rsidRPr="003154C7" w:rsidRDefault="003154C7" w:rsidP="003154C7">
            <w:pPr>
              <w:jc w:val="center"/>
              <w:rPr>
                <w:rFonts w:eastAsia="Times New Roman"/>
                <w:color w:val="000000" w:themeColor="text1"/>
                <w:sz w:val="22"/>
                <w:szCs w:val="22"/>
              </w:rPr>
            </w:pPr>
            <w:r w:rsidRPr="003154C7">
              <w:rPr>
                <w:rFonts w:eastAsia="Times New Roman"/>
                <w:color w:val="000000" w:themeColor="text1"/>
                <w:sz w:val="22"/>
                <w:szCs w:val="22"/>
              </w:rPr>
              <w:t xml:space="preserve">Statinis: </w:t>
            </w:r>
          </w:p>
          <w:p w:rsidR="003154C7" w:rsidRPr="003154C7" w:rsidRDefault="003154C7" w:rsidP="003154C7">
            <w:pPr>
              <w:jc w:val="center"/>
              <w:rPr>
                <w:rFonts w:eastAsia="Times New Roman"/>
                <w:color w:val="000000" w:themeColor="text1"/>
                <w:sz w:val="22"/>
                <w:szCs w:val="22"/>
              </w:rPr>
            </w:pPr>
            <w:r w:rsidRPr="003154C7">
              <w:rPr>
                <w:rFonts w:eastAsia="Times New Roman"/>
                <w:color w:val="000000" w:themeColor="text1"/>
                <w:sz w:val="22"/>
                <w:szCs w:val="22"/>
              </w:rPr>
              <w:t>(taip/ne)</w:t>
            </w:r>
          </w:p>
        </w:tc>
        <w:tc>
          <w:tcPr>
            <w:tcW w:w="1797" w:type="dxa"/>
            <w:tcBorders>
              <w:top w:val="single" w:sz="4" w:space="0" w:color="auto"/>
              <w:left w:val="single" w:sz="4" w:space="0" w:color="auto"/>
              <w:bottom w:val="single" w:sz="4" w:space="0" w:color="auto"/>
              <w:right w:val="single" w:sz="4" w:space="0" w:color="auto"/>
            </w:tcBorders>
            <w:vAlign w:val="center"/>
          </w:tcPr>
          <w:p w:rsidR="003154C7" w:rsidRPr="003154C7" w:rsidRDefault="003154C7" w:rsidP="003154C7">
            <w:pPr>
              <w:ind w:left="522" w:hanging="491"/>
              <w:jc w:val="center"/>
              <w:rPr>
                <w:rFonts w:eastAsia="Times New Roman"/>
                <w:color w:val="000000" w:themeColor="text1"/>
                <w:sz w:val="22"/>
                <w:szCs w:val="22"/>
              </w:rPr>
            </w:pPr>
            <w:r w:rsidRPr="003154C7">
              <w:rPr>
                <w:rFonts w:eastAsia="Times New Roman"/>
                <w:color w:val="000000" w:themeColor="text1"/>
                <w:sz w:val="22"/>
                <w:szCs w:val="22"/>
              </w:rPr>
              <w:t>L</w:t>
            </w:r>
            <w:r w:rsidRPr="003154C7">
              <w:rPr>
                <w:rFonts w:eastAsia="Times New Roman"/>
                <w:color w:val="000000" w:themeColor="text1"/>
                <w:sz w:val="22"/>
                <w:szCs w:val="22"/>
                <w:vertAlign w:val="subscript"/>
              </w:rPr>
              <w:t>2</w:t>
            </w:r>
            <w:r w:rsidRPr="003154C7">
              <w:rPr>
                <w:rFonts w:eastAsia="Times New Roman"/>
                <w:color w:val="000000" w:themeColor="text1"/>
                <w:sz w:val="22"/>
                <w:szCs w:val="22"/>
              </w:rPr>
              <w:t xml:space="preserve"> = 0,7</w:t>
            </w:r>
          </w:p>
        </w:tc>
        <w:tc>
          <w:tcPr>
            <w:tcW w:w="2880" w:type="dxa"/>
            <w:tcBorders>
              <w:top w:val="single" w:sz="4" w:space="0" w:color="auto"/>
              <w:left w:val="single" w:sz="4" w:space="0" w:color="auto"/>
              <w:bottom w:val="single" w:sz="4" w:space="0" w:color="auto"/>
              <w:right w:val="single" w:sz="4" w:space="0" w:color="auto"/>
            </w:tcBorders>
            <w:vAlign w:val="center"/>
          </w:tcPr>
          <w:p w:rsidR="003154C7" w:rsidRPr="009A60D9" w:rsidRDefault="003154C7" w:rsidP="003154C7">
            <w:pPr>
              <w:jc w:val="center"/>
              <w:rPr>
                <w:color w:val="000000" w:themeColor="text1"/>
                <w:sz w:val="22"/>
                <w:szCs w:val="22"/>
              </w:rPr>
            </w:pPr>
          </w:p>
        </w:tc>
      </w:tr>
    </w:tbl>
    <w:p w:rsidR="005E4047" w:rsidRPr="005E4047" w:rsidRDefault="005E4047" w:rsidP="005E4047">
      <w:pPr>
        <w:shd w:val="clear" w:color="auto" w:fill="FFFFFF"/>
        <w:ind w:firstLine="567"/>
        <w:jc w:val="both"/>
        <w:rPr>
          <w:color w:val="000000" w:themeColor="text1"/>
          <w:sz w:val="22"/>
          <w:szCs w:val="22"/>
        </w:rPr>
      </w:pPr>
      <w:r w:rsidRPr="005E4047">
        <w:rPr>
          <w:color w:val="000000" w:themeColor="text1"/>
          <w:sz w:val="22"/>
          <w:szCs w:val="22"/>
        </w:rPr>
        <w:t xml:space="preserve">14.6.2. </w:t>
      </w:r>
      <w:r w:rsidRPr="005E4047">
        <w:rPr>
          <w:color w:val="000000" w:themeColor="text1"/>
          <w:sz w:val="22"/>
          <w:szCs w:val="22"/>
        </w:rPr>
        <w:t>Pasiūlymo ekonominio naudingumo (kainos ir kokybės santykio) apskaičiavimo tvarka (formulė) yra pateikiama žemiau:</w:t>
      </w:r>
    </w:p>
    <w:p w:rsidR="005E4047" w:rsidRPr="005E4047" w:rsidRDefault="005E4047" w:rsidP="005E4047">
      <w:pPr>
        <w:pStyle w:val="ListParagraph"/>
        <w:shd w:val="clear" w:color="auto" w:fill="FFFFFF"/>
        <w:ind w:left="0" w:firstLine="567"/>
        <w:jc w:val="both"/>
        <w:rPr>
          <w:rFonts w:ascii="Times New Roman" w:hAnsi="Times New Roman"/>
          <w:noProof/>
          <w:color w:val="000000" w:themeColor="text1"/>
        </w:rPr>
      </w:pPr>
      <w:r w:rsidRPr="005E4047">
        <w:rPr>
          <w:rFonts w:ascii="Times New Roman" w:hAnsi="Times New Roman"/>
          <w:noProof/>
          <w:color w:val="000000" w:themeColor="text1"/>
        </w:rPr>
        <w:t>1. Pasiūlymo ekonominis naudingumas (E) apskaičiuojamas sudedant tiekėjo pasiūlymo kainos (K) ir techninių pranašumų (T) balus:</w:t>
      </w:r>
    </w:p>
    <w:p w:rsidR="005E4047" w:rsidRPr="005E4047" w:rsidRDefault="005E4047" w:rsidP="005E4047">
      <w:pPr>
        <w:shd w:val="clear" w:color="auto" w:fill="FFFFFF"/>
        <w:jc w:val="center"/>
        <w:rPr>
          <w:i/>
          <w:iCs/>
          <w:color w:val="000000" w:themeColor="text1"/>
          <w:sz w:val="22"/>
          <w:szCs w:val="22"/>
        </w:rPr>
      </w:pPr>
      <w:r w:rsidRPr="005E4047">
        <w:rPr>
          <w:i/>
          <w:iCs/>
          <w:color w:val="000000" w:themeColor="text1"/>
          <w:sz w:val="22"/>
          <w:szCs w:val="22"/>
        </w:rPr>
        <w:t xml:space="preserve">E </w:t>
      </w:r>
      <w:r w:rsidRPr="005E4047">
        <w:rPr>
          <w:color w:val="000000" w:themeColor="text1"/>
          <w:sz w:val="22"/>
          <w:szCs w:val="22"/>
        </w:rPr>
        <w:t xml:space="preserve">= </w:t>
      </w:r>
      <w:r w:rsidRPr="005E4047">
        <w:rPr>
          <w:i/>
          <w:color w:val="000000" w:themeColor="text1"/>
          <w:sz w:val="22"/>
          <w:szCs w:val="22"/>
        </w:rPr>
        <w:t>K</w:t>
      </w:r>
      <w:r w:rsidRPr="005E4047">
        <w:rPr>
          <w:i/>
          <w:iCs/>
          <w:color w:val="000000" w:themeColor="text1"/>
          <w:sz w:val="22"/>
          <w:szCs w:val="22"/>
        </w:rPr>
        <w:t>+ T</w:t>
      </w:r>
    </w:p>
    <w:p w:rsidR="005E4047" w:rsidRPr="005E4047" w:rsidRDefault="005E4047" w:rsidP="005E4047">
      <w:pPr>
        <w:shd w:val="clear" w:color="auto" w:fill="FFFFFF"/>
        <w:jc w:val="center"/>
        <w:rPr>
          <w:color w:val="000000" w:themeColor="text1"/>
          <w:sz w:val="22"/>
          <w:szCs w:val="22"/>
        </w:rPr>
      </w:pPr>
    </w:p>
    <w:p w:rsidR="005E4047" w:rsidRPr="005E4047" w:rsidRDefault="005E4047" w:rsidP="005E4047">
      <w:pPr>
        <w:pStyle w:val="ListParagraph"/>
        <w:shd w:val="clear" w:color="auto" w:fill="FFFFFF"/>
        <w:ind w:left="0" w:firstLine="567"/>
        <w:jc w:val="both"/>
        <w:rPr>
          <w:rFonts w:ascii="Times New Roman" w:hAnsi="Times New Roman"/>
          <w:noProof/>
          <w:color w:val="000000" w:themeColor="text1"/>
        </w:rPr>
      </w:pPr>
      <w:r w:rsidRPr="005E4047">
        <w:rPr>
          <w:rFonts w:ascii="Times New Roman" w:hAnsi="Times New Roman"/>
          <w:noProof/>
          <w:color w:val="000000" w:themeColor="text1"/>
        </w:rPr>
        <w:t>2. Pasiūlymo kainos (K) balai apskaičiuojami mažiausios pasiūlytos kainos (K</w:t>
      </w:r>
      <w:r w:rsidRPr="005E4047">
        <w:rPr>
          <w:rFonts w:ascii="Times New Roman" w:hAnsi="Times New Roman"/>
          <w:noProof/>
          <w:color w:val="000000" w:themeColor="text1"/>
          <w:vertAlign w:val="subscript"/>
        </w:rPr>
        <w:t>min</w:t>
      </w:r>
      <w:r w:rsidRPr="005E4047">
        <w:rPr>
          <w:rFonts w:ascii="Times New Roman" w:hAnsi="Times New Roman"/>
          <w:noProof/>
          <w:color w:val="000000" w:themeColor="text1"/>
        </w:rPr>
        <w:t>) ir vertinamo pasiūlymo kainos (K</w:t>
      </w:r>
      <w:r w:rsidRPr="005E4047">
        <w:rPr>
          <w:rFonts w:ascii="Times New Roman" w:hAnsi="Times New Roman"/>
          <w:noProof/>
          <w:color w:val="000000" w:themeColor="text1"/>
          <w:vertAlign w:val="subscript"/>
        </w:rPr>
        <w:t>v</w:t>
      </w:r>
      <w:r w:rsidRPr="005E4047">
        <w:rPr>
          <w:rFonts w:ascii="Times New Roman" w:hAnsi="Times New Roman"/>
          <w:noProof/>
          <w:color w:val="000000" w:themeColor="text1"/>
        </w:rPr>
        <w:t>) santykį padauginant iš kainos lyginamojo svorio (X):</w:t>
      </w:r>
    </w:p>
    <w:p w:rsidR="005E4047" w:rsidRPr="005E4047" w:rsidRDefault="005E4047" w:rsidP="005E4047">
      <w:pPr>
        <w:shd w:val="clear" w:color="auto" w:fill="FFFFFF"/>
        <w:jc w:val="center"/>
        <w:rPr>
          <w:rFonts w:eastAsiaTheme="minorEastAsia"/>
          <w:color w:val="000000" w:themeColor="text1"/>
          <w:sz w:val="22"/>
          <w:szCs w:val="22"/>
        </w:rPr>
      </w:pPr>
      <m:oMathPara>
        <m:oMath>
          <m:r>
            <w:rPr>
              <w:rFonts w:ascii="Cambria Math" w:hAnsi="Cambria Math"/>
              <w:color w:val="000000" w:themeColor="text1"/>
              <w:sz w:val="22"/>
              <w:szCs w:val="22"/>
            </w:rPr>
            <m:t>K=</m:t>
          </m:r>
          <m:f>
            <m:fPr>
              <m:ctrlPr>
                <w:rPr>
                  <w:rFonts w:ascii="Cambria Math" w:hAnsi="Cambria Math"/>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min</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v</m:t>
                  </m:r>
                </m:sub>
              </m:sSub>
            </m:den>
          </m:f>
          <m:r>
            <w:rPr>
              <w:rFonts w:ascii="Cambria Math" w:hAnsi="Cambria Math"/>
              <w:color w:val="000000" w:themeColor="text1"/>
              <w:sz w:val="22"/>
              <w:szCs w:val="22"/>
            </w:rPr>
            <m:t xml:space="preserve"> ×X</m:t>
          </m:r>
        </m:oMath>
      </m:oMathPara>
    </w:p>
    <w:p w:rsidR="005E4047" w:rsidRPr="005E4047" w:rsidRDefault="005E4047" w:rsidP="005E4047">
      <w:pPr>
        <w:shd w:val="clear" w:color="auto" w:fill="FFFFFF"/>
        <w:jc w:val="center"/>
        <w:rPr>
          <w:rFonts w:eastAsiaTheme="minorEastAsia"/>
          <w:color w:val="000000" w:themeColor="text1"/>
          <w:sz w:val="22"/>
          <w:szCs w:val="22"/>
        </w:rPr>
      </w:pPr>
    </w:p>
    <w:p w:rsidR="005E4047" w:rsidRPr="005E4047" w:rsidRDefault="005E4047" w:rsidP="00641698">
      <w:pPr>
        <w:ind w:firstLine="567"/>
        <w:jc w:val="both"/>
        <w:rPr>
          <w:color w:val="000000" w:themeColor="text1"/>
          <w:sz w:val="22"/>
          <w:szCs w:val="22"/>
          <w:bdr w:val="none" w:sz="0" w:space="0" w:color="auto" w:frame="1"/>
        </w:rPr>
      </w:pPr>
      <w:r w:rsidRPr="005E4047">
        <w:rPr>
          <w:color w:val="000000" w:themeColor="text1"/>
          <w:sz w:val="22"/>
          <w:szCs w:val="22"/>
          <w:bdr w:val="none" w:sz="0" w:space="0" w:color="auto" w:frame="1"/>
        </w:rPr>
        <w:t>3. Siūlomo objekto T</w:t>
      </w:r>
      <w:r w:rsidRPr="005E4047">
        <w:rPr>
          <w:color w:val="000000" w:themeColor="text1"/>
          <w:sz w:val="22"/>
          <w:szCs w:val="22"/>
          <w:bdr w:val="none" w:sz="0" w:space="0" w:color="auto" w:frame="1"/>
          <w:vertAlign w:val="subscript"/>
        </w:rPr>
        <w:t>i</w:t>
      </w:r>
      <w:r w:rsidRPr="005E4047">
        <w:rPr>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5E4047" w:rsidRPr="005E4047" w:rsidRDefault="005E4047" w:rsidP="005E4047">
      <w:pPr>
        <w:ind w:firstLine="1134"/>
        <w:jc w:val="both"/>
        <w:rPr>
          <w:color w:val="000000" w:themeColor="text1"/>
          <w:sz w:val="22"/>
          <w:szCs w:val="22"/>
          <w:bdr w:val="none" w:sz="0" w:space="0" w:color="auto" w:frame="1"/>
        </w:rPr>
      </w:pPr>
      <w:r w:rsidRPr="005E4047">
        <w:rPr>
          <w:color w:val="000000" w:themeColor="text1"/>
          <w:sz w:val="22"/>
          <w:szCs w:val="22"/>
          <w:bdr w:val="none" w:sz="0" w:space="0" w:color="auto" w:frame="1"/>
        </w:rPr>
        <w:t xml:space="preserve">Jei siūlomas objektas turi nurodytą pranašumą: </w:t>
      </w:r>
      <w:r w:rsidRPr="005E4047">
        <w:rPr>
          <w:i/>
          <w:color w:val="000000" w:themeColor="text1"/>
          <w:sz w:val="22"/>
          <w:szCs w:val="22"/>
          <w:bdr w:val="none" w:sz="0" w:space="0" w:color="auto" w:frame="1"/>
        </w:rPr>
        <w:t>T</w:t>
      </w:r>
      <w:r w:rsidRPr="005E4047">
        <w:rPr>
          <w:i/>
          <w:color w:val="000000" w:themeColor="text1"/>
          <w:sz w:val="22"/>
          <w:szCs w:val="22"/>
          <w:bdr w:val="none" w:sz="0" w:space="0" w:color="auto" w:frame="1"/>
          <w:vertAlign w:val="subscript"/>
        </w:rPr>
        <w:t>i</w:t>
      </w:r>
      <w:r w:rsidRPr="005E4047">
        <w:rPr>
          <w:i/>
          <w:color w:val="000000" w:themeColor="text1"/>
          <w:sz w:val="22"/>
          <w:szCs w:val="22"/>
          <w:bdr w:val="none" w:sz="0" w:space="0" w:color="auto" w:frame="1"/>
        </w:rPr>
        <w:t xml:space="preserve"> = L</w:t>
      </w:r>
      <w:r w:rsidRPr="005E4047">
        <w:rPr>
          <w:i/>
          <w:color w:val="000000" w:themeColor="text1"/>
          <w:sz w:val="22"/>
          <w:szCs w:val="22"/>
          <w:bdr w:val="none" w:sz="0" w:space="0" w:color="auto" w:frame="1"/>
          <w:vertAlign w:val="subscript"/>
        </w:rPr>
        <w:t>i</w:t>
      </w:r>
      <w:r w:rsidRPr="005E4047">
        <w:rPr>
          <w:i/>
          <w:color w:val="000000" w:themeColor="text1"/>
          <w:sz w:val="22"/>
          <w:szCs w:val="22"/>
          <w:bdr w:val="none" w:sz="0" w:space="0" w:color="auto" w:frame="1"/>
        </w:rPr>
        <w:t>;</w:t>
      </w:r>
    </w:p>
    <w:p w:rsidR="005E4047" w:rsidRPr="005E4047" w:rsidRDefault="005E4047" w:rsidP="005E4047">
      <w:pPr>
        <w:ind w:firstLine="1134"/>
        <w:rPr>
          <w:i/>
          <w:color w:val="000000" w:themeColor="text1"/>
          <w:sz w:val="22"/>
          <w:szCs w:val="22"/>
          <w:bdr w:val="none" w:sz="0" w:space="0" w:color="auto" w:frame="1"/>
        </w:rPr>
      </w:pPr>
      <w:r w:rsidRPr="005E4047">
        <w:rPr>
          <w:color w:val="000000" w:themeColor="text1"/>
          <w:sz w:val="22"/>
          <w:szCs w:val="22"/>
          <w:bdr w:val="none" w:sz="0" w:space="0" w:color="auto" w:frame="1"/>
        </w:rPr>
        <w:t xml:space="preserve">Jei siūlomas objektas neturi nurodyto pranašumo: </w:t>
      </w:r>
      <w:r w:rsidRPr="005E4047">
        <w:rPr>
          <w:i/>
          <w:color w:val="000000" w:themeColor="text1"/>
          <w:sz w:val="22"/>
          <w:szCs w:val="22"/>
          <w:bdr w:val="none" w:sz="0" w:space="0" w:color="auto" w:frame="1"/>
        </w:rPr>
        <w:t>T</w:t>
      </w:r>
      <w:r w:rsidRPr="005E4047">
        <w:rPr>
          <w:i/>
          <w:color w:val="000000" w:themeColor="text1"/>
          <w:sz w:val="22"/>
          <w:szCs w:val="22"/>
          <w:bdr w:val="none" w:sz="0" w:space="0" w:color="auto" w:frame="1"/>
          <w:vertAlign w:val="subscript"/>
        </w:rPr>
        <w:t>i</w:t>
      </w:r>
      <w:r w:rsidRPr="005E4047">
        <w:rPr>
          <w:i/>
          <w:color w:val="000000" w:themeColor="text1"/>
          <w:sz w:val="22"/>
          <w:szCs w:val="22"/>
          <w:bdr w:val="none" w:sz="0" w:space="0" w:color="auto" w:frame="1"/>
        </w:rPr>
        <w:t xml:space="preserve"> = L</w:t>
      </w:r>
      <w:r w:rsidRPr="005E4047">
        <w:rPr>
          <w:i/>
          <w:color w:val="000000" w:themeColor="text1"/>
          <w:sz w:val="22"/>
          <w:szCs w:val="22"/>
          <w:bdr w:val="none" w:sz="0" w:space="0" w:color="auto" w:frame="1"/>
          <w:vertAlign w:val="subscript"/>
        </w:rPr>
        <w:t>i</w:t>
      </w:r>
      <w:r w:rsidRPr="005E4047">
        <w:rPr>
          <w:i/>
          <w:color w:val="000000" w:themeColor="text1"/>
          <w:sz w:val="22"/>
          <w:szCs w:val="22"/>
          <w:bdr w:val="none" w:sz="0" w:space="0" w:color="auto" w:frame="1"/>
        </w:rPr>
        <w:t>= 0;</w:t>
      </w:r>
    </w:p>
    <w:p w:rsidR="005E4047" w:rsidRPr="005E4047" w:rsidRDefault="005E4047" w:rsidP="005E4047">
      <w:pPr>
        <w:shd w:val="clear" w:color="auto" w:fill="FFFFFF"/>
        <w:jc w:val="both"/>
        <w:rPr>
          <w:color w:val="000000" w:themeColor="text1"/>
          <w:sz w:val="22"/>
          <w:szCs w:val="22"/>
          <w:bdr w:val="none" w:sz="0" w:space="0" w:color="auto" w:frame="1"/>
        </w:rPr>
      </w:pPr>
    </w:p>
    <w:p w:rsidR="005E4047" w:rsidRPr="005E4047" w:rsidRDefault="005E4047" w:rsidP="005E4047">
      <w:pPr>
        <w:shd w:val="clear" w:color="auto" w:fill="FFFFFF"/>
        <w:ind w:firstLine="567"/>
        <w:jc w:val="both"/>
        <w:rPr>
          <w:color w:val="000000" w:themeColor="text1"/>
          <w:sz w:val="22"/>
          <w:szCs w:val="22"/>
          <w:bdr w:val="none" w:sz="0" w:space="0" w:color="auto" w:frame="1"/>
        </w:rPr>
      </w:pPr>
      <w:r w:rsidRPr="005E4047">
        <w:rPr>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5E4047" w:rsidRPr="005E4047" w:rsidRDefault="005E4047" w:rsidP="005E4047">
      <w:pPr>
        <w:jc w:val="center"/>
        <w:rPr>
          <w:rFonts w:eastAsiaTheme="minorEastAs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2</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5E4047" w:rsidRPr="005E4047" w:rsidRDefault="005E4047" w:rsidP="005E4047">
      <w:pPr>
        <w:jc w:val="center"/>
        <w:rPr>
          <w:color w:val="000000" w:themeColor="text1"/>
          <w:sz w:val="22"/>
          <w:szCs w:val="22"/>
          <w:bdr w:val="none" w:sz="0" w:space="0" w:color="auto" w:frame="1"/>
        </w:rPr>
      </w:pPr>
    </w:p>
    <w:p w:rsidR="005E4047" w:rsidRPr="005E4047" w:rsidRDefault="005E4047" w:rsidP="005E4047">
      <w:pPr>
        <w:ind w:firstLine="426"/>
        <w:jc w:val="both"/>
        <w:rPr>
          <w:rFonts w:eastAsia="Calibri"/>
          <w:color w:val="000000" w:themeColor="text1"/>
          <w:sz w:val="22"/>
          <w:szCs w:val="22"/>
        </w:rPr>
      </w:pPr>
      <w:r w:rsidRPr="005E4047">
        <w:rPr>
          <w:color w:val="000000" w:themeColor="text1"/>
          <w:sz w:val="22"/>
          <w:szCs w:val="22"/>
          <w:lang w:bidi="hi-IN"/>
        </w:rPr>
        <w:t xml:space="preserve">14.6.3. </w:t>
      </w:r>
      <w:r w:rsidRPr="005E4047">
        <w:rPr>
          <w:color w:val="000000" w:themeColor="text1"/>
          <w:sz w:val="22"/>
          <w:szCs w:val="22"/>
          <w:lang w:bidi="hi-IN"/>
        </w:rPr>
        <w:t>Laimėjusiu Pasiūlymu bus pripažintas Pasiūlymas, atitinkantis visus Pirkimo dokumentuose nustatytus reikalavimus, kurio ekonominis naudingumas (E) bus didžiausias.</w:t>
      </w:r>
    </w:p>
    <w:p w:rsidR="005E4047" w:rsidRPr="005E4047" w:rsidRDefault="005E4047" w:rsidP="005E4047">
      <w:pPr>
        <w:ind w:firstLine="426"/>
        <w:jc w:val="both"/>
        <w:rPr>
          <w:color w:val="000000" w:themeColor="text1"/>
          <w:sz w:val="22"/>
          <w:szCs w:val="22"/>
        </w:rPr>
      </w:pPr>
      <w:r w:rsidRPr="005E4047">
        <w:rPr>
          <w:color w:val="000000" w:themeColor="text1"/>
          <w:sz w:val="22"/>
          <w:szCs w:val="22"/>
        </w:rPr>
        <w:t>14.6.4</w:t>
      </w:r>
      <w:r w:rsidRPr="005E4047">
        <w:rPr>
          <w:color w:val="000000" w:themeColor="text1"/>
          <w:sz w:val="22"/>
          <w:szCs w:val="22"/>
        </w:rPr>
        <w:t xml:space="preserve">. </w:t>
      </w:r>
      <w:r w:rsidRPr="005E4047">
        <w:rPr>
          <w:rFonts w:eastAsia="Calibri"/>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5E4047">
        <w:rPr>
          <w:color w:val="000000" w:themeColor="text1"/>
          <w:sz w:val="22"/>
          <w:szCs w:val="22"/>
        </w:rPr>
        <w:t xml:space="preserve"> </w:t>
      </w:r>
    </w:p>
    <w:p w:rsidR="00C877B7" w:rsidRDefault="00C877B7"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2667C0" w:rsidRDefault="002667C0" w:rsidP="009033D4">
      <w:pPr>
        <w:pStyle w:val="Heading"/>
        <w:jc w:val="center"/>
        <w:rPr>
          <w:rFonts w:cs="Times New Roman"/>
          <w:color w:val="auto"/>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CB1BA7" w:rsidRPr="00CB1BA7">
        <w:rPr>
          <w:color w:val="000000"/>
          <w:sz w:val="22"/>
          <w:szCs w:val="22"/>
          <w:lang w:eastAsia="lt-LT"/>
        </w:rPr>
        <w:t xml:space="preserve"> endoskopinė įranga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4" w:name="_GoBack"/>
      <w:bookmarkEnd w:id="4"/>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4D6" w:rsidRDefault="00F534D6" w:rsidP="00D348FD">
      <w:r>
        <w:separator/>
      </w:r>
    </w:p>
  </w:endnote>
  <w:endnote w:type="continuationSeparator" w:id="0">
    <w:p w:rsidR="00F534D6" w:rsidRDefault="00F534D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D6" w:rsidRDefault="00F534D6">
    <w:pPr>
      <w:pStyle w:val="Footer"/>
      <w:jc w:val="right"/>
    </w:pPr>
  </w:p>
  <w:p w:rsidR="00F534D6" w:rsidRDefault="00F534D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D6" w:rsidRDefault="00F534D6">
    <w:pPr>
      <w:pStyle w:val="Footer"/>
      <w:jc w:val="right"/>
    </w:pPr>
  </w:p>
  <w:p w:rsidR="00F534D6" w:rsidRDefault="00F53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4D6" w:rsidRDefault="00F534D6" w:rsidP="00D348FD">
      <w:r>
        <w:separator/>
      </w:r>
    </w:p>
  </w:footnote>
  <w:footnote w:type="continuationSeparator" w:id="0">
    <w:p w:rsidR="00F534D6" w:rsidRDefault="00F534D6" w:rsidP="00D348FD">
      <w:r>
        <w:continuationSeparator/>
      </w:r>
    </w:p>
  </w:footnote>
  <w:footnote w:id="1">
    <w:p w:rsidR="00F534D6" w:rsidRPr="00C54A7B" w:rsidRDefault="00F534D6"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34D6" w:rsidRPr="00C54A7B" w:rsidRDefault="00F534D6" w:rsidP="00C54A7B">
      <w:pPr>
        <w:pStyle w:val="FootnoteText"/>
        <w:numPr>
          <w:ilvl w:val="0"/>
          <w:numId w:val="31"/>
        </w:numPr>
        <w:rPr>
          <w:rFonts w:eastAsia="Yu Mincho"/>
          <w:i/>
          <w:iCs/>
        </w:rPr>
      </w:pPr>
      <w:r w:rsidRPr="00C54A7B">
        <w:rPr>
          <w:rFonts w:eastAsia="Yu Mincho"/>
          <w:i/>
          <w:iCs/>
        </w:rPr>
        <w:t xml:space="preserve">priesaikos deklaracija; </w:t>
      </w:r>
    </w:p>
    <w:p w:rsidR="00F534D6" w:rsidRDefault="00F534D6"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1"/>
  </w:num>
  <w:num w:numId="10">
    <w:abstractNumId w:val="30"/>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29"/>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7"/>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55A4"/>
    <w:rsid w:val="00035661"/>
    <w:rsid w:val="00036299"/>
    <w:rsid w:val="00036AA2"/>
    <w:rsid w:val="00037AE6"/>
    <w:rsid w:val="0004206C"/>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91EC0"/>
    <w:rsid w:val="000A08F6"/>
    <w:rsid w:val="000A4E80"/>
    <w:rsid w:val="000A607B"/>
    <w:rsid w:val="000A6946"/>
    <w:rsid w:val="000E4AD1"/>
    <w:rsid w:val="000E69FA"/>
    <w:rsid w:val="000E7A0F"/>
    <w:rsid w:val="000F27B7"/>
    <w:rsid w:val="000F47D7"/>
    <w:rsid w:val="000F5073"/>
    <w:rsid w:val="000F594A"/>
    <w:rsid w:val="00101991"/>
    <w:rsid w:val="00105854"/>
    <w:rsid w:val="001134F3"/>
    <w:rsid w:val="00121503"/>
    <w:rsid w:val="001248B2"/>
    <w:rsid w:val="001309EE"/>
    <w:rsid w:val="001335F9"/>
    <w:rsid w:val="00135D44"/>
    <w:rsid w:val="00145AAB"/>
    <w:rsid w:val="00147765"/>
    <w:rsid w:val="001601E7"/>
    <w:rsid w:val="00166290"/>
    <w:rsid w:val="00172554"/>
    <w:rsid w:val="00172A3D"/>
    <w:rsid w:val="001740CF"/>
    <w:rsid w:val="00176A9D"/>
    <w:rsid w:val="00187253"/>
    <w:rsid w:val="00191C41"/>
    <w:rsid w:val="001A033D"/>
    <w:rsid w:val="001A4824"/>
    <w:rsid w:val="001A6875"/>
    <w:rsid w:val="001A6DA0"/>
    <w:rsid w:val="001B1C41"/>
    <w:rsid w:val="001B1DF2"/>
    <w:rsid w:val="001B29E3"/>
    <w:rsid w:val="001B66C0"/>
    <w:rsid w:val="001B722B"/>
    <w:rsid w:val="001D178E"/>
    <w:rsid w:val="001D3322"/>
    <w:rsid w:val="001D5C9B"/>
    <w:rsid w:val="001E17CC"/>
    <w:rsid w:val="001E5124"/>
    <w:rsid w:val="001F37E0"/>
    <w:rsid w:val="001F45FB"/>
    <w:rsid w:val="001F4F6D"/>
    <w:rsid w:val="00201315"/>
    <w:rsid w:val="0021036F"/>
    <w:rsid w:val="00212FDC"/>
    <w:rsid w:val="002148EA"/>
    <w:rsid w:val="00220750"/>
    <w:rsid w:val="0022154A"/>
    <w:rsid w:val="00231EF1"/>
    <w:rsid w:val="0023295C"/>
    <w:rsid w:val="00232A0D"/>
    <w:rsid w:val="00233FF5"/>
    <w:rsid w:val="0023406A"/>
    <w:rsid w:val="002401BF"/>
    <w:rsid w:val="00240B5A"/>
    <w:rsid w:val="00244CC2"/>
    <w:rsid w:val="00246239"/>
    <w:rsid w:val="00250CCD"/>
    <w:rsid w:val="00250E4D"/>
    <w:rsid w:val="00251462"/>
    <w:rsid w:val="0025190A"/>
    <w:rsid w:val="00257D79"/>
    <w:rsid w:val="00261348"/>
    <w:rsid w:val="00261BA1"/>
    <w:rsid w:val="00262F5A"/>
    <w:rsid w:val="002667C0"/>
    <w:rsid w:val="00274C19"/>
    <w:rsid w:val="00285A9C"/>
    <w:rsid w:val="00293A32"/>
    <w:rsid w:val="002A1383"/>
    <w:rsid w:val="002A2874"/>
    <w:rsid w:val="002A2BBB"/>
    <w:rsid w:val="002A5A44"/>
    <w:rsid w:val="002B34B5"/>
    <w:rsid w:val="002B3F50"/>
    <w:rsid w:val="002B3FF2"/>
    <w:rsid w:val="002B664F"/>
    <w:rsid w:val="002B7178"/>
    <w:rsid w:val="002C1826"/>
    <w:rsid w:val="002C1D54"/>
    <w:rsid w:val="002C294C"/>
    <w:rsid w:val="002C55BB"/>
    <w:rsid w:val="002C59AF"/>
    <w:rsid w:val="002D1BD4"/>
    <w:rsid w:val="002D398F"/>
    <w:rsid w:val="002E02D3"/>
    <w:rsid w:val="002E3710"/>
    <w:rsid w:val="002E5947"/>
    <w:rsid w:val="002F585C"/>
    <w:rsid w:val="002F61CB"/>
    <w:rsid w:val="002F729C"/>
    <w:rsid w:val="00300450"/>
    <w:rsid w:val="003025B9"/>
    <w:rsid w:val="00305A9B"/>
    <w:rsid w:val="00305B83"/>
    <w:rsid w:val="00305F75"/>
    <w:rsid w:val="00313909"/>
    <w:rsid w:val="00314A8E"/>
    <w:rsid w:val="00314ECD"/>
    <w:rsid w:val="003154C7"/>
    <w:rsid w:val="00316826"/>
    <w:rsid w:val="003220B0"/>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6BDE"/>
    <w:rsid w:val="0037766A"/>
    <w:rsid w:val="003806F4"/>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21CE"/>
    <w:rsid w:val="00404831"/>
    <w:rsid w:val="00404E05"/>
    <w:rsid w:val="00406A11"/>
    <w:rsid w:val="00415F40"/>
    <w:rsid w:val="00423FC4"/>
    <w:rsid w:val="0043688F"/>
    <w:rsid w:val="00444E13"/>
    <w:rsid w:val="004473B7"/>
    <w:rsid w:val="00457516"/>
    <w:rsid w:val="0046028A"/>
    <w:rsid w:val="004619B9"/>
    <w:rsid w:val="0046275C"/>
    <w:rsid w:val="00464DA7"/>
    <w:rsid w:val="00466FC2"/>
    <w:rsid w:val="00470506"/>
    <w:rsid w:val="00470F5C"/>
    <w:rsid w:val="00472364"/>
    <w:rsid w:val="00483CF8"/>
    <w:rsid w:val="00487608"/>
    <w:rsid w:val="00487D4B"/>
    <w:rsid w:val="00490661"/>
    <w:rsid w:val="00491619"/>
    <w:rsid w:val="00495506"/>
    <w:rsid w:val="00496057"/>
    <w:rsid w:val="004A3A29"/>
    <w:rsid w:val="004B4397"/>
    <w:rsid w:val="004D5120"/>
    <w:rsid w:val="004D6DE9"/>
    <w:rsid w:val="004E1A39"/>
    <w:rsid w:val="004E2008"/>
    <w:rsid w:val="004E5EF9"/>
    <w:rsid w:val="004E65B4"/>
    <w:rsid w:val="004F0AFB"/>
    <w:rsid w:val="004F0E0B"/>
    <w:rsid w:val="004F46B0"/>
    <w:rsid w:val="004F5B6E"/>
    <w:rsid w:val="004F6C23"/>
    <w:rsid w:val="00501F62"/>
    <w:rsid w:val="0050265B"/>
    <w:rsid w:val="00507CDC"/>
    <w:rsid w:val="005135E8"/>
    <w:rsid w:val="005172DB"/>
    <w:rsid w:val="0052258D"/>
    <w:rsid w:val="00525048"/>
    <w:rsid w:val="005303C0"/>
    <w:rsid w:val="00531BCD"/>
    <w:rsid w:val="00533750"/>
    <w:rsid w:val="00534894"/>
    <w:rsid w:val="00535AEA"/>
    <w:rsid w:val="00536B25"/>
    <w:rsid w:val="0054327A"/>
    <w:rsid w:val="005440E8"/>
    <w:rsid w:val="005465C4"/>
    <w:rsid w:val="00546D71"/>
    <w:rsid w:val="00547A4E"/>
    <w:rsid w:val="00551DA7"/>
    <w:rsid w:val="005568D4"/>
    <w:rsid w:val="0057124D"/>
    <w:rsid w:val="00571E26"/>
    <w:rsid w:val="00574FFF"/>
    <w:rsid w:val="00581CE1"/>
    <w:rsid w:val="00582AEF"/>
    <w:rsid w:val="005866B4"/>
    <w:rsid w:val="0059362C"/>
    <w:rsid w:val="00595E4D"/>
    <w:rsid w:val="005A67AC"/>
    <w:rsid w:val="005C2D32"/>
    <w:rsid w:val="005D474B"/>
    <w:rsid w:val="005D5F9D"/>
    <w:rsid w:val="005D6D2B"/>
    <w:rsid w:val="005E4047"/>
    <w:rsid w:val="005E6556"/>
    <w:rsid w:val="005E6B75"/>
    <w:rsid w:val="005F42BF"/>
    <w:rsid w:val="005F6A2A"/>
    <w:rsid w:val="006048E5"/>
    <w:rsid w:val="0060712E"/>
    <w:rsid w:val="00614540"/>
    <w:rsid w:val="0062424E"/>
    <w:rsid w:val="00630E3D"/>
    <w:rsid w:val="00631949"/>
    <w:rsid w:val="00641698"/>
    <w:rsid w:val="00650917"/>
    <w:rsid w:val="00660934"/>
    <w:rsid w:val="006640AF"/>
    <w:rsid w:val="006672BD"/>
    <w:rsid w:val="006674AF"/>
    <w:rsid w:val="00670BBC"/>
    <w:rsid w:val="0067568F"/>
    <w:rsid w:val="00676354"/>
    <w:rsid w:val="0067693D"/>
    <w:rsid w:val="00676AA3"/>
    <w:rsid w:val="0067777C"/>
    <w:rsid w:val="00683987"/>
    <w:rsid w:val="0068529E"/>
    <w:rsid w:val="00686478"/>
    <w:rsid w:val="00693E23"/>
    <w:rsid w:val="0069713A"/>
    <w:rsid w:val="006A03D3"/>
    <w:rsid w:val="006A1757"/>
    <w:rsid w:val="006B02B6"/>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70BE"/>
    <w:rsid w:val="007514A5"/>
    <w:rsid w:val="00752786"/>
    <w:rsid w:val="007601DC"/>
    <w:rsid w:val="00761114"/>
    <w:rsid w:val="00762E5A"/>
    <w:rsid w:val="00763166"/>
    <w:rsid w:val="00765157"/>
    <w:rsid w:val="00765365"/>
    <w:rsid w:val="007669AF"/>
    <w:rsid w:val="007678A8"/>
    <w:rsid w:val="00771E37"/>
    <w:rsid w:val="007739AB"/>
    <w:rsid w:val="00775A4D"/>
    <w:rsid w:val="00783153"/>
    <w:rsid w:val="007847A5"/>
    <w:rsid w:val="00786027"/>
    <w:rsid w:val="007918BF"/>
    <w:rsid w:val="00794FD4"/>
    <w:rsid w:val="007976C4"/>
    <w:rsid w:val="007A2250"/>
    <w:rsid w:val="007A7217"/>
    <w:rsid w:val="007A7F8D"/>
    <w:rsid w:val="007B3746"/>
    <w:rsid w:val="007B7B9A"/>
    <w:rsid w:val="007B7CBF"/>
    <w:rsid w:val="007C37DB"/>
    <w:rsid w:val="007C52DC"/>
    <w:rsid w:val="007C71EC"/>
    <w:rsid w:val="007D7A6A"/>
    <w:rsid w:val="007D7C9B"/>
    <w:rsid w:val="007E22A6"/>
    <w:rsid w:val="007E565C"/>
    <w:rsid w:val="007E6CCC"/>
    <w:rsid w:val="007F6970"/>
    <w:rsid w:val="00801168"/>
    <w:rsid w:val="00804D13"/>
    <w:rsid w:val="00804EDD"/>
    <w:rsid w:val="008051C4"/>
    <w:rsid w:val="0080629D"/>
    <w:rsid w:val="00812B6E"/>
    <w:rsid w:val="008150C0"/>
    <w:rsid w:val="00815B5D"/>
    <w:rsid w:val="00817B08"/>
    <w:rsid w:val="00820D86"/>
    <w:rsid w:val="00821BCB"/>
    <w:rsid w:val="00823F14"/>
    <w:rsid w:val="00831E77"/>
    <w:rsid w:val="00832CC1"/>
    <w:rsid w:val="00833845"/>
    <w:rsid w:val="00835113"/>
    <w:rsid w:val="00837416"/>
    <w:rsid w:val="00856B92"/>
    <w:rsid w:val="00864B9D"/>
    <w:rsid w:val="008673A7"/>
    <w:rsid w:val="00871F43"/>
    <w:rsid w:val="008765C5"/>
    <w:rsid w:val="008850F6"/>
    <w:rsid w:val="00885D7E"/>
    <w:rsid w:val="00886BA5"/>
    <w:rsid w:val="008A54E9"/>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382D"/>
    <w:rsid w:val="00904BFD"/>
    <w:rsid w:val="00906D38"/>
    <w:rsid w:val="00910244"/>
    <w:rsid w:val="0091452A"/>
    <w:rsid w:val="00920F8A"/>
    <w:rsid w:val="009219BB"/>
    <w:rsid w:val="009234AC"/>
    <w:rsid w:val="00931A0D"/>
    <w:rsid w:val="00931A21"/>
    <w:rsid w:val="00933D63"/>
    <w:rsid w:val="009361A8"/>
    <w:rsid w:val="00954D7C"/>
    <w:rsid w:val="00957318"/>
    <w:rsid w:val="00957403"/>
    <w:rsid w:val="00962785"/>
    <w:rsid w:val="00965A2E"/>
    <w:rsid w:val="00971BA0"/>
    <w:rsid w:val="00971E19"/>
    <w:rsid w:val="0098531F"/>
    <w:rsid w:val="00986433"/>
    <w:rsid w:val="009878E4"/>
    <w:rsid w:val="009908CE"/>
    <w:rsid w:val="009934F6"/>
    <w:rsid w:val="00993DE5"/>
    <w:rsid w:val="009954EA"/>
    <w:rsid w:val="009956F9"/>
    <w:rsid w:val="009A0E8F"/>
    <w:rsid w:val="009A3013"/>
    <w:rsid w:val="009A586E"/>
    <w:rsid w:val="009A5AE8"/>
    <w:rsid w:val="009A5D3C"/>
    <w:rsid w:val="009A60D9"/>
    <w:rsid w:val="009B718E"/>
    <w:rsid w:val="009C22A8"/>
    <w:rsid w:val="009C72B6"/>
    <w:rsid w:val="009C7587"/>
    <w:rsid w:val="009D377B"/>
    <w:rsid w:val="009D5906"/>
    <w:rsid w:val="009D723C"/>
    <w:rsid w:val="009F328C"/>
    <w:rsid w:val="00A01AB8"/>
    <w:rsid w:val="00A02FAB"/>
    <w:rsid w:val="00A076A0"/>
    <w:rsid w:val="00A1113B"/>
    <w:rsid w:val="00A13B4D"/>
    <w:rsid w:val="00A22275"/>
    <w:rsid w:val="00A32D14"/>
    <w:rsid w:val="00A36091"/>
    <w:rsid w:val="00A43824"/>
    <w:rsid w:val="00A4659B"/>
    <w:rsid w:val="00A47354"/>
    <w:rsid w:val="00A47AC1"/>
    <w:rsid w:val="00A529F9"/>
    <w:rsid w:val="00A60223"/>
    <w:rsid w:val="00A76F9F"/>
    <w:rsid w:val="00A87C15"/>
    <w:rsid w:val="00A90F29"/>
    <w:rsid w:val="00A91A11"/>
    <w:rsid w:val="00AA47CC"/>
    <w:rsid w:val="00AB07A3"/>
    <w:rsid w:val="00AB7674"/>
    <w:rsid w:val="00AC1AD8"/>
    <w:rsid w:val="00AC42E6"/>
    <w:rsid w:val="00AD1CA2"/>
    <w:rsid w:val="00AD1E1D"/>
    <w:rsid w:val="00AD2506"/>
    <w:rsid w:val="00AD29F5"/>
    <w:rsid w:val="00AD5535"/>
    <w:rsid w:val="00AD600E"/>
    <w:rsid w:val="00AE0A6E"/>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6EAF"/>
    <w:rsid w:val="00B37424"/>
    <w:rsid w:val="00B44CD6"/>
    <w:rsid w:val="00B511F6"/>
    <w:rsid w:val="00B5324F"/>
    <w:rsid w:val="00B546C8"/>
    <w:rsid w:val="00B56AF6"/>
    <w:rsid w:val="00B61FCC"/>
    <w:rsid w:val="00B62F74"/>
    <w:rsid w:val="00B77C5A"/>
    <w:rsid w:val="00B832B8"/>
    <w:rsid w:val="00B85522"/>
    <w:rsid w:val="00B900A1"/>
    <w:rsid w:val="00B90B2B"/>
    <w:rsid w:val="00B95358"/>
    <w:rsid w:val="00B960E3"/>
    <w:rsid w:val="00B975AD"/>
    <w:rsid w:val="00B97858"/>
    <w:rsid w:val="00BA6958"/>
    <w:rsid w:val="00BB21CC"/>
    <w:rsid w:val="00BB33CD"/>
    <w:rsid w:val="00BB33E4"/>
    <w:rsid w:val="00BB3B7D"/>
    <w:rsid w:val="00BB4113"/>
    <w:rsid w:val="00BB5C93"/>
    <w:rsid w:val="00BD3E55"/>
    <w:rsid w:val="00BD54DA"/>
    <w:rsid w:val="00BE3121"/>
    <w:rsid w:val="00BE4222"/>
    <w:rsid w:val="00BE6A62"/>
    <w:rsid w:val="00BE6A9E"/>
    <w:rsid w:val="00BF036D"/>
    <w:rsid w:val="00BF5A05"/>
    <w:rsid w:val="00BF720D"/>
    <w:rsid w:val="00C11343"/>
    <w:rsid w:val="00C12D7D"/>
    <w:rsid w:val="00C24E1A"/>
    <w:rsid w:val="00C270E1"/>
    <w:rsid w:val="00C27A7A"/>
    <w:rsid w:val="00C3786B"/>
    <w:rsid w:val="00C45CD6"/>
    <w:rsid w:val="00C474D6"/>
    <w:rsid w:val="00C5073F"/>
    <w:rsid w:val="00C51729"/>
    <w:rsid w:val="00C524CA"/>
    <w:rsid w:val="00C53EE1"/>
    <w:rsid w:val="00C546EC"/>
    <w:rsid w:val="00C54A7B"/>
    <w:rsid w:val="00C55ABA"/>
    <w:rsid w:val="00C576CF"/>
    <w:rsid w:val="00C60F24"/>
    <w:rsid w:val="00C77201"/>
    <w:rsid w:val="00C83795"/>
    <w:rsid w:val="00C83E21"/>
    <w:rsid w:val="00C868BC"/>
    <w:rsid w:val="00C877B7"/>
    <w:rsid w:val="00C908AB"/>
    <w:rsid w:val="00C96C70"/>
    <w:rsid w:val="00CA1132"/>
    <w:rsid w:val="00CA357F"/>
    <w:rsid w:val="00CA35C5"/>
    <w:rsid w:val="00CA52ED"/>
    <w:rsid w:val="00CA5C66"/>
    <w:rsid w:val="00CA5DD6"/>
    <w:rsid w:val="00CA645C"/>
    <w:rsid w:val="00CA7AED"/>
    <w:rsid w:val="00CB1912"/>
    <w:rsid w:val="00CB1BA7"/>
    <w:rsid w:val="00CB6926"/>
    <w:rsid w:val="00CC1F5E"/>
    <w:rsid w:val="00CD0B31"/>
    <w:rsid w:val="00CD39F0"/>
    <w:rsid w:val="00CD4C39"/>
    <w:rsid w:val="00CF37F8"/>
    <w:rsid w:val="00CF3E36"/>
    <w:rsid w:val="00CF3EC0"/>
    <w:rsid w:val="00D00821"/>
    <w:rsid w:val="00D348FD"/>
    <w:rsid w:val="00D425CA"/>
    <w:rsid w:val="00D452DD"/>
    <w:rsid w:val="00D46F8C"/>
    <w:rsid w:val="00D50C4E"/>
    <w:rsid w:val="00D63C69"/>
    <w:rsid w:val="00D723B1"/>
    <w:rsid w:val="00D74EA5"/>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4FF6"/>
    <w:rsid w:val="00DC7725"/>
    <w:rsid w:val="00DD3701"/>
    <w:rsid w:val="00DD41F1"/>
    <w:rsid w:val="00DD4507"/>
    <w:rsid w:val="00DD47E5"/>
    <w:rsid w:val="00DE0292"/>
    <w:rsid w:val="00DE046C"/>
    <w:rsid w:val="00DE2154"/>
    <w:rsid w:val="00DE2E0C"/>
    <w:rsid w:val="00DE7E7B"/>
    <w:rsid w:val="00DF3130"/>
    <w:rsid w:val="00DF3824"/>
    <w:rsid w:val="00E039E1"/>
    <w:rsid w:val="00E05285"/>
    <w:rsid w:val="00E061EA"/>
    <w:rsid w:val="00E06947"/>
    <w:rsid w:val="00E07F41"/>
    <w:rsid w:val="00E127FF"/>
    <w:rsid w:val="00E145A7"/>
    <w:rsid w:val="00E17DFB"/>
    <w:rsid w:val="00E22DBF"/>
    <w:rsid w:val="00E24F58"/>
    <w:rsid w:val="00E2796A"/>
    <w:rsid w:val="00E27E51"/>
    <w:rsid w:val="00E3259F"/>
    <w:rsid w:val="00E33E96"/>
    <w:rsid w:val="00E36083"/>
    <w:rsid w:val="00E43192"/>
    <w:rsid w:val="00E51F1C"/>
    <w:rsid w:val="00E55BF7"/>
    <w:rsid w:val="00E718B5"/>
    <w:rsid w:val="00E72387"/>
    <w:rsid w:val="00E76DB7"/>
    <w:rsid w:val="00E81F10"/>
    <w:rsid w:val="00E849FA"/>
    <w:rsid w:val="00E85C9D"/>
    <w:rsid w:val="00E91015"/>
    <w:rsid w:val="00EA5D7A"/>
    <w:rsid w:val="00EB0348"/>
    <w:rsid w:val="00EC1E1C"/>
    <w:rsid w:val="00EC457E"/>
    <w:rsid w:val="00EC48B0"/>
    <w:rsid w:val="00EC6F8D"/>
    <w:rsid w:val="00ED182D"/>
    <w:rsid w:val="00EE10D4"/>
    <w:rsid w:val="00EE306B"/>
    <w:rsid w:val="00EE65D6"/>
    <w:rsid w:val="00EE66C5"/>
    <w:rsid w:val="00EE6F70"/>
    <w:rsid w:val="00EE7391"/>
    <w:rsid w:val="00EF1D3A"/>
    <w:rsid w:val="00EF229B"/>
    <w:rsid w:val="00EF6757"/>
    <w:rsid w:val="00F04522"/>
    <w:rsid w:val="00F07907"/>
    <w:rsid w:val="00F105E0"/>
    <w:rsid w:val="00F14F4B"/>
    <w:rsid w:val="00F16AB4"/>
    <w:rsid w:val="00F23BA1"/>
    <w:rsid w:val="00F33445"/>
    <w:rsid w:val="00F34FCA"/>
    <w:rsid w:val="00F4064F"/>
    <w:rsid w:val="00F42212"/>
    <w:rsid w:val="00F534D6"/>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77B7"/>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Bullet 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customStyle="1" w:styleId="Skaiiai2lygisChar">
    <w:name w:val="Skaičiai_2 lygis Char"/>
    <w:basedOn w:val="DefaultParagraphFont"/>
    <w:link w:val="Skaiiai2lygis"/>
    <w:locked/>
    <w:rsid w:val="000355A4"/>
    <w:rPr>
      <w:color w:val="000000"/>
    </w:rPr>
  </w:style>
  <w:style w:type="paragraph" w:customStyle="1" w:styleId="Skaiiai2lygis">
    <w:name w:val="Skaičiai_2 lygis"/>
    <w:basedOn w:val="Normal"/>
    <w:link w:val="Skaiiai2lygisChar"/>
    <w:qFormat/>
    <w:rsid w:val="000355A4"/>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A1623A-3260-44A4-9B9F-A04DB37F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22</Pages>
  <Words>45733</Words>
  <Characters>26068</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189</cp:revision>
  <cp:lastPrinted>2025-07-17T07:49:00Z</cp:lastPrinted>
  <dcterms:created xsi:type="dcterms:W3CDTF">2023-02-01T12:53:00Z</dcterms:created>
  <dcterms:modified xsi:type="dcterms:W3CDTF">2026-01-15T13:41:00Z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