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512A1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BASONŲ PLOVIMO MAŠINA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12A1F">
        <w:rPr>
          <w:rFonts w:asciiTheme="majorHAnsi" w:hAnsiTheme="majorHAnsi"/>
          <w:b/>
          <w:color w:val="1F497D" w:themeColor="text2"/>
          <w:sz w:val="22"/>
          <w:szCs w:val="22"/>
        </w:rPr>
        <w:t>basonų plovimo mašiną</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9C0D9D"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w:t>
      </w:r>
      <w:r w:rsidRPr="009C0D9D">
        <w:rPr>
          <w:rFonts w:asciiTheme="majorHAnsi" w:hAnsiTheme="majorHAnsi"/>
          <w:sz w:val="22"/>
          <w:szCs w:val="22"/>
        </w:rPr>
        <w:t xml:space="preserve">Perkančioji organizacija </w:t>
      </w:r>
      <w:r w:rsidRPr="009C0D9D">
        <w:rPr>
          <w:rFonts w:asciiTheme="majorHAnsi" w:hAnsiTheme="majorHAnsi"/>
          <w:iCs/>
          <w:sz w:val="22"/>
          <w:szCs w:val="22"/>
        </w:rPr>
        <w:t xml:space="preserve">yra </w:t>
      </w:r>
      <w:r w:rsidRPr="009C0D9D">
        <w:rPr>
          <w:rFonts w:asciiTheme="majorHAnsi" w:hAnsiTheme="majorHAnsi"/>
          <w:sz w:val="22"/>
          <w:szCs w:val="22"/>
        </w:rPr>
        <w:t>pridėtinės vertės mokesčio (toliau – PVM) mokėtoja.</w:t>
      </w:r>
    </w:p>
    <w:p w:rsidR="00D36602" w:rsidRPr="009C0D9D" w:rsidRDefault="00D36602" w:rsidP="00EB44BF">
      <w:pPr>
        <w:ind w:firstLine="851"/>
        <w:jc w:val="both"/>
        <w:rPr>
          <w:rFonts w:asciiTheme="majorHAnsi" w:hAnsiTheme="majorHAnsi"/>
          <w:b/>
          <w:color w:val="000000"/>
          <w:sz w:val="22"/>
          <w:szCs w:val="22"/>
          <w:lang w:eastAsia="lt-LT"/>
        </w:rPr>
      </w:pPr>
    </w:p>
    <w:p w:rsidR="00D36602" w:rsidRPr="009C0D9D" w:rsidRDefault="00D36602" w:rsidP="00EB44BF">
      <w:pPr>
        <w:pStyle w:val="Heading1"/>
        <w:spacing w:before="0" w:after="0"/>
        <w:rPr>
          <w:rFonts w:asciiTheme="majorHAnsi" w:hAnsiTheme="majorHAnsi"/>
          <w:b/>
          <w:sz w:val="22"/>
        </w:rPr>
      </w:pPr>
      <w:bookmarkStart w:id="7" w:name="_Toc487805677"/>
      <w:r w:rsidRPr="009C0D9D">
        <w:rPr>
          <w:rFonts w:asciiTheme="majorHAnsi" w:hAnsiTheme="majorHAnsi"/>
          <w:b/>
          <w:sz w:val="22"/>
        </w:rPr>
        <w:t xml:space="preserve"> </w:t>
      </w:r>
      <w:bookmarkStart w:id="8" w:name="_Toc490665140"/>
      <w:r w:rsidRPr="009C0D9D">
        <w:rPr>
          <w:rFonts w:asciiTheme="majorHAnsi" w:hAnsiTheme="majorHAnsi"/>
          <w:b/>
          <w:sz w:val="22"/>
        </w:rPr>
        <w:t>PIRKIMO OBJEKTAS</w:t>
      </w:r>
      <w:bookmarkEnd w:id="7"/>
      <w:bookmarkEnd w:id="8"/>
    </w:p>
    <w:p w:rsidR="00EB44BF" w:rsidRPr="009C0D9D" w:rsidRDefault="00EB44BF" w:rsidP="00EB44BF">
      <w:pPr>
        <w:rPr>
          <w:rFonts w:asciiTheme="majorHAnsi" w:hAnsiTheme="majorHAnsi"/>
          <w:sz w:val="22"/>
          <w:szCs w:val="22"/>
          <w:lang w:val="lt-LT" w:eastAsia="lt-LT"/>
        </w:rPr>
      </w:pPr>
    </w:p>
    <w:bookmarkEnd w:id="4"/>
    <w:bookmarkEnd w:id="5"/>
    <w:bookmarkEnd w:id="6"/>
    <w:p w:rsidR="0015441F" w:rsidRPr="009C0D9D"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9C0D9D">
        <w:rPr>
          <w:rFonts w:asciiTheme="majorHAnsi" w:hAnsiTheme="majorHAnsi"/>
        </w:rPr>
        <w:t>Pirkimo objektas</w:t>
      </w:r>
      <w:r w:rsidRPr="009C0D9D">
        <w:rPr>
          <w:rFonts w:asciiTheme="majorHAnsi" w:hAnsiTheme="majorHAnsi"/>
          <w:b/>
        </w:rPr>
        <w:t xml:space="preserve"> </w:t>
      </w:r>
      <w:r w:rsidRPr="009C0D9D">
        <w:rPr>
          <w:rFonts w:asciiTheme="majorHAnsi" w:hAnsiTheme="majorHAnsi"/>
        </w:rPr>
        <w:t>–</w:t>
      </w:r>
      <w:r w:rsidR="00175344" w:rsidRPr="009C0D9D">
        <w:rPr>
          <w:rFonts w:asciiTheme="majorHAnsi" w:hAnsiTheme="majorHAnsi"/>
          <w:b/>
          <w:bCs/>
          <w:color w:val="548DD4" w:themeColor="text2" w:themeTint="99"/>
        </w:rPr>
        <w:t xml:space="preserve"> </w:t>
      </w:r>
      <w:r w:rsidR="00512A1F" w:rsidRPr="009C0D9D">
        <w:rPr>
          <w:rFonts w:asciiTheme="majorHAnsi" w:hAnsiTheme="majorHAnsi"/>
          <w:b/>
          <w:color w:val="1F497D" w:themeColor="text2"/>
        </w:rPr>
        <w:t>basonų plovimo mašina</w:t>
      </w:r>
      <w:r w:rsidR="00FB4CC2" w:rsidRPr="009C0D9D">
        <w:rPr>
          <w:rFonts w:asciiTheme="majorHAnsi" w:hAnsiTheme="majorHAnsi"/>
          <w:b/>
          <w:bCs/>
          <w:color w:val="1F497D" w:themeColor="text2"/>
        </w:rPr>
        <w:t>.</w:t>
      </w:r>
    </w:p>
    <w:p w:rsidR="00513FDD" w:rsidRPr="009C0D9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9C0D9D">
        <w:rPr>
          <w:rFonts w:ascii="Cambria" w:hAnsi="Cambria"/>
        </w:rPr>
        <w:t>Numatomų įs</w:t>
      </w:r>
      <w:r w:rsidR="00355A16" w:rsidRPr="009C0D9D">
        <w:rPr>
          <w:rFonts w:ascii="Cambria" w:hAnsi="Cambria"/>
        </w:rPr>
        <w:t xml:space="preserve">igyti </w:t>
      </w:r>
      <w:r w:rsidR="006B4D16" w:rsidRPr="009C0D9D">
        <w:rPr>
          <w:rFonts w:ascii="Cambria" w:hAnsi="Cambria"/>
        </w:rPr>
        <w:t xml:space="preserve">techninių charakteristikų </w:t>
      </w:r>
      <w:r w:rsidR="00FB4CC2" w:rsidRPr="009C0D9D">
        <w:rPr>
          <w:rFonts w:ascii="Cambria" w:hAnsi="Cambria"/>
        </w:rPr>
        <w:t>prekių CPO kataloge nėra</w:t>
      </w:r>
      <w:r w:rsidR="006F20CD" w:rsidRPr="009C0D9D">
        <w:rPr>
          <w:rFonts w:ascii="Cambria" w:hAnsi="Cambria"/>
        </w:rPr>
        <w:t>.</w:t>
      </w:r>
      <w:r w:rsidRPr="009C0D9D">
        <w:rPr>
          <w:rFonts w:ascii="Cambria" w:hAnsi="Cambria"/>
          <w:color w:val="000000"/>
          <w:shd w:val="clear" w:color="auto" w:fill="FFFFFF"/>
        </w:rPr>
        <w:t> </w:t>
      </w:r>
      <w:r w:rsidR="004B0661" w:rsidRPr="009C0D9D">
        <w:rPr>
          <w:rFonts w:asciiTheme="majorHAnsi" w:hAnsiTheme="majorHAnsi"/>
        </w:rPr>
        <w:t xml:space="preserve">CPO kataloge esančios basonų plovimo mašinos neatitinka perkančiosios organizacijos poreikio, kadangi yra </w:t>
      </w:r>
      <w:r w:rsidR="004B0661" w:rsidRPr="009C0D9D">
        <w:rPr>
          <w:rFonts w:asciiTheme="majorHAnsi" w:hAnsiTheme="majorHAnsi"/>
          <w:shd w:val="clear" w:color="auto" w:fill="FFFFFF"/>
        </w:rPr>
        <w:t>per plačios.</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9C0D9D">
        <w:rPr>
          <w:rFonts w:asciiTheme="majorHAnsi" w:hAnsiTheme="majorHAnsi"/>
          <w:shd w:val="clear" w:color="auto" w:fill="FFFFFF"/>
        </w:rPr>
        <w:t>Vadovaujantis LR Viešųjų pirkimų įstatymo 27 straipsnio nuostatomis</w:t>
      </w:r>
      <w:r w:rsidR="008167D6" w:rsidRPr="009C0D9D">
        <w:rPr>
          <w:rFonts w:asciiTheme="majorHAnsi" w:hAnsiTheme="majorHAnsi"/>
          <w:shd w:val="clear" w:color="auto" w:fill="FFFFFF"/>
        </w:rPr>
        <w:t>,</w:t>
      </w:r>
      <w:r w:rsidRPr="009C0D9D">
        <w:rPr>
          <w:rFonts w:asciiTheme="majorHAnsi" w:hAnsiTheme="majorHAnsi"/>
          <w:shd w:val="clear" w:color="auto" w:fill="FFFFFF"/>
        </w:rPr>
        <w:t xml:space="preserve"> Centrinėje</w:t>
      </w:r>
      <w:r w:rsidRPr="007750CB">
        <w:rPr>
          <w:rFonts w:asciiTheme="majorHAnsi" w:hAnsiTheme="majorHAnsi"/>
          <w:shd w:val="clear" w:color="auto" w:fill="FFFFFF"/>
        </w:rPr>
        <w:t xml:space="preserv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512A1F">
        <w:rPr>
          <w:rFonts w:asciiTheme="majorHAnsi" w:hAnsiTheme="majorHAnsi"/>
          <w:i/>
          <w:color w:val="1F497D" w:themeColor="text2"/>
        </w:rPr>
        <w:t>basonų plovimo mašinos</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512A1F">
        <w:rPr>
          <w:rFonts w:asciiTheme="majorHAnsi" w:hAnsiTheme="majorHAnsi" w:cs="Calibri"/>
          <w:i/>
          <w:color w:val="1F497D" w:themeColor="text2"/>
          <w:shd w:val="clear" w:color="auto" w:fill="FFFFFF"/>
        </w:rPr>
        <w:t>747226</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506D59"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506D59"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506D59"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506D59"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506D59"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B93648">
        <w:rPr>
          <w:rFonts w:asciiTheme="majorHAnsi" w:hAnsiTheme="majorHAnsi" w:cs="Times New Roman"/>
          <w:color w:val="auto"/>
        </w:rPr>
        <w:t xml:space="preserve">5.4. </w:t>
      </w:r>
      <w:r w:rsidRPr="00B93648">
        <w:rPr>
          <w:rFonts w:asciiTheme="majorHAnsi" w:hAnsiTheme="majorHAnsi" w:cs="Times New Roman"/>
          <w:iCs/>
          <w:color w:val="auto"/>
        </w:rPr>
        <w:t xml:space="preserve">Pasiūlymas turi būti pateiktas iki </w:t>
      </w:r>
      <w:r w:rsidR="00586A44" w:rsidRPr="00B93648">
        <w:rPr>
          <w:rFonts w:asciiTheme="majorHAnsi" w:hAnsiTheme="majorHAnsi" w:cs="Times New Roman"/>
          <w:b/>
          <w:iCs/>
          <w:color w:val="548DD4" w:themeColor="text2" w:themeTint="99"/>
        </w:rPr>
        <w:t>2025</w:t>
      </w:r>
      <w:r w:rsidR="00294115" w:rsidRPr="00B93648">
        <w:rPr>
          <w:rFonts w:asciiTheme="majorHAnsi" w:hAnsiTheme="majorHAnsi" w:cs="Times New Roman"/>
          <w:b/>
          <w:iCs/>
          <w:color w:val="548DD4" w:themeColor="text2" w:themeTint="99"/>
        </w:rPr>
        <w:t xml:space="preserve"> m. </w:t>
      </w:r>
      <w:r w:rsidR="00586A44" w:rsidRPr="00B93648">
        <w:rPr>
          <w:rFonts w:asciiTheme="majorHAnsi" w:hAnsiTheme="majorHAnsi" w:cs="Times New Roman"/>
          <w:b/>
          <w:iCs/>
          <w:color w:val="548DD4" w:themeColor="text2" w:themeTint="99"/>
        </w:rPr>
        <w:t>sausio</w:t>
      </w:r>
      <w:r w:rsidR="009E4945" w:rsidRPr="00B93648">
        <w:rPr>
          <w:rFonts w:asciiTheme="majorHAnsi" w:hAnsiTheme="majorHAnsi" w:cs="Times New Roman"/>
          <w:b/>
          <w:iCs/>
          <w:color w:val="548DD4" w:themeColor="text2" w:themeTint="99"/>
        </w:rPr>
        <w:t xml:space="preserve"> </w:t>
      </w:r>
      <w:r w:rsidR="00B93648" w:rsidRPr="00B93648">
        <w:rPr>
          <w:rFonts w:asciiTheme="majorHAnsi" w:hAnsiTheme="majorHAnsi" w:cs="Times New Roman"/>
          <w:b/>
          <w:iCs/>
          <w:color w:val="548DD4" w:themeColor="text2" w:themeTint="99"/>
        </w:rPr>
        <w:t>17</w:t>
      </w:r>
      <w:r w:rsidR="00751F94" w:rsidRPr="00B93648">
        <w:rPr>
          <w:rFonts w:asciiTheme="majorHAnsi" w:hAnsiTheme="majorHAnsi" w:cs="Times New Roman"/>
          <w:b/>
          <w:iCs/>
          <w:color w:val="548DD4" w:themeColor="text2" w:themeTint="99"/>
        </w:rPr>
        <w:t xml:space="preserve"> </w:t>
      </w:r>
      <w:r w:rsidRPr="00B93648">
        <w:rPr>
          <w:rFonts w:asciiTheme="majorHAnsi" w:hAnsiTheme="majorHAnsi" w:cs="Times New Roman"/>
          <w:b/>
          <w:iCs/>
          <w:color w:val="548DD4" w:themeColor="text2" w:themeTint="99"/>
        </w:rPr>
        <w:t xml:space="preserve">d. </w:t>
      </w:r>
      <w:r w:rsidR="008E7832" w:rsidRPr="00B93648">
        <w:rPr>
          <w:rFonts w:asciiTheme="majorHAnsi" w:hAnsiTheme="majorHAnsi" w:cs="Times New Roman"/>
          <w:b/>
          <w:iCs/>
          <w:color w:val="548DD4" w:themeColor="text2" w:themeTint="99"/>
        </w:rPr>
        <w:t>0</w:t>
      </w:r>
      <w:r w:rsidR="000E3AC4" w:rsidRPr="00B93648">
        <w:rPr>
          <w:rFonts w:asciiTheme="majorHAnsi" w:hAnsiTheme="majorHAnsi" w:cs="Times New Roman"/>
          <w:b/>
          <w:iCs/>
          <w:color w:val="548DD4" w:themeColor="text2" w:themeTint="99"/>
        </w:rPr>
        <w:t>8</w:t>
      </w:r>
      <w:r w:rsidR="00410AD9" w:rsidRPr="00B93648">
        <w:rPr>
          <w:rFonts w:asciiTheme="majorHAnsi" w:hAnsiTheme="majorHAnsi" w:cs="Times New Roman"/>
          <w:b/>
          <w:iCs/>
          <w:color w:val="548DD4" w:themeColor="text2" w:themeTint="99"/>
        </w:rPr>
        <w:t xml:space="preserve"> val. </w:t>
      </w:r>
      <w:r w:rsidR="00F73B33" w:rsidRPr="00B93648">
        <w:rPr>
          <w:rFonts w:asciiTheme="majorHAnsi" w:hAnsiTheme="majorHAnsi" w:cs="Times New Roman"/>
          <w:b/>
          <w:iCs/>
          <w:color w:val="548DD4" w:themeColor="text2" w:themeTint="99"/>
        </w:rPr>
        <w:t>00</w:t>
      </w:r>
      <w:r w:rsidRPr="00B93648">
        <w:rPr>
          <w:rFonts w:asciiTheme="majorHAnsi" w:hAnsiTheme="majorHAnsi" w:cs="Times New Roman"/>
          <w:b/>
          <w:iCs/>
          <w:color w:val="548DD4" w:themeColor="text2" w:themeTint="99"/>
        </w:rPr>
        <w:t xml:space="preserve"> min.</w:t>
      </w:r>
      <w:r w:rsidRPr="00B93648">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B93648">
        <w:rPr>
          <w:rFonts w:asciiTheme="majorHAnsi" w:hAnsiTheme="majorHAnsi" w:cs="Times New Roman"/>
          <w:lang w:val="it-IT"/>
        </w:rPr>
        <w:t xml:space="preserve">trumpiau </w:t>
      </w:r>
      <w:r w:rsidRPr="00B93648">
        <w:rPr>
          <w:rFonts w:asciiTheme="majorHAnsi" w:hAnsiTheme="majorHAnsi" w:cs="Times New Roman"/>
          <w:lang w:val="lt-LT"/>
        </w:rPr>
        <w:t xml:space="preserve">kaip iki </w:t>
      </w:r>
      <w:r w:rsidR="00751F94" w:rsidRPr="00B93648">
        <w:rPr>
          <w:rFonts w:asciiTheme="majorHAnsi" w:hAnsiTheme="majorHAnsi" w:cs="Times New Roman"/>
          <w:b/>
          <w:color w:val="548DD4" w:themeColor="text2" w:themeTint="99"/>
          <w:lang w:val="lt-LT"/>
        </w:rPr>
        <w:t>2025-</w:t>
      </w:r>
      <w:r w:rsidR="00586A44" w:rsidRPr="00B93648">
        <w:rPr>
          <w:rFonts w:asciiTheme="majorHAnsi" w:hAnsiTheme="majorHAnsi" w:cs="Times New Roman"/>
          <w:b/>
          <w:color w:val="548DD4" w:themeColor="text2" w:themeTint="99"/>
          <w:lang w:val="lt-LT"/>
        </w:rPr>
        <w:t>04-</w:t>
      </w:r>
      <w:r w:rsidR="00B93648" w:rsidRPr="00B93648">
        <w:rPr>
          <w:rFonts w:asciiTheme="majorHAnsi" w:hAnsiTheme="majorHAnsi" w:cs="Times New Roman"/>
          <w:b/>
          <w:color w:val="548DD4" w:themeColor="text2" w:themeTint="99"/>
          <w:lang w:val="lt-LT"/>
        </w:rPr>
        <w:t>17</w:t>
      </w:r>
      <w:r w:rsidR="00B36E1F" w:rsidRPr="00B93648">
        <w:rPr>
          <w:rFonts w:asciiTheme="majorHAnsi" w:hAnsiTheme="majorHAnsi" w:cs="Times New Roman"/>
          <w:b/>
          <w:color w:val="548DD4" w:themeColor="text2" w:themeTint="99"/>
          <w:lang w:val="lt-LT"/>
        </w:rPr>
        <w:t>.</w:t>
      </w:r>
      <w:r w:rsidRPr="00B93648">
        <w:rPr>
          <w:rFonts w:asciiTheme="majorHAnsi" w:hAnsiTheme="majorHAnsi" w:cs="Times New Roman"/>
          <w:lang w:val="pt-PT"/>
        </w:rPr>
        <w:t xml:space="preserve"> Jeigu pasi</w:t>
      </w:r>
      <w:r w:rsidRPr="00B9364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5D2DB0" w:rsidRPr="00D05B06" w:rsidRDefault="005D2DB0" w:rsidP="001A6A8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A6A8D">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B93648">
        <w:rPr>
          <w:rFonts w:asciiTheme="majorHAnsi" w:hAnsiTheme="majorHAnsi"/>
          <w:b/>
          <w:iCs/>
          <w:color w:val="548DD4" w:themeColor="text2" w:themeTint="99"/>
          <w:sz w:val="22"/>
          <w:szCs w:val="22"/>
        </w:rPr>
        <w:t>2025</w:t>
      </w:r>
      <w:r w:rsidRPr="00B93648">
        <w:rPr>
          <w:rFonts w:asciiTheme="majorHAnsi" w:hAnsiTheme="majorHAnsi"/>
          <w:b/>
          <w:iCs/>
          <w:color w:val="548DD4" w:themeColor="text2" w:themeTint="99"/>
          <w:sz w:val="22"/>
          <w:szCs w:val="22"/>
        </w:rPr>
        <w:t xml:space="preserve"> m.</w:t>
      </w:r>
      <w:r w:rsidR="00751F94" w:rsidRPr="00B93648">
        <w:rPr>
          <w:rFonts w:asciiTheme="majorHAnsi" w:hAnsiTheme="majorHAnsi"/>
          <w:b/>
          <w:iCs/>
          <w:color w:val="548DD4" w:themeColor="text2" w:themeTint="99"/>
          <w:sz w:val="22"/>
          <w:szCs w:val="22"/>
        </w:rPr>
        <w:t xml:space="preserve"> </w:t>
      </w:r>
      <w:r w:rsidR="00586A44" w:rsidRPr="00B93648">
        <w:rPr>
          <w:rFonts w:asciiTheme="majorHAnsi" w:hAnsiTheme="majorHAnsi"/>
          <w:b/>
          <w:iCs/>
          <w:color w:val="548DD4" w:themeColor="text2" w:themeTint="99"/>
          <w:sz w:val="22"/>
          <w:szCs w:val="22"/>
        </w:rPr>
        <w:t xml:space="preserve">sausio </w:t>
      </w:r>
      <w:r w:rsidR="00B93648" w:rsidRPr="00B93648">
        <w:rPr>
          <w:rFonts w:asciiTheme="majorHAnsi" w:hAnsiTheme="majorHAnsi"/>
          <w:b/>
          <w:iCs/>
          <w:color w:val="548DD4" w:themeColor="text2" w:themeTint="99"/>
          <w:sz w:val="22"/>
          <w:szCs w:val="22"/>
        </w:rPr>
        <w:t>17</w:t>
      </w:r>
      <w:r w:rsidR="00751F94" w:rsidRPr="00B93648">
        <w:rPr>
          <w:rFonts w:asciiTheme="majorHAnsi" w:hAnsiTheme="majorHAnsi"/>
          <w:b/>
          <w:iCs/>
          <w:color w:val="548DD4" w:themeColor="text2" w:themeTint="99"/>
          <w:sz w:val="22"/>
          <w:szCs w:val="22"/>
        </w:rPr>
        <w:t xml:space="preserve"> </w:t>
      </w:r>
      <w:r w:rsidR="003F1127" w:rsidRPr="00B93648">
        <w:rPr>
          <w:rFonts w:asciiTheme="majorHAnsi" w:hAnsiTheme="majorHAnsi"/>
          <w:b/>
          <w:iCs/>
          <w:color w:val="548DD4" w:themeColor="text2" w:themeTint="99"/>
          <w:sz w:val="22"/>
          <w:szCs w:val="22"/>
        </w:rPr>
        <w:t>d</w:t>
      </w:r>
      <w:r w:rsidR="000E3AC4" w:rsidRPr="00B93648">
        <w:rPr>
          <w:rFonts w:asciiTheme="majorHAnsi" w:hAnsiTheme="majorHAnsi"/>
          <w:b/>
          <w:iCs/>
          <w:color w:val="548DD4" w:themeColor="text2" w:themeTint="99"/>
          <w:sz w:val="22"/>
          <w:szCs w:val="22"/>
        </w:rPr>
        <w:t>. 08</w:t>
      </w:r>
      <w:r w:rsidR="00586A44" w:rsidRPr="00B93648">
        <w:rPr>
          <w:rFonts w:asciiTheme="majorHAnsi" w:hAnsiTheme="majorHAnsi"/>
          <w:b/>
          <w:iCs/>
          <w:color w:val="548DD4" w:themeColor="text2" w:themeTint="99"/>
          <w:sz w:val="22"/>
          <w:szCs w:val="22"/>
        </w:rPr>
        <w:t xml:space="preserve"> val. 30</w:t>
      </w:r>
      <w:r w:rsidRPr="00B93648">
        <w:rPr>
          <w:rFonts w:asciiTheme="majorHAnsi" w:hAnsiTheme="majorHAnsi"/>
          <w:b/>
          <w:iCs/>
          <w:color w:val="548DD4" w:themeColor="text2" w:themeTint="99"/>
          <w:sz w:val="22"/>
          <w:szCs w:val="22"/>
        </w:rPr>
        <w:t xml:space="preserve"> min</w:t>
      </w:r>
      <w:r w:rsidRPr="00B93648">
        <w:rPr>
          <w:rFonts w:asciiTheme="majorHAnsi" w:hAnsiTheme="majorHAnsi"/>
          <w:b/>
          <w:iCs/>
          <w:sz w:val="22"/>
          <w:szCs w:val="22"/>
        </w:rPr>
        <w:t>.</w:t>
      </w:r>
      <w:r w:rsidRPr="00B93648">
        <w:rPr>
          <w:rFonts w:asciiTheme="majorHAnsi" w:hAnsiTheme="majorHAnsi"/>
          <w:iCs/>
          <w:sz w:val="22"/>
          <w:szCs w:val="22"/>
        </w:rPr>
        <w:t xml:space="preserve"> </w:t>
      </w:r>
      <w:r w:rsidRPr="00B93648">
        <w:rPr>
          <w:rFonts w:asciiTheme="majorHAnsi" w:hAnsiTheme="majorHAnsi"/>
          <w:iCs/>
          <w:sz w:val="22"/>
          <w:szCs w:val="22"/>
          <w:u w:val="single"/>
        </w:rPr>
        <w:t>Jei pasiūlymas teikiamas šifruotas, slaptažodis turi būti pateiktas</w:t>
      </w:r>
      <w:r w:rsidR="007125F0" w:rsidRPr="00B93648">
        <w:rPr>
          <w:rFonts w:asciiTheme="majorHAnsi" w:hAnsiTheme="majorHAnsi"/>
          <w:iCs/>
          <w:sz w:val="22"/>
          <w:szCs w:val="22"/>
          <w:u w:val="single"/>
        </w:rPr>
        <w:t xml:space="preserve"> </w:t>
      </w:r>
      <w:r w:rsidR="00586A44" w:rsidRPr="00B93648">
        <w:rPr>
          <w:rFonts w:asciiTheme="majorHAnsi" w:hAnsiTheme="majorHAnsi"/>
          <w:b/>
          <w:iCs/>
          <w:color w:val="548DD4" w:themeColor="text2" w:themeTint="99"/>
          <w:sz w:val="22"/>
          <w:szCs w:val="22"/>
          <w:u w:val="single"/>
        </w:rPr>
        <w:t>2025</w:t>
      </w:r>
      <w:r w:rsidRPr="00B93648">
        <w:rPr>
          <w:rFonts w:asciiTheme="majorHAnsi" w:hAnsiTheme="majorHAnsi"/>
          <w:b/>
          <w:iCs/>
          <w:color w:val="548DD4" w:themeColor="text2" w:themeTint="99"/>
          <w:sz w:val="22"/>
          <w:szCs w:val="22"/>
          <w:u w:val="single"/>
        </w:rPr>
        <w:t xml:space="preserve"> m. </w:t>
      </w:r>
      <w:r w:rsidR="00586A44" w:rsidRPr="00B93648">
        <w:rPr>
          <w:rFonts w:asciiTheme="majorHAnsi" w:hAnsiTheme="majorHAnsi"/>
          <w:b/>
          <w:iCs/>
          <w:color w:val="548DD4" w:themeColor="text2" w:themeTint="99"/>
          <w:sz w:val="22"/>
          <w:szCs w:val="22"/>
          <w:u w:val="single"/>
        </w:rPr>
        <w:t>sausio</w:t>
      </w:r>
      <w:r w:rsidR="00EE0A73" w:rsidRPr="00B93648">
        <w:rPr>
          <w:rFonts w:asciiTheme="majorHAnsi" w:hAnsiTheme="majorHAnsi"/>
          <w:b/>
          <w:iCs/>
          <w:color w:val="548DD4" w:themeColor="text2" w:themeTint="99"/>
          <w:sz w:val="22"/>
          <w:szCs w:val="22"/>
          <w:u w:val="single"/>
        </w:rPr>
        <w:t xml:space="preserve"> </w:t>
      </w:r>
      <w:r w:rsidR="00B93648" w:rsidRPr="00B93648">
        <w:rPr>
          <w:rFonts w:asciiTheme="majorHAnsi" w:hAnsiTheme="majorHAnsi"/>
          <w:b/>
          <w:iCs/>
          <w:color w:val="548DD4" w:themeColor="text2" w:themeTint="99"/>
          <w:sz w:val="22"/>
          <w:szCs w:val="22"/>
          <w:u w:val="single"/>
        </w:rPr>
        <w:t>17</w:t>
      </w:r>
      <w:r w:rsidR="00B664EA" w:rsidRPr="00B93648">
        <w:rPr>
          <w:rFonts w:asciiTheme="majorHAnsi" w:hAnsiTheme="majorHAnsi"/>
          <w:b/>
          <w:iCs/>
          <w:color w:val="548DD4" w:themeColor="text2" w:themeTint="99"/>
          <w:sz w:val="22"/>
          <w:szCs w:val="22"/>
          <w:u w:val="single"/>
        </w:rPr>
        <w:t xml:space="preserve"> </w:t>
      </w:r>
      <w:r w:rsidRPr="00B93648">
        <w:rPr>
          <w:rFonts w:asciiTheme="majorHAnsi" w:hAnsiTheme="majorHAnsi"/>
          <w:b/>
          <w:iCs/>
          <w:color w:val="548DD4" w:themeColor="text2" w:themeTint="99"/>
          <w:sz w:val="22"/>
          <w:szCs w:val="22"/>
          <w:u w:val="single"/>
        </w:rPr>
        <w:t>d.</w:t>
      </w:r>
      <w:r w:rsidRPr="00B93648">
        <w:rPr>
          <w:rFonts w:asciiTheme="majorHAnsi" w:hAnsiTheme="majorHAnsi"/>
          <w:iCs/>
          <w:color w:val="548DD4" w:themeColor="text2" w:themeTint="99"/>
          <w:sz w:val="22"/>
          <w:szCs w:val="22"/>
          <w:u w:val="single"/>
        </w:rPr>
        <w:t xml:space="preserve"> intervale </w:t>
      </w:r>
      <w:r w:rsidR="000E3AC4" w:rsidRPr="00B93648">
        <w:rPr>
          <w:rFonts w:asciiTheme="majorHAnsi" w:hAnsiTheme="majorHAnsi"/>
          <w:b/>
          <w:iCs/>
          <w:color w:val="548DD4" w:themeColor="text2" w:themeTint="99"/>
          <w:sz w:val="22"/>
          <w:szCs w:val="22"/>
          <w:u w:val="single"/>
        </w:rPr>
        <w:t>08</w:t>
      </w:r>
      <w:r w:rsidR="00213A63" w:rsidRPr="00B93648">
        <w:rPr>
          <w:rFonts w:asciiTheme="majorHAnsi" w:hAnsiTheme="majorHAnsi"/>
          <w:b/>
          <w:iCs/>
          <w:color w:val="548DD4" w:themeColor="text2" w:themeTint="99"/>
          <w:sz w:val="22"/>
          <w:szCs w:val="22"/>
          <w:u w:val="single"/>
        </w:rPr>
        <w:t>.0</w:t>
      </w:r>
      <w:r w:rsidR="000E3AC4" w:rsidRPr="00B93648">
        <w:rPr>
          <w:rFonts w:asciiTheme="majorHAnsi" w:hAnsiTheme="majorHAnsi"/>
          <w:b/>
          <w:iCs/>
          <w:color w:val="548DD4" w:themeColor="text2" w:themeTint="99"/>
          <w:sz w:val="22"/>
          <w:szCs w:val="22"/>
          <w:u w:val="single"/>
        </w:rPr>
        <w:t>0 – 08</w:t>
      </w:r>
      <w:r w:rsidR="00586A44" w:rsidRPr="00B93648">
        <w:rPr>
          <w:rFonts w:asciiTheme="majorHAnsi" w:hAnsiTheme="majorHAnsi"/>
          <w:b/>
          <w:iCs/>
          <w:color w:val="548DD4" w:themeColor="text2" w:themeTint="99"/>
          <w:sz w:val="22"/>
          <w:szCs w:val="22"/>
          <w:u w:val="single"/>
        </w:rPr>
        <w:t>.30</w:t>
      </w:r>
      <w:r w:rsidRPr="00B93648">
        <w:rPr>
          <w:rFonts w:asciiTheme="majorHAnsi" w:hAnsiTheme="majorHAnsi"/>
          <w:b/>
          <w:iCs/>
          <w:color w:val="548DD4" w:themeColor="text2" w:themeTint="99"/>
          <w:sz w:val="22"/>
          <w:szCs w:val="22"/>
          <w:u w:val="single"/>
        </w:rPr>
        <w:t xml:space="preserve"> val.</w:t>
      </w:r>
      <w:r w:rsidRPr="00B93648">
        <w:rPr>
          <w:rFonts w:asciiTheme="majorHAnsi" w:hAnsiTheme="majorHAnsi"/>
          <w:iCs/>
          <w:color w:val="548DD4" w:themeColor="text2" w:themeTint="99"/>
          <w:sz w:val="22"/>
          <w:szCs w:val="22"/>
          <w:u w:val="single"/>
        </w:rPr>
        <w:t xml:space="preserve"> </w:t>
      </w:r>
      <w:r w:rsidRPr="00B93648">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2" w:name="_Toc487805681"/>
      <w:bookmarkStart w:id="33" w:name="_Toc227136946"/>
      <w:r w:rsidRPr="007750CB">
        <w:rPr>
          <w:rFonts w:asciiTheme="majorHAnsi" w:hAnsiTheme="majorHAnsi"/>
          <w:b/>
          <w:spacing w:val="-8"/>
          <w:sz w:val="22"/>
        </w:rPr>
        <w:t xml:space="preserve"> </w:t>
      </w:r>
      <w:bookmarkStart w:id="34"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2"/>
      <w:bookmarkEnd w:id="34"/>
      <w:r w:rsidRPr="007750CB">
        <w:rPr>
          <w:rFonts w:asciiTheme="majorHAnsi" w:hAnsiTheme="majorHAnsi"/>
          <w:b/>
          <w:sz w:val="22"/>
        </w:rPr>
        <w:t xml:space="preserve"> </w:t>
      </w:r>
      <w:bookmarkEnd w:id="33"/>
    </w:p>
    <w:p w:rsidR="003170DA" w:rsidRPr="007750CB"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w:t>
      </w:r>
      <w:proofErr w:type="gramStart"/>
      <w:r w:rsidR="0012221A">
        <w:rPr>
          <w:rFonts w:asciiTheme="majorHAnsi" w:hAnsiTheme="majorHAnsi" w:cs="Times New Roman"/>
          <w:b/>
          <w:iCs/>
          <w:highlight w:val="yellow"/>
        </w:rPr>
        <w:t xml:space="preserve">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punktuose</w:t>
      </w:r>
      <w:proofErr w:type="gramEnd"/>
      <w:r w:rsidRPr="007750CB">
        <w:rPr>
          <w:rFonts w:asciiTheme="majorHAnsi" w:hAnsiTheme="majorHAnsi" w:cs="Times New Roman"/>
          <w:iCs/>
          <w:highlight w:val="yellow"/>
        </w:rPr>
        <w:t xml:space="preserv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C531BA">
            <w:pPr>
              <w:jc w:val="right"/>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sidR="009C0D9D">
        <w:rPr>
          <w:rFonts w:asciiTheme="majorHAnsi" w:hAnsiTheme="majorHAnsi"/>
          <w:b/>
          <w:sz w:val="22"/>
          <w:szCs w:val="22"/>
        </w:rPr>
        <w:t>BASONŲ PLOVIMO MAŠINOS</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 xml:space="preserve">Pasirašydamas CVP IS priemonėmis pateiktą pasiūlymą, </w:t>
      </w:r>
      <w:r w:rsidR="00B93648">
        <w:rPr>
          <w:rFonts w:asciiTheme="majorHAnsi" w:hAnsiTheme="majorHAnsi"/>
          <w:spacing w:val="-4"/>
          <w:sz w:val="22"/>
          <w:szCs w:val="22"/>
        </w:rPr>
        <w:t xml:space="preserve">parašu </w:t>
      </w:r>
      <w:bookmarkStart w:id="44" w:name="_GoBack"/>
      <w:bookmarkEnd w:id="44"/>
      <w:r w:rsidRPr="007750CB">
        <w:rPr>
          <w:rFonts w:asciiTheme="majorHAnsi" w:hAnsiTheme="majorHAnsi"/>
          <w:spacing w:val="-4"/>
          <w:sz w:val="22"/>
          <w:szCs w:val="22"/>
        </w:rPr>
        <w:t>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w:t>
            </w:r>
            <w:proofErr w:type="gramStart"/>
            <w:r w:rsidRPr="007750CB">
              <w:rPr>
                <w:rFonts w:asciiTheme="majorHAnsi" w:hAnsiTheme="majorHAnsi"/>
                <w:iCs/>
                <w:sz w:val="22"/>
                <w:szCs w:val="22"/>
              </w:rPr>
              <w:t>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59" w:rsidRDefault="00506D59" w:rsidP="006670D4">
      <w:r>
        <w:separator/>
      </w:r>
    </w:p>
  </w:endnote>
  <w:endnote w:type="continuationSeparator" w:id="0">
    <w:p w:rsidR="00506D59" w:rsidRDefault="00506D5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59" w:rsidRDefault="00506D59" w:rsidP="006670D4">
      <w:r>
        <w:separator/>
      </w:r>
    </w:p>
  </w:footnote>
  <w:footnote w:type="continuationSeparator" w:id="0">
    <w:p w:rsidR="00506D59" w:rsidRDefault="00506D59"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134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43E"/>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661"/>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06D59"/>
    <w:rsid w:val="005121A0"/>
    <w:rsid w:val="00512A1F"/>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0D9D"/>
    <w:rsid w:val="009C38CA"/>
    <w:rsid w:val="009C6144"/>
    <w:rsid w:val="009C7C2C"/>
    <w:rsid w:val="009D44B6"/>
    <w:rsid w:val="009D49BC"/>
    <w:rsid w:val="009D50D3"/>
    <w:rsid w:val="009D578B"/>
    <w:rsid w:val="009D6AF5"/>
    <w:rsid w:val="009D722C"/>
    <w:rsid w:val="009E1158"/>
    <w:rsid w:val="009E4945"/>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A26"/>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648"/>
    <w:rsid w:val="00B93850"/>
    <w:rsid w:val="00B94AF7"/>
    <w:rsid w:val="00B971AD"/>
    <w:rsid w:val="00BA101E"/>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31BA"/>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42633-A71C-4B8A-9655-159B65DE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21</Pages>
  <Words>9760</Words>
  <Characters>55634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115</cp:revision>
  <cp:lastPrinted>2021-08-13T13:16:00Z</cp:lastPrinted>
  <dcterms:created xsi:type="dcterms:W3CDTF">2023-12-08T12:01:00Z</dcterms:created>
  <dcterms:modified xsi:type="dcterms:W3CDTF">2024-12-27T18:27:00Z</dcterms:modified>
</cp:coreProperties>
</file>