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5E5" w14:textId="076BF3CC" w:rsidR="000C4A96" w:rsidRPr="00C606EA" w:rsidRDefault="000C4A96" w:rsidP="00413DD5">
      <w:pPr>
        <w:jc w:val="center"/>
        <w:rPr>
          <w:rFonts w:ascii="Verdana" w:hAnsi="Verdana"/>
          <w:b/>
          <w:bCs/>
          <w:lang w:val="lt-LT"/>
        </w:rPr>
      </w:pPr>
      <w:r w:rsidRPr="00C606EA">
        <w:rPr>
          <w:rFonts w:ascii="Verdana" w:hAnsi="Verdana"/>
          <w:b/>
          <w:bCs/>
          <w:lang w:val="lt-LT"/>
        </w:rPr>
        <w:t>MARIJAMPOLĖS SŪDUVOS GIMNAZIJA</w:t>
      </w:r>
    </w:p>
    <w:p w14:paraId="53749606" w14:textId="77777777" w:rsidR="000C4A96" w:rsidRPr="00C606EA" w:rsidRDefault="000C4A96" w:rsidP="00413DD5">
      <w:pPr>
        <w:jc w:val="center"/>
        <w:rPr>
          <w:rFonts w:ascii="Verdana" w:hAnsi="Verdana"/>
          <w:b/>
          <w:bCs/>
          <w:lang w:val="lt-LT"/>
        </w:rPr>
      </w:pPr>
    </w:p>
    <w:p w14:paraId="2B9ECDDE" w14:textId="5AB7D770" w:rsidR="00D12491" w:rsidRPr="00C606EA" w:rsidRDefault="00B9070A" w:rsidP="00413DD5">
      <w:pPr>
        <w:widowControl w:val="0"/>
        <w:jc w:val="center"/>
        <w:outlineLvl w:val="0"/>
        <w:rPr>
          <w:rFonts w:ascii="Verdana" w:hAnsi="Verdana"/>
          <w:b/>
          <w:bCs/>
          <w:lang w:val="lt-LT"/>
        </w:rPr>
      </w:pPr>
      <w:r w:rsidRPr="00C606EA">
        <w:rPr>
          <w:rFonts w:ascii="Verdana" w:hAnsi="Verdana"/>
          <w:b/>
          <w:bCs/>
          <w:lang w:val="lt-LT"/>
        </w:rPr>
        <w:t>MOKYKLINIŲ BALDŲ</w:t>
      </w:r>
      <w:r w:rsidR="005306E2" w:rsidRPr="00C606EA">
        <w:rPr>
          <w:rFonts w:ascii="Verdana" w:hAnsi="Verdana"/>
          <w:b/>
          <w:bCs/>
          <w:lang w:val="lt-LT"/>
        </w:rPr>
        <w:t xml:space="preserve"> </w:t>
      </w:r>
      <w:r w:rsidR="0034075A" w:rsidRPr="00C606EA">
        <w:rPr>
          <w:rFonts w:ascii="Verdana" w:hAnsi="Verdana"/>
          <w:b/>
          <w:bCs/>
          <w:lang w:val="lt-LT"/>
        </w:rPr>
        <w:t>TECHNINĖ SPECIFIKACIJA</w:t>
      </w:r>
    </w:p>
    <w:p w14:paraId="4767EFF6" w14:textId="77777777" w:rsidR="00D45505" w:rsidRPr="00C606EA" w:rsidRDefault="00D45505" w:rsidP="00413DD5">
      <w:pPr>
        <w:widowControl w:val="0"/>
        <w:jc w:val="both"/>
        <w:rPr>
          <w:rFonts w:ascii="Verdana" w:hAnsi="Verdana"/>
          <w:bCs/>
          <w:color w:val="000000"/>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C606EA" w14:paraId="5A6BF4CD" w14:textId="77777777" w:rsidTr="00E7501A">
        <w:trPr>
          <w:cantSplit/>
          <w:trHeight w:val="397"/>
        </w:trPr>
        <w:tc>
          <w:tcPr>
            <w:tcW w:w="9606" w:type="dxa"/>
            <w:shd w:val="clear" w:color="auto" w:fill="D9D9D9" w:themeFill="background1" w:themeFillShade="D9"/>
            <w:vAlign w:val="center"/>
          </w:tcPr>
          <w:p w14:paraId="0B8DCFDC" w14:textId="25DAABF0" w:rsidR="00D12491" w:rsidRPr="00C606EA" w:rsidRDefault="00D12491" w:rsidP="00413DD5">
            <w:pPr>
              <w:tabs>
                <w:tab w:val="left" w:pos="319"/>
              </w:tabs>
              <w:ind w:firstLine="319"/>
              <w:contextualSpacing/>
              <w:jc w:val="both"/>
              <w:rPr>
                <w:rFonts w:ascii="Verdana" w:hAnsi="Verdana"/>
                <w:b/>
                <w:lang w:val="lt-LT"/>
              </w:rPr>
            </w:pPr>
            <w:r w:rsidRPr="00C606EA">
              <w:rPr>
                <w:rFonts w:ascii="Verdana" w:hAnsi="Verdana"/>
                <w:b/>
                <w:lang w:val="lt-LT"/>
              </w:rPr>
              <w:t>Pirkimo objekto pavadinimas</w:t>
            </w:r>
          </w:p>
        </w:tc>
      </w:tr>
      <w:tr w:rsidR="00D12491" w:rsidRPr="00C606EA" w14:paraId="300F2645" w14:textId="77777777" w:rsidTr="00E7501A">
        <w:trPr>
          <w:cantSplit/>
          <w:trHeight w:val="345"/>
        </w:trPr>
        <w:tc>
          <w:tcPr>
            <w:tcW w:w="9606" w:type="dxa"/>
            <w:shd w:val="clear" w:color="auto" w:fill="FFFFFF" w:themeFill="background1"/>
          </w:tcPr>
          <w:p w14:paraId="7A9B3A0E" w14:textId="67773CF8" w:rsidR="00D45505" w:rsidRPr="00C606EA" w:rsidRDefault="00B9070A" w:rsidP="005306E2">
            <w:pPr>
              <w:ind w:firstLine="32"/>
              <w:contextualSpacing/>
              <w:jc w:val="both"/>
              <w:rPr>
                <w:rFonts w:ascii="Verdana" w:hAnsi="Verdana"/>
                <w:bCs/>
                <w:lang w:val="lt-LT"/>
              </w:rPr>
            </w:pPr>
            <w:r w:rsidRPr="00C606EA">
              <w:rPr>
                <w:rFonts w:ascii="Verdana" w:hAnsi="Verdana"/>
                <w:bCs/>
                <w:lang w:val="lt-LT"/>
              </w:rPr>
              <w:t>Mokykliniai baldai</w:t>
            </w:r>
            <w:r w:rsidR="00F26A83" w:rsidRPr="00C606EA">
              <w:rPr>
                <w:rFonts w:ascii="Verdana" w:hAnsi="Verdana"/>
                <w:bCs/>
                <w:lang w:val="lt-LT"/>
              </w:rPr>
              <w:t>.</w:t>
            </w:r>
          </w:p>
        </w:tc>
      </w:tr>
      <w:tr w:rsidR="00D12491" w:rsidRPr="00C606EA" w14:paraId="267B754E" w14:textId="77777777" w:rsidTr="00E7501A">
        <w:trPr>
          <w:cantSplit/>
          <w:trHeight w:val="624"/>
        </w:trPr>
        <w:tc>
          <w:tcPr>
            <w:tcW w:w="9606" w:type="dxa"/>
            <w:shd w:val="clear" w:color="auto" w:fill="D9D9D9" w:themeFill="background1" w:themeFillShade="D9"/>
            <w:vAlign w:val="center"/>
          </w:tcPr>
          <w:p w14:paraId="503BF038" w14:textId="3342BB15" w:rsidR="00D12491" w:rsidRPr="00C606EA" w:rsidRDefault="00D45505" w:rsidP="00413DD5">
            <w:pPr>
              <w:tabs>
                <w:tab w:val="left" w:pos="319"/>
              </w:tabs>
              <w:ind w:firstLine="319"/>
              <w:contextualSpacing/>
              <w:jc w:val="both"/>
              <w:rPr>
                <w:rFonts w:ascii="Verdana" w:hAnsi="Verdana"/>
                <w:b/>
                <w:lang w:val="lt-LT"/>
              </w:rPr>
            </w:pPr>
            <w:r w:rsidRPr="00C606EA">
              <w:rPr>
                <w:rFonts w:ascii="Verdana" w:hAnsi="Verdana"/>
                <w:b/>
                <w:lang w:val="lt-LT"/>
              </w:rPr>
              <w:t>Pirkimo objekto aprašymas ir pirkimo objektui keliami reikalavimai</w:t>
            </w:r>
            <w:r w:rsidRPr="00C606EA">
              <w:rPr>
                <w:rFonts w:ascii="Verdana" w:hAnsi="Verdana"/>
                <w:lang w:val="lt-LT"/>
              </w:rPr>
              <w:t xml:space="preserve"> (</w:t>
            </w:r>
            <w:r w:rsidRPr="00C606EA">
              <w:rPr>
                <w:rFonts w:ascii="Verdana" w:hAnsi="Verdana"/>
                <w:i/>
                <w:lang w:val="lt-LT"/>
              </w:rPr>
              <w:t>ketinamų pirkti prekių, paslaugų ar darbų savybės, kokybės reikalavimai)</w:t>
            </w:r>
          </w:p>
        </w:tc>
      </w:tr>
      <w:tr w:rsidR="00D12491" w:rsidRPr="00C606EA" w14:paraId="6F7E181F" w14:textId="77777777" w:rsidTr="00413DD5">
        <w:trPr>
          <w:cantSplit/>
          <w:trHeight w:val="10880"/>
        </w:trPr>
        <w:tc>
          <w:tcPr>
            <w:tcW w:w="9606" w:type="dxa"/>
            <w:tcBorders>
              <w:bottom w:val="single" w:sz="4" w:space="0" w:color="auto"/>
              <w:right w:val="single" w:sz="4" w:space="0" w:color="auto"/>
            </w:tcBorders>
            <w:shd w:val="clear" w:color="auto" w:fill="FFFFFF" w:themeFill="background1"/>
            <w:vAlign w:val="center"/>
          </w:tcPr>
          <w:p w14:paraId="1F2F7C01" w14:textId="0F61C900" w:rsidR="009D655B" w:rsidRPr="00C606EA" w:rsidRDefault="009D655B" w:rsidP="00413DD5">
            <w:pPr>
              <w:jc w:val="both"/>
              <w:rPr>
                <w:rFonts w:ascii="Verdana" w:hAnsi="Verdana"/>
                <w:lang w:val="lt-LT" w:eastAsia="lt-LT"/>
              </w:rPr>
            </w:pPr>
            <w:r w:rsidRPr="00C606EA">
              <w:rPr>
                <w:rFonts w:ascii="Verdana" w:hAnsi="Verdana"/>
                <w:lang w:val="lt-LT" w:eastAsia="lt-LT"/>
              </w:rPr>
              <w:t xml:space="preserve">1. Tiekėjas privalo užtikrinti, kad siūlomi baldai būtų teisėtai tiekiami į Europos Sąjungos rinką ir atitiktų Europos Sąjungos bei Lietuvos Respublikos teisės aktų reikalavimus, reglamentuojančius gaminių tiekimą į rinką ir jų saugą. Pasiūlyme </w:t>
            </w:r>
            <w:r w:rsidRPr="00E27BD5">
              <w:rPr>
                <w:rFonts w:ascii="Verdana" w:hAnsi="Verdana"/>
                <w:lang w:val="lt-LT" w:eastAsia="lt-LT"/>
              </w:rPr>
              <w:t xml:space="preserve">turi būti pateikti </w:t>
            </w:r>
            <w:bookmarkStart w:id="0" w:name="_Hlk219292108"/>
            <w:r w:rsidRPr="00E27BD5">
              <w:rPr>
                <w:rFonts w:ascii="Verdana" w:hAnsi="Verdana"/>
                <w:lang w:val="lt-LT" w:eastAsia="lt-LT"/>
              </w:rPr>
              <w:t>dokumentai, patvirtinantys gaminių teisėtą pateikimą į rinką ir atitiktį privalomiems teisės aktų reikalavimams, tokiems kaip gamintojo atitikties deklaracija,</w:t>
            </w:r>
            <w:r w:rsidRPr="00C606EA">
              <w:rPr>
                <w:rFonts w:ascii="Verdana" w:hAnsi="Verdana"/>
                <w:lang w:val="lt-LT" w:eastAsia="lt-LT"/>
              </w:rPr>
              <w:t xml:space="preserve"> CE ženklinimo dokumentai (jei taikoma) ar kiti lygiaverčiai įrodymai.</w:t>
            </w:r>
            <w:bookmarkEnd w:id="0"/>
          </w:p>
          <w:p w14:paraId="2A7AC85D" w14:textId="77777777" w:rsidR="00413DD5" w:rsidRPr="00C606EA" w:rsidRDefault="00413DD5" w:rsidP="00413DD5">
            <w:pPr>
              <w:jc w:val="both"/>
              <w:rPr>
                <w:rFonts w:ascii="Verdana" w:hAnsi="Verdana"/>
                <w:lang w:val="lt-LT" w:eastAsia="lt-LT"/>
              </w:rPr>
            </w:pPr>
            <w:r w:rsidRPr="00C606EA">
              <w:rPr>
                <w:rFonts w:ascii="Verdana" w:hAnsi="Verdana"/>
                <w:bCs/>
                <w:lang w:val="lt-LT" w:eastAsia="lt-LT"/>
              </w:rPr>
              <w:t>2.</w:t>
            </w:r>
            <w:r w:rsidRPr="00C606EA">
              <w:rPr>
                <w:rFonts w:ascii="Verdana" w:hAnsi="Verdana"/>
                <w:lang w:val="lt-LT" w:eastAsia="lt-LT"/>
              </w:rPr>
              <w:t xml:space="preserve"> Tiekėjas privalo savo sąskaita pristatyti ir sumontuoti baldus perkančiosios organizacijos patalpose.</w:t>
            </w:r>
          </w:p>
          <w:p w14:paraId="43656D34" w14:textId="46753D61" w:rsidR="00413DD5" w:rsidRPr="00C606EA" w:rsidRDefault="00413DD5" w:rsidP="00413DD5">
            <w:pPr>
              <w:jc w:val="both"/>
              <w:rPr>
                <w:rFonts w:ascii="Verdana" w:hAnsi="Verdana"/>
                <w:lang w:val="lt-LT" w:eastAsia="lt-LT"/>
              </w:rPr>
            </w:pPr>
            <w:r w:rsidRPr="00C606EA">
              <w:rPr>
                <w:rFonts w:ascii="Verdana" w:hAnsi="Verdana"/>
                <w:bCs/>
                <w:lang w:val="lt-LT" w:eastAsia="lt-LT"/>
              </w:rPr>
              <w:t>3.</w:t>
            </w:r>
            <w:r w:rsidRPr="00C606EA">
              <w:rPr>
                <w:rFonts w:ascii="Verdana" w:hAnsi="Verdana"/>
                <w:lang w:val="lt-LT" w:eastAsia="lt-LT"/>
              </w:rPr>
              <w:t xml:space="preserve"> Jeigu baldų techninėje specifikacijoje </w:t>
            </w:r>
            <w:r w:rsidR="005F35D1" w:rsidRPr="00C606EA">
              <w:rPr>
                <w:rFonts w:ascii="Verdana" w:hAnsi="Verdana"/>
                <w:lang w:val="lt-LT" w:eastAsia="en-US"/>
              </w:rPr>
              <w:t>būtų galimybė įžvelgti</w:t>
            </w:r>
            <w:r w:rsidRPr="00C606EA">
              <w:rPr>
                <w:rFonts w:ascii="Verdana" w:hAnsi="Verdana"/>
                <w:lang w:val="lt-LT" w:eastAsia="lt-LT"/>
              </w:rPr>
              <w:t xml:space="preserve"> konkrečius baldų modelius, gamintojus, šaltinius, technologinius procesus, prekių ženklus, patentus, tipus, standartus, </w:t>
            </w:r>
            <w:r w:rsidR="005F35D1" w:rsidRPr="00C606EA">
              <w:rPr>
                <w:rFonts w:ascii="Verdana" w:hAnsi="Verdana"/>
                <w:lang w:val="lt-LT" w:eastAsia="lt-LT"/>
              </w:rPr>
              <w:t xml:space="preserve">sertifikatus, kilmę ar gamybą, </w:t>
            </w:r>
            <w:r w:rsidR="009D655B" w:rsidRPr="00C606EA">
              <w:rPr>
                <w:rFonts w:ascii="Verdana" w:hAnsi="Verdana"/>
                <w:lang w:val="lt-LT" w:eastAsia="lt-LT"/>
              </w:rPr>
              <w:t>p</w:t>
            </w:r>
            <w:r w:rsidR="005F35D1" w:rsidRPr="00C606EA">
              <w:rPr>
                <w:rFonts w:ascii="Verdana" w:hAnsi="Verdana"/>
                <w:lang w:val="lt-LT" w:eastAsia="lt-LT"/>
              </w:rPr>
              <w:t>rašome to nelaikyti įpareigojimu</w:t>
            </w:r>
            <w:r w:rsidRPr="00C606EA">
              <w:rPr>
                <w:rFonts w:ascii="Verdana" w:hAnsi="Verdana"/>
                <w:lang w:val="lt-LT" w:eastAsia="lt-LT"/>
              </w:rPr>
              <w:t xml:space="preserve">, tokios nuorodos yra orientacinio pobūdžio. Tiekėjai turi teisę siūlyti lygiaverčius sprendimus, </w:t>
            </w:r>
            <w:r w:rsidR="005F35D1" w:rsidRPr="00C606EA">
              <w:rPr>
                <w:rFonts w:ascii="Verdana" w:hAnsi="Verdana"/>
                <w:lang w:val="lt-LT" w:eastAsia="en-US"/>
              </w:rPr>
              <w:t>tačiau jie turi atitikti techninėje specifikacijoje numatytus reikalavimus,</w:t>
            </w:r>
            <w:r w:rsidR="005F35D1" w:rsidRPr="00C606EA">
              <w:rPr>
                <w:rFonts w:ascii="Verdana" w:hAnsi="Verdana"/>
                <w:lang w:val="lt-LT" w:eastAsia="lt-LT"/>
              </w:rPr>
              <w:t xml:space="preserve"> </w:t>
            </w:r>
            <w:r w:rsidRPr="00C606EA">
              <w:rPr>
                <w:rFonts w:ascii="Verdana" w:hAnsi="Verdana"/>
                <w:lang w:val="lt-LT" w:eastAsia="lt-LT"/>
              </w:rPr>
              <w:t>o lygiavertiškumą privalo pagrįsti dokumentais. Taip pat leidžiama siūlyti baldus, turinčius geresnes technines ar eksploatacines charakteristikas, nei nurodyta techninėje specifikacijoje.</w:t>
            </w:r>
          </w:p>
          <w:p w14:paraId="251B406E" w14:textId="76753F71" w:rsidR="00413DD5" w:rsidRPr="00C606EA" w:rsidRDefault="00413DD5" w:rsidP="009D655B">
            <w:pPr>
              <w:jc w:val="both"/>
              <w:rPr>
                <w:rFonts w:ascii="Verdana" w:hAnsi="Verdana"/>
                <w:lang w:val="lt-LT" w:eastAsia="en-US"/>
              </w:rPr>
            </w:pPr>
            <w:r w:rsidRPr="00C606EA">
              <w:rPr>
                <w:rFonts w:ascii="Verdana" w:hAnsi="Verdana"/>
                <w:bCs/>
                <w:lang w:val="lt-LT" w:eastAsia="lt-LT"/>
              </w:rPr>
              <w:t>4.</w:t>
            </w:r>
            <w:r w:rsidRPr="00C606EA">
              <w:rPr>
                <w:rFonts w:ascii="Verdana" w:hAnsi="Verdana"/>
                <w:lang w:val="lt-LT" w:eastAsia="lt-LT"/>
              </w:rPr>
              <w:t xml:space="preserve"> </w:t>
            </w:r>
            <w:r w:rsidR="009D655B" w:rsidRPr="00C606EA">
              <w:rPr>
                <w:rFonts w:ascii="Verdana" w:hAnsi="Verdana"/>
                <w:lang w:val="lt-LT" w:eastAsia="en-US"/>
              </w:rPr>
              <w:t>Kartu su pasiūlymu turi būti pateikti gamintojo techniniai dokumentai arba kiti lygiaverčiai duomenys, skirti pagrįsti siūlomų baldų atitiktį techninės specifikacijos reikalavimams, įskaitant, bet neapsiribojant šiais aspektais: gaminių matmenimis ir konstrukciniais sprendiniais, naudojamomis medžiagomis ir paviršių apdaila, atitiktimi taikomiems EN standartams, baldų atsparumo, stabilumo ar saugos bandymų rezultatais, techniniais sertifikatais ar kitais atitiktį patvirtinančiais dokumentais. Reikalavimai, kurių pasiūlymų vertinimo metu objektyviai patikrinti nėra galimybės (pvz., montavimo, spalvinės gamos ar garantinio aptarnavimo), bus vertinami sutarties vykdymo metu. Pateikti dokumentai turi galioti pasiūlymo pateikimo dieną.</w:t>
            </w:r>
          </w:p>
          <w:p w14:paraId="210DEA56" w14:textId="15EE7910" w:rsidR="009D655B" w:rsidRPr="00C606EA" w:rsidRDefault="00413DD5" w:rsidP="00413DD5">
            <w:pPr>
              <w:jc w:val="both"/>
              <w:rPr>
                <w:rFonts w:ascii="Verdana" w:hAnsi="Verdana"/>
                <w:lang w:val="lt-LT" w:eastAsia="en-US"/>
              </w:rPr>
            </w:pPr>
            <w:r w:rsidRPr="00C606EA">
              <w:rPr>
                <w:rFonts w:ascii="Verdana" w:hAnsi="Verdana"/>
                <w:lang w:val="lt-LT" w:eastAsia="en-US"/>
              </w:rPr>
              <w:t>5. Visų baldų atitiktį keliamiems reikalavimams pagrindžiantys dokumentai turi būti pateikti lietuvių</w:t>
            </w:r>
            <w:r w:rsidR="001A199C" w:rsidRPr="00C606EA">
              <w:rPr>
                <w:rFonts w:ascii="Verdana" w:hAnsi="Verdana"/>
                <w:lang w:val="lt-LT" w:eastAsia="en-US"/>
              </w:rPr>
              <w:t>.</w:t>
            </w:r>
          </w:p>
          <w:p w14:paraId="0A99AE64" w14:textId="351AFACC" w:rsidR="00DB3FA4" w:rsidRPr="00C606EA" w:rsidRDefault="00DB3FA4" w:rsidP="00DB3FA4">
            <w:pPr>
              <w:spacing w:line="259" w:lineRule="auto"/>
              <w:rPr>
                <w:rFonts w:ascii="Verdana" w:eastAsiaTheme="minorEastAsia" w:hAnsi="Verdana"/>
                <w:b/>
                <w:bCs/>
                <w:kern w:val="2"/>
                <w:lang w:val="lt-LT" w:eastAsia="lt-LT"/>
              </w:rPr>
            </w:pPr>
            <w:r w:rsidRPr="00C606EA">
              <w:rPr>
                <w:rFonts w:ascii="Verdana" w:eastAsiaTheme="minorEastAsia" w:hAnsi="Verdana"/>
                <w:b/>
                <w:bCs/>
                <w:kern w:val="2"/>
                <w:lang w:val="lt-LT" w:eastAsia="lt-LT"/>
              </w:rPr>
              <w:t xml:space="preserve">Prekių </w:t>
            </w:r>
            <w:r w:rsidR="005306E2" w:rsidRPr="00C606EA">
              <w:rPr>
                <w:rFonts w:ascii="Verdana" w:eastAsiaTheme="minorEastAsia" w:hAnsi="Verdana"/>
                <w:b/>
                <w:bCs/>
                <w:kern w:val="2"/>
                <w:lang w:val="lt-LT" w:eastAsia="lt-LT"/>
              </w:rPr>
              <w:t xml:space="preserve">pavadinimas, kiekis ir </w:t>
            </w:r>
            <w:r w:rsidRPr="00C606EA">
              <w:rPr>
                <w:rFonts w:ascii="Verdana" w:eastAsiaTheme="minorEastAsia" w:hAnsi="Verdana"/>
                <w:b/>
                <w:bCs/>
                <w:kern w:val="2"/>
                <w:lang w:val="lt-LT" w:eastAsia="lt-LT"/>
              </w:rPr>
              <w:t>techninės specifikacijos:</w:t>
            </w:r>
          </w:p>
          <w:p w14:paraId="2796D58A" w14:textId="77777777" w:rsidR="00381928" w:rsidRPr="00C606EA" w:rsidRDefault="00381928" w:rsidP="00381928">
            <w:pPr>
              <w:jc w:val="both"/>
              <w:rPr>
                <w:rFonts w:ascii="Verdana" w:hAnsi="Verdana"/>
                <w:b/>
                <w:bCs/>
                <w:lang w:val="lt-LT" w:eastAsia="lt-LT"/>
              </w:rPr>
            </w:pPr>
            <w:r w:rsidRPr="00C606EA">
              <w:rPr>
                <w:rFonts w:ascii="Verdana" w:hAnsi="Verdana"/>
                <w:b/>
                <w:bCs/>
                <w:lang w:val="lt-LT" w:eastAsia="lt-LT"/>
              </w:rPr>
              <w:t xml:space="preserve">Mokinio kėdė, 240 vnt. </w:t>
            </w:r>
          </w:p>
          <w:p w14:paraId="608AE1A1" w14:textId="77777777" w:rsidR="00381928" w:rsidRPr="00C606EA" w:rsidRDefault="00381928" w:rsidP="00381928">
            <w:pPr>
              <w:jc w:val="both"/>
              <w:rPr>
                <w:rFonts w:ascii="Verdana" w:hAnsi="Verdana"/>
                <w:bCs/>
                <w:lang w:val="lt-LT" w:eastAsia="lt-LT"/>
              </w:rPr>
            </w:pPr>
            <w:r w:rsidRPr="00C606EA">
              <w:rPr>
                <w:rFonts w:ascii="Verdana" w:hAnsi="Verdana"/>
                <w:bCs/>
                <w:lang w:val="lt-LT" w:eastAsia="lt-LT"/>
              </w:rPr>
              <w:t xml:space="preserve">• Kėdės atlošas turi būti pagamintas iš dviejų sienelių tekstūruoto polipropileno arba lygiavertės medžiagos, užtikrinančios </w:t>
            </w:r>
            <w:r>
              <w:rPr>
                <w:rFonts w:ascii="Verdana" w:hAnsi="Verdana"/>
                <w:bCs/>
                <w:lang w:val="lt-LT" w:eastAsia="lt-LT"/>
              </w:rPr>
              <w:t xml:space="preserve">atlošo elastingumą bei </w:t>
            </w:r>
            <w:r w:rsidRPr="00C606EA">
              <w:rPr>
                <w:rFonts w:ascii="Verdana" w:hAnsi="Verdana"/>
                <w:bCs/>
                <w:lang w:val="lt-LT" w:eastAsia="lt-LT"/>
              </w:rPr>
              <w:t>ergonom</w:t>
            </w:r>
            <w:r>
              <w:rPr>
                <w:rFonts w:ascii="Verdana" w:hAnsi="Verdana"/>
                <w:bCs/>
                <w:lang w:val="lt-LT" w:eastAsia="lt-LT"/>
              </w:rPr>
              <w:t>išką sėdėjimą</w:t>
            </w:r>
            <w:r w:rsidRPr="00C606EA">
              <w:rPr>
                <w:rFonts w:ascii="Verdana" w:hAnsi="Verdana"/>
                <w:bCs/>
                <w:lang w:val="lt-LT" w:eastAsia="lt-LT"/>
              </w:rPr>
              <w:t>. Kėdės konstrukcija turi būti pritaikyta intensyviam naudojimui. Tiekėjas t</w:t>
            </w:r>
            <w:r>
              <w:rPr>
                <w:rFonts w:ascii="Verdana" w:hAnsi="Verdana"/>
                <w:bCs/>
                <w:lang w:val="lt-LT" w:eastAsia="lt-LT"/>
              </w:rPr>
              <w:t>uri pateikti ne mažiau kaip 8</w:t>
            </w:r>
            <w:r w:rsidRPr="00C606EA">
              <w:rPr>
                <w:rFonts w:ascii="Verdana" w:hAnsi="Verdana"/>
                <w:bCs/>
                <w:lang w:val="lt-LT" w:eastAsia="lt-LT"/>
              </w:rPr>
              <w:t xml:space="preserve"> spalvų paletę, iš kurios užsakymo metu perkančioji organizacija pasirenka tinkamiausią spalvą.</w:t>
            </w:r>
          </w:p>
          <w:p w14:paraId="42B9DDC8" w14:textId="614D7D9A" w:rsidR="00D45505" w:rsidRPr="00C606EA" w:rsidRDefault="00D45505" w:rsidP="00413DD5">
            <w:pPr>
              <w:jc w:val="both"/>
              <w:rPr>
                <w:rFonts w:ascii="Verdana" w:hAnsi="Verdana"/>
                <w:b/>
                <w:lang w:val="lt-LT"/>
              </w:rPr>
            </w:pPr>
          </w:p>
        </w:tc>
      </w:tr>
      <w:tr w:rsidR="00413DD5" w:rsidRPr="00C606EA" w14:paraId="53D56E94" w14:textId="77777777" w:rsidTr="00F26A83">
        <w:trPr>
          <w:cantSplit/>
          <w:trHeight w:val="300"/>
        </w:trPr>
        <w:tc>
          <w:tcPr>
            <w:tcW w:w="9606" w:type="dxa"/>
            <w:tcBorders>
              <w:bottom w:val="single" w:sz="4" w:space="0" w:color="auto"/>
              <w:right w:val="single" w:sz="4" w:space="0" w:color="auto"/>
            </w:tcBorders>
            <w:shd w:val="clear" w:color="auto" w:fill="FFFFFF" w:themeFill="background1"/>
            <w:vAlign w:val="center"/>
          </w:tcPr>
          <w:p w14:paraId="076B0076" w14:textId="44B9EE5E" w:rsidR="00C606EA" w:rsidRPr="00C606EA" w:rsidRDefault="00DB3FA4" w:rsidP="00C606EA">
            <w:pPr>
              <w:jc w:val="both"/>
              <w:rPr>
                <w:rFonts w:ascii="Verdana" w:hAnsi="Verdana"/>
                <w:bCs/>
                <w:lang w:val="lt-LT"/>
              </w:rPr>
            </w:pPr>
            <w:r w:rsidRPr="00C606EA">
              <w:rPr>
                <w:rFonts w:ascii="Verdana" w:hAnsi="Verdana"/>
                <w:bCs/>
                <w:lang w:val="lt-LT" w:eastAsia="lt-LT"/>
              </w:rPr>
              <w:lastRenderedPageBreak/>
              <w:t xml:space="preserve">• </w:t>
            </w:r>
            <w:r w:rsidR="00C606EA" w:rsidRPr="00C606EA">
              <w:rPr>
                <w:rFonts w:ascii="Verdana" w:hAnsi="Verdana"/>
                <w:bCs/>
                <w:lang w:val="lt-LT" w:eastAsia="lt-LT"/>
              </w:rPr>
              <w:t xml:space="preserve">Metalinis kėdės rėmas turi būti Z formos, su ne mažesnio kaip 22 mm skersmens kojomis. Rėmas turi būti pagamintas iš vientiso metalinio vamzdžio, suformuoto lenkimo būdu be papildomo virinimo. </w:t>
            </w:r>
          </w:p>
          <w:p w14:paraId="3384762C" w14:textId="085EFF2C" w:rsidR="00DB3FA4" w:rsidRPr="00C606EA" w:rsidRDefault="00DB3FA4" w:rsidP="007F197F">
            <w:pPr>
              <w:jc w:val="both"/>
              <w:rPr>
                <w:rFonts w:ascii="Verdana" w:hAnsi="Verdana"/>
                <w:bCs/>
                <w:lang w:val="lt-LT" w:eastAsia="lt-LT"/>
              </w:rPr>
            </w:pPr>
            <w:r w:rsidRPr="00C606EA">
              <w:rPr>
                <w:rFonts w:ascii="Verdana" w:hAnsi="Verdana"/>
                <w:bCs/>
                <w:lang w:val="lt-LT" w:eastAsia="lt-LT"/>
              </w:rPr>
              <w:t xml:space="preserve">• </w:t>
            </w:r>
            <w:r w:rsidR="00227D54">
              <w:rPr>
                <w:rFonts w:ascii="Verdana" w:hAnsi="Verdana"/>
                <w:bCs/>
                <w:lang w:val="lt-LT" w:eastAsia="lt-LT"/>
              </w:rPr>
              <w:t xml:space="preserve">Rėmas </w:t>
            </w:r>
            <w:r w:rsidRPr="00C606EA">
              <w:rPr>
                <w:rFonts w:ascii="Verdana" w:hAnsi="Verdana"/>
                <w:bCs/>
                <w:lang w:val="lt-LT" w:eastAsia="lt-LT"/>
              </w:rPr>
              <w:t xml:space="preserve">turi būti padengtas milteliniu būdu epoksidine danga. Turi būti galimybė pasirinkti iš </w:t>
            </w:r>
            <w:r w:rsidR="001A199C" w:rsidRPr="00C606EA">
              <w:rPr>
                <w:rFonts w:ascii="Verdana" w:hAnsi="Verdana"/>
                <w:bCs/>
                <w:lang w:val="lt-LT" w:eastAsia="lt-LT"/>
              </w:rPr>
              <w:t xml:space="preserve">ne mažiau kaip </w:t>
            </w:r>
            <w:r w:rsidR="00381928">
              <w:rPr>
                <w:rFonts w:ascii="Verdana" w:hAnsi="Verdana"/>
                <w:bCs/>
                <w:lang w:val="lt-LT" w:eastAsia="lt-LT"/>
              </w:rPr>
              <w:t>5</w:t>
            </w:r>
            <w:r w:rsidRPr="00C606EA">
              <w:rPr>
                <w:rFonts w:ascii="Verdana" w:hAnsi="Verdana"/>
                <w:bCs/>
                <w:lang w:val="lt-LT" w:eastAsia="lt-LT"/>
              </w:rPr>
              <w:t xml:space="preserve"> </w:t>
            </w:r>
            <w:r w:rsidR="00A07050">
              <w:rPr>
                <w:rFonts w:ascii="Verdana" w:hAnsi="Verdana"/>
                <w:bCs/>
                <w:lang w:val="lt-LT" w:eastAsia="lt-LT"/>
              </w:rPr>
              <w:t xml:space="preserve">pagrindinių </w:t>
            </w:r>
            <w:r w:rsidRPr="00C606EA">
              <w:rPr>
                <w:rFonts w:ascii="Verdana" w:hAnsi="Verdana"/>
                <w:bCs/>
                <w:lang w:val="lt-LT" w:eastAsia="lt-LT"/>
              </w:rPr>
              <w:t>spalvų, kurios bus nurodomos užsakymo metu.</w:t>
            </w:r>
          </w:p>
          <w:p w14:paraId="7BB63B24" w14:textId="1245BC3D" w:rsidR="00DB3FA4" w:rsidRPr="00C606EA" w:rsidRDefault="00DB3FA4" w:rsidP="007F197F">
            <w:pPr>
              <w:jc w:val="both"/>
              <w:rPr>
                <w:rFonts w:ascii="Verdana" w:hAnsi="Verdana"/>
                <w:bCs/>
                <w:lang w:val="lt-LT" w:eastAsia="lt-LT"/>
              </w:rPr>
            </w:pPr>
            <w:r w:rsidRPr="00C606EA">
              <w:rPr>
                <w:rFonts w:ascii="Verdana" w:hAnsi="Verdana"/>
                <w:bCs/>
                <w:lang w:val="lt-LT" w:eastAsia="lt-LT"/>
              </w:rPr>
              <w:t xml:space="preserve">• Kėdės nugarinėje dalyje turi būti </w:t>
            </w:r>
            <w:r w:rsidR="001A199C" w:rsidRPr="00C606EA">
              <w:rPr>
                <w:rFonts w:ascii="Verdana" w:hAnsi="Verdana"/>
                <w:bCs/>
                <w:lang w:val="lt-LT" w:eastAsia="lt-LT"/>
              </w:rPr>
              <w:t>skylė,</w:t>
            </w:r>
            <w:r w:rsidRPr="00C606EA">
              <w:rPr>
                <w:rFonts w:ascii="Verdana" w:hAnsi="Verdana"/>
                <w:bCs/>
                <w:lang w:val="lt-LT" w:eastAsia="lt-LT"/>
              </w:rPr>
              <w:t xml:space="preserve"> </w:t>
            </w:r>
            <w:r w:rsidR="009D655B" w:rsidRPr="00C606EA">
              <w:rPr>
                <w:rFonts w:ascii="Verdana" w:hAnsi="Verdana"/>
                <w:bCs/>
                <w:lang w:val="lt-LT" w:eastAsia="lt-LT"/>
              </w:rPr>
              <w:t>atliekanti rankenos funkciją</w:t>
            </w:r>
            <w:r w:rsidR="001A199C" w:rsidRPr="00C606EA">
              <w:rPr>
                <w:rFonts w:ascii="Verdana" w:hAnsi="Verdana"/>
                <w:bCs/>
                <w:lang w:val="lt-LT" w:eastAsia="lt-LT"/>
              </w:rPr>
              <w:t>, leidžianti patogiai pakelti ir pernešti kėdę</w:t>
            </w:r>
            <w:r w:rsidRPr="00C606EA">
              <w:rPr>
                <w:rFonts w:ascii="Verdana" w:hAnsi="Verdana"/>
                <w:bCs/>
                <w:lang w:val="lt-LT" w:eastAsia="lt-LT"/>
              </w:rPr>
              <w:t>.</w:t>
            </w:r>
          </w:p>
          <w:p w14:paraId="625A81CE" w14:textId="5633799D" w:rsidR="00503C88" w:rsidRPr="00BD3186" w:rsidRDefault="00DB3FA4" w:rsidP="007F197F">
            <w:pPr>
              <w:jc w:val="both"/>
              <w:rPr>
                <w:rFonts w:ascii="Verdana" w:hAnsi="Verdana"/>
                <w:strike/>
                <w:lang w:val="lt-LT"/>
              </w:rPr>
            </w:pPr>
            <w:r w:rsidRPr="00C606EA">
              <w:rPr>
                <w:rFonts w:ascii="Verdana" w:hAnsi="Verdana"/>
                <w:bCs/>
                <w:lang w:val="lt-LT" w:eastAsia="lt-LT"/>
              </w:rPr>
              <w:t xml:space="preserve">• </w:t>
            </w:r>
            <w:r w:rsidR="00C606EA" w:rsidRPr="00C606EA">
              <w:rPr>
                <w:rFonts w:ascii="Verdana" w:hAnsi="Verdana"/>
                <w:lang w:val="lt-LT"/>
              </w:rPr>
              <w:t>Kėdė</w:t>
            </w:r>
            <w:r w:rsidR="00503C88" w:rsidRPr="00C606EA">
              <w:rPr>
                <w:rFonts w:ascii="Verdana" w:hAnsi="Verdana"/>
                <w:lang w:val="lt-LT"/>
              </w:rPr>
              <w:t xml:space="preserve"> turi </w:t>
            </w:r>
            <w:r w:rsidR="00503C88" w:rsidRPr="00BD3186">
              <w:rPr>
                <w:rFonts w:ascii="Verdana" w:hAnsi="Verdana"/>
                <w:lang w:val="lt-LT"/>
              </w:rPr>
              <w:t>atitikti EN 1729 arba lygiaverčio standarto reikalavimus</w:t>
            </w:r>
            <w:r w:rsidR="00BD3186" w:rsidRPr="00BD3186">
              <w:rPr>
                <w:rFonts w:ascii="Verdana" w:hAnsi="Verdana"/>
                <w:lang w:val="lt-LT"/>
              </w:rPr>
              <w:t xml:space="preserve"> </w:t>
            </w:r>
            <w:r w:rsidR="00503C88" w:rsidRPr="00BD3186">
              <w:rPr>
                <w:rFonts w:ascii="Verdana" w:hAnsi="Verdana"/>
                <w:lang w:val="lt-LT"/>
              </w:rPr>
              <w:t>(atitiktį privaloma pagrįsti gamintojo techniniais dokumentais, pateikiamais kartu su pasiūlymu)</w:t>
            </w:r>
            <w:r w:rsidR="00BD3186" w:rsidRPr="00BD3186">
              <w:rPr>
                <w:rFonts w:ascii="Verdana" w:hAnsi="Verdana"/>
                <w:lang w:val="lt-LT"/>
              </w:rPr>
              <w:t>.</w:t>
            </w:r>
            <w:r w:rsidR="009F1988" w:rsidRPr="00BD3186">
              <w:rPr>
                <w:rFonts w:ascii="Verdana" w:hAnsi="Verdana"/>
                <w:lang w:val="lt-LT"/>
              </w:rPr>
              <w:t xml:space="preserve"> Kėdės sėdynės aukštis – </w:t>
            </w:r>
            <w:r w:rsidR="00503C88" w:rsidRPr="00BD3186">
              <w:rPr>
                <w:rFonts w:ascii="Verdana" w:hAnsi="Verdana"/>
                <w:lang w:val="lt-LT"/>
              </w:rPr>
              <w:t>4</w:t>
            </w:r>
            <w:r w:rsidR="009F1988" w:rsidRPr="00BD3186">
              <w:rPr>
                <w:rFonts w:ascii="Verdana" w:hAnsi="Verdana"/>
                <w:lang w:val="lt-LT"/>
              </w:rPr>
              <w:t>60 mm</w:t>
            </w:r>
            <w:r w:rsidR="00381928">
              <w:rPr>
                <w:rFonts w:ascii="Verdana" w:hAnsi="Verdana"/>
                <w:lang w:val="lt-LT"/>
              </w:rPr>
              <w:t xml:space="preserve"> (</w:t>
            </w:r>
            <w:r w:rsidR="00381928" w:rsidRPr="00C606EA">
              <w:rPr>
                <w:rFonts w:ascii="Verdana" w:hAnsi="Verdana"/>
                <w:bCs/>
                <w:lang w:val="lt-LT" w:eastAsia="lt-LT"/>
              </w:rPr>
              <w:t>±</w:t>
            </w:r>
            <w:r w:rsidR="000A50FA">
              <w:rPr>
                <w:rFonts w:ascii="Verdana" w:hAnsi="Verdana"/>
                <w:bCs/>
                <w:lang w:val="lt-LT" w:eastAsia="lt-LT"/>
              </w:rPr>
              <w:t>5</w:t>
            </w:r>
            <w:r w:rsidR="00381928" w:rsidRPr="00C606EA">
              <w:rPr>
                <w:rFonts w:ascii="Verdana" w:hAnsi="Verdana"/>
                <w:bCs/>
                <w:lang w:val="lt-LT" w:eastAsia="lt-LT"/>
              </w:rPr>
              <w:t xml:space="preserve"> mm paklaida</w:t>
            </w:r>
            <w:r w:rsidR="00381928">
              <w:rPr>
                <w:rFonts w:ascii="Verdana" w:hAnsi="Verdana"/>
                <w:bCs/>
                <w:lang w:val="lt-LT" w:eastAsia="lt-LT"/>
              </w:rPr>
              <w:t>)</w:t>
            </w:r>
            <w:r w:rsidR="009F1988" w:rsidRPr="00BD3186">
              <w:rPr>
                <w:rFonts w:ascii="Verdana" w:hAnsi="Verdana"/>
                <w:lang w:val="lt-LT"/>
              </w:rPr>
              <w:t xml:space="preserve">, </w:t>
            </w:r>
            <w:r w:rsidR="00BD3186" w:rsidRPr="00BD3186">
              <w:rPr>
                <w:rFonts w:ascii="Verdana" w:hAnsi="Verdana"/>
                <w:lang w:val="lt-LT"/>
              </w:rPr>
              <w:t>sėdynės ir atlošo dydis – EN</w:t>
            </w:r>
            <w:r w:rsidR="00BD3186">
              <w:rPr>
                <w:rFonts w:ascii="Verdana" w:hAnsi="Verdana"/>
                <w:lang w:val="lt-LT"/>
              </w:rPr>
              <w:t xml:space="preserve"> </w:t>
            </w:r>
            <w:r w:rsidR="00BD3186" w:rsidRPr="00BD3186">
              <w:rPr>
                <w:rFonts w:ascii="Verdana" w:hAnsi="Verdana"/>
                <w:lang w:val="lt-LT"/>
              </w:rPr>
              <w:t>6 (L).</w:t>
            </w:r>
          </w:p>
          <w:p w14:paraId="648B7D4C" w14:textId="4D36197E" w:rsidR="00B23D7F" w:rsidRDefault="00DB3FA4" w:rsidP="007F197F">
            <w:pPr>
              <w:jc w:val="both"/>
              <w:rPr>
                <w:rFonts w:ascii="Verdana" w:hAnsi="Verdana"/>
                <w:bCs/>
                <w:lang w:val="lt-LT" w:eastAsia="lt-LT"/>
              </w:rPr>
            </w:pPr>
            <w:r w:rsidRPr="00BD3186">
              <w:rPr>
                <w:rFonts w:ascii="Verdana" w:hAnsi="Verdana"/>
                <w:bCs/>
                <w:lang w:val="lt-LT" w:eastAsia="lt-LT"/>
              </w:rPr>
              <w:t xml:space="preserve">• </w:t>
            </w:r>
            <w:r w:rsidR="00381928" w:rsidRPr="00381928">
              <w:rPr>
                <w:rFonts w:ascii="Verdana" w:hAnsi="Verdana"/>
                <w:bCs/>
                <w:lang w:val="lt-LT" w:eastAsia="lt-LT"/>
              </w:rPr>
              <w:t>Kėdės turi būti sertifikuotos pagal GS (saugos) standartą arba lygiavertį, taip pat turi turėti bent vieną tvarumo ar aplinkosaugos standartą (pvz., BIFMA, FEMB ar kitą lygiavertį), užtikrinantį tokio paties lygio saugą ir tvarumą. Sertifikatai ar kiti lygiaverčiai dokumentai turi būti išduoti akredituotų sertifikavimo įstaigų, galioti siūlomam gaminiui, o jų lygiavertiškumas turi būti pagrįstas gamintojo deklaracijomis, bandymų protokolais, atitikties sertifikatais ar kitais lygiaverčiais įrodymais, pateikiamais kartu su pasiūlymu.</w:t>
            </w:r>
          </w:p>
          <w:p w14:paraId="361C9B6F" w14:textId="225C7229" w:rsidR="006F2AEB" w:rsidRPr="00C606EA" w:rsidRDefault="006F2AEB" w:rsidP="007F197F">
            <w:pPr>
              <w:jc w:val="both"/>
              <w:rPr>
                <w:rFonts w:ascii="Verdana" w:hAnsi="Verdana"/>
                <w:b/>
                <w:bCs/>
                <w:lang w:val="lt-LT" w:eastAsia="lt-LT"/>
              </w:rPr>
            </w:pPr>
            <w:r w:rsidRPr="00C606EA">
              <w:rPr>
                <w:rFonts w:ascii="Verdana" w:hAnsi="Verdana"/>
                <w:b/>
                <w:bCs/>
                <w:lang w:val="lt-LT" w:eastAsia="lt-LT"/>
              </w:rPr>
              <w:t>Mokinio stalas, 2</w:t>
            </w:r>
            <w:r w:rsidR="007C0224" w:rsidRPr="00C606EA">
              <w:rPr>
                <w:rFonts w:ascii="Verdana" w:hAnsi="Verdana"/>
                <w:b/>
                <w:bCs/>
                <w:lang w:val="lt-LT" w:eastAsia="lt-LT"/>
              </w:rPr>
              <w:t>4</w:t>
            </w:r>
            <w:r w:rsidRPr="00C606EA">
              <w:rPr>
                <w:rFonts w:ascii="Verdana" w:hAnsi="Verdana"/>
                <w:b/>
                <w:bCs/>
                <w:lang w:val="lt-LT" w:eastAsia="lt-LT"/>
              </w:rPr>
              <w:t>0 vnt.</w:t>
            </w:r>
          </w:p>
          <w:p w14:paraId="469ECB96" w14:textId="0ACAFB3B" w:rsidR="00503C88" w:rsidRPr="00C606EA" w:rsidRDefault="006F2AEB" w:rsidP="007F197F">
            <w:pPr>
              <w:jc w:val="both"/>
              <w:rPr>
                <w:rFonts w:ascii="Verdana" w:hAnsi="Verdana"/>
                <w:bCs/>
                <w:lang w:val="lt-LT" w:eastAsia="lt-LT"/>
              </w:rPr>
            </w:pPr>
            <w:r w:rsidRPr="00C606EA">
              <w:rPr>
                <w:rFonts w:ascii="Verdana" w:hAnsi="Verdana"/>
                <w:bCs/>
                <w:lang w:val="lt-LT" w:eastAsia="lt-LT"/>
              </w:rPr>
              <w:t xml:space="preserve">• </w:t>
            </w:r>
            <w:r w:rsidR="00503C88" w:rsidRPr="00C606EA">
              <w:rPr>
                <w:rFonts w:ascii="Verdana" w:hAnsi="Verdana"/>
                <w:bCs/>
                <w:lang w:val="lt-LT" w:eastAsia="lt-LT"/>
              </w:rPr>
              <w:t>Stalo kojos turi būti plieninės, stabilios konstrukcijos, T formos su papildomu skersiniu tarp šoninių kojų, užtikrinančiu stalo tvirtumą ir stabilumą.</w:t>
            </w:r>
          </w:p>
          <w:p w14:paraId="14D69EC7" w14:textId="097D6080" w:rsidR="006F2AEB" w:rsidRPr="00C606EA" w:rsidRDefault="006F2AEB" w:rsidP="007F197F">
            <w:pPr>
              <w:jc w:val="both"/>
              <w:rPr>
                <w:rFonts w:ascii="Verdana" w:hAnsi="Verdana"/>
                <w:bCs/>
                <w:lang w:val="lt-LT" w:eastAsia="lt-LT"/>
              </w:rPr>
            </w:pPr>
            <w:r w:rsidRPr="00C606EA">
              <w:rPr>
                <w:rFonts w:ascii="Verdana" w:hAnsi="Verdana"/>
                <w:bCs/>
                <w:lang w:val="lt-LT" w:eastAsia="lt-LT"/>
              </w:rPr>
              <w:t>• Kojų aukštis turi būti reguliuojamas ne mažesniame kaip 590–820 mm intervale</w:t>
            </w:r>
            <w:r w:rsidR="00337588">
              <w:rPr>
                <w:rFonts w:ascii="Verdana" w:hAnsi="Verdana"/>
                <w:bCs/>
                <w:lang w:val="lt-LT" w:eastAsia="lt-LT"/>
              </w:rPr>
              <w:t xml:space="preserve"> </w:t>
            </w:r>
            <w:r w:rsidRPr="00C606EA">
              <w:rPr>
                <w:rFonts w:ascii="Verdana" w:hAnsi="Verdana"/>
                <w:bCs/>
                <w:lang w:val="lt-LT" w:eastAsia="lt-LT"/>
              </w:rPr>
              <w:t xml:space="preserve">ne mažiau kaip 5 pakopomis. </w:t>
            </w:r>
            <w:r w:rsidR="00503C88" w:rsidRPr="00C606EA">
              <w:rPr>
                <w:rFonts w:ascii="Verdana" w:hAnsi="Verdana"/>
                <w:bCs/>
                <w:lang w:val="lt-LT" w:eastAsia="lt-LT"/>
              </w:rPr>
              <w:t>Aukščio reguliavimui naudojamas šešiakampis raktas (pvz., „</w:t>
            </w:r>
            <w:proofErr w:type="spellStart"/>
            <w:r w:rsidR="00503C88" w:rsidRPr="00C606EA">
              <w:rPr>
                <w:rFonts w:ascii="Verdana" w:hAnsi="Verdana"/>
                <w:bCs/>
                <w:lang w:val="lt-LT" w:eastAsia="lt-LT"/>
              </w:rPr>
              <w:t>Allen</w:t>
            </w:r>
            <w:proofErr w:type="spellEnd"/>
            <w:r w:rsidR="00503C88" w:rsidRPr="00C606EA">
              <w:rPr>
                <w:rFonts w:ascii="Verdana" w:hAnsi="Verdana"/>
                <w:bCs/>
                <w:lang w:val="lt-LT" w:eastAsia="lt-LT"/>
              </w:rPr>
              <w:t>“) arba lygiavertis sprendimas.</w:t>
            </w:r>
          </w:p>
          <w:p w14:paraId="0895F943" w14:textId="3F6FECF6" w:rsidR="006F2AEB" w:rsidRPr="00C606EA" w:rsidRDefault="006F2AEB" w:rsidP="007F197F">
            <w:pPr>
              <w:jc w:val="both"/>
              <w:rPr>
                <w:rFonts w:ascii="Verdana" w:hAnsi="Verdana"/>
                <w:bCs/>
                <w:lang w:val="lt-LT" w:eastAsia="lt-LT"/>
              </w:rPr>
            </w:pPr>
            <w:r w:rsidRPr="00C606EA">
              <w:rPr>
                <w:rFonts w:ascii="Verdana" w:hAnsi="Verdana"/>
                <w:bCs/>
                <w:lang w:val="lt-LT" w:eastAsia="lt-LT"/>
              </w:rPr>
              <w:t xml:space="preserve">• Stalo rėmas turi būti padengtas milteliniu būdu epoksidine danga. Turi būti galimybė pasirinkti </w:t>
            </w:r>
            <w:r w:rsidRPr="00381928">
              <w:rPr>
                <w:rFonts w:ascii="Verdana" w:hAnsi="Verdana"/>
                <w:bCs/>
                <w:lang w:val="lt-LT" w:eastAsia="lt-LT"/>
              </w:rPr>
              <w:t xml:space="preserve">iš ne mažiau kaip </w:t>
            </w:r>
            <w:r w:rsidR="009D655B" w:rsidRPr="00381928">
              <w:rPr>
                <w:rFonts w:ascii="Verdana" w:hAnsi="Verdana"/>
                <w:bCs/>
                <w:lang w:val="lt-LT" w:eastAsia="lt-LT"/>
              </w:rPr>
              <w:t>5</w:t>
            </w:r>
            <w:r w:rsidRPr="00381928">
              <w:rPr>
                <w:rFonts w:ascii="Verdana" w:hAnsi="Verdana"/>
                <w:bCs/>
                <w:lang w:val="lt-LT" w:eastAsia="lt-LT"/>
              </w:rPr>
              <w:t xml:space="preserve"> </w:t>
            </w:r>
            <w:r w:rsidR="00A07050" w:rsidRPr="00381928">
              <w:rPr>
                <w:rFonts w:ascii="Verdana" w:hAnsi="Verdana"/>
                <w:bCs/>
                <w:lang w:val="lt-LT" w:eastAsia="lt-LT"/>
              </w:rPr>
              <w:t xml:space="preserve">pagrindinių </w:t>
            </w:r>
            <w:r w:rsidRPr="00381928">
              <w:rPr>
                <w:rFonts w:ascii="Verdana" w:hAnsi="Verdana"/>
                <w:bCs/>
                <w:lang w:val="lt-LT" w:eastAsia="lt-LT"/>
              </w:rPr>
              <w:t>spalvų, kurios bus nurodomos užsakymo metu.</w:t>
            </w:r>
          </w:p>
          <w:p w14:paraId="7C8835F6" w14:textId="63A513EA" w:rsidR="006F2AEB" w:rsidRPr="00C606EA" w:rsidRDefault="006F2AEB" w:rsidP="007F197F">
            <w:pPr>
              <w:jc w:val="both"/>
              <w:rPr>
                <w:rFonts w:ascii="Verdana" w:hAnsi="Verdana"/>
                <w:bCs/>
                <w:lang w:val="lt-LT" w:eastAsia="lt-LT"/>
              </w:rPr>
            </w:pPr>
            <w:r w:rsidRPr="00C606EA">
              <w:rPr>
                <w:rFonts w:ascii="Verdana" w:hAnsi="Verdana"/>
                <w:bCs/>
                <w:lang w:val="lt-LT" w:eastAsia="lt-LT"/>
              </w:rPr>
              <w:t xml:space="preserve">• </w:t>
            </w:r>
            <w:r w:rsidR="00A73E06" w:rsidRPr="00C606EA">
              <w:rPr>
                <w:rFonts w:ascii="Verdana" w:hAnsi="Verdana"/>
                <w:bCs/>
                <w:lang w:val="lt-LT" w:eastAsia="lt-LT"/>
              </w:rPr>
              <w:t xml:space="preserve">Stalviršio dydis – 700 × 500 mm (leidžiama ±20 mm paklaida), atitinkantis </w:t>
            </w:r>
            <w:r w:rsidR="00A73E06" w:rsidRPr="00381928">
              <w:rPr>
                <w:rFonts w:ascii="Verdana" w:hAnsi="Verdana"/>
                <w:bCs/>
                <w:lang w:val="lt-LT" w:eastAsia="lt-LT"/>
              </w:rPr>
              <w:t>DIN ISO 5970</w:t>
            </w:r>
            <w:r w:rsidR="00A73E06" w:rsidRPr="00C606EA">
              <w:rPr>
                <w:rFonts w:ascii="Verdana" w:hAnsi="Verdana"/>
                <w:bCs/>
                <w:lang w:val="lt-LT" w:eastAsia="lt-LT"/>
              </w:rPr>
              <w:t xml:space="preserve"> reikalavimus arba lygiavertį standartą</w:t>
            </w:r>
            <w:r w:rsidR="00337588">
              <w:rPr>
                <w:rFonts w:ascii="Verdana" w:hAnsi="Verdana"/>
                <w:bCs/>
                <w:lang w:val="lt-LT" w:eastAsia="lt-LT"/>
              </w:rPr>
              <w:t xml:space="preserve"> </w:t>
            </w:r>
            <w:r w:rsidR="00A73E06" w:rsidRPr="00C606EA">
              <w:rPr>
                <w:rFonts w:ascii="Verdana" w:hAnsi="Verdana"/>
                <w:lang w:val="lt-LT"/>
              </w:rPr>
              <w:t>(atitiktį privaloma pagrįsti gamintojo techniniais dokumentais, pateikiamais kartu su pasiūlymu)</w:t>
            </w:r>
            <w:r w:rsidRPr="00C606EA">
              <w:rPr>
                <w:rFonts w:ascii="Verdana" w:hAnsi="Verdana"/>
                <w:bCs/>
                <w:lang w:val="lt-LT" w:eastAsia="lt-LT"/>
              </w:rPr>
              <w:t>.</w:t>
            </w:r>
          </w:p>
          <w:p w14:paraId="193FE460" w14:textId="7FF20FE7" w:rsidR="006F2AEB" w:rsidRPr="00C606EA" w:rsidRDefault="006F2AEB" w:rsidP="007F197F">
            <w:pPr>
              <w:jc w:val="both"/>
              <w:rPr>
                <w:rFonts w:ascii="Verdana" w:hAnsi="Verdana"/>
                <w:bCs/>
                <w:lang w:val="lt-LT" w:eastAsia="lt-LT"/>
              </w:rPr>
            </w:pPr>
            <w:r w:rsidRPr="00C606EA">
              <w:rPr>
                <w:rFonts w:ascii="Verdana" w:hAnsi="Verdana"/>
                <w:bCs/>
                <w:lang w:val="lt-LT" w:eastAsia="lt-LT"/>
              </w:rPr>
              <w:t xml:space="preserve">• </w:t>
            </w:r>
            <w:r w:rsidR="0095132F" w:rsidRPr="00C606EA">
              <w:rPr>
                <w:rFonts w:ascii="Verdana" w:hAnsi="Verdana"/>
                <w:bCs/>
                <w:lang w:val="lt-LT" w:eastAsia="lt-LT"/>
              </w:rPr>
              <w:t>Stalviršio spalva – pilkai balta, atitinkanti RAL 9002 arba vizualiai lygiavertė spalva</w:t>
            </w:r>
            <w:r w:rsidRPr="00C606EA">
              <w:rPr>
                <w:rFonts w:ascii="Verdana" w:hAnsi="Verdana"/>
                <w:bCs/>
                <w:lang w:val="lt-LT" w:eastAsia="lt-LT"/>
              </w:rPr>
              <w:t>.</w:t>
            </w:r>
          </w:p>
          <w:p w14:paraId="22406256" w14:textId="77777777" w:rsidR="00BD3186" w:rsidRDefault="006F2AEB" w:rsidP="0095132F">
            <w:pPr>
              <w:jc w:val="both"/>
              <w:rPr>
                <w:rFonts w:ascii="Verdana" w:hAnsi="Verdana"/>
                <w:bCs/>
                <w:lang w:val="lt-LT" w:eastAsia="lt-LT"/>
              </w:rPr>
            </w:pPr>
            <w:r w:rsidRPr="00C606EA">
              <w:rPr>
                <w:rFonts w:ascii="Verdana" w:hAnsi="Verdana"/>
                <w:bCs/>
                <w:lang w:val="lt-LT" w:eastAsia="lt-LT"/>
              </w:rPr>
              <w:t xml:space="preserve">• Stalviršis turi būti ne plonesnis kaip 16 mm, </w:t>
            </w:r>
            <w:r w:rsidR="007F694E" w:rsidRPr="007F694E">
              <w:rPr>
                <w:rFonts w:ascii="Verdana" w:hAnsi="Verdana"/>
                <w:bCs/>
                <w:lang w:val="lt-LT" w:eastAsia="lt-LT"/>
              </w:rPr>
              <w:t>pagamintas taikant</w:t>
            </w:r>
            <w:r w:rsidR="007F694E">
              <w:rPr>
                <w:rFonts w:ascii="Verdana" w:hAnsi="Verdana"/>
                <w:bCs/>
                <w:lang w:val="lt-LT" w:eastAsia="lt-LT"/>
              </w:rPr>
              <w:t xml:space="preserve"> </w:t>
            </w:r>
            <w:r w:rsidR="007F694E" w:rsidRPr="007F694E">
              <w:rPr>
                <w:rFonts w:ascii="Verdana" w:hAnsi="Verdana"/>
                <w:bCs/>
                <w:lang w:val="lt-LT" w:eastAsia="lt-LT"/>
              </w:rPr>
              <w:t>termodinaminę technologiją</w:t>
            </w:r>
            <w:r w:rsidR="007F694E">
              <w:rPr>
                <w:rFonts w:ascii="Verdana" w:hAnsi="Verdana"/>
                <w:bCs/>
                <w:lang w:val="lt-LT" w:eastAsia="lt-LT"/>
              </w:rPr>
              <w:t xml:space="preserve"> arba lygiavertį gamybos metodą</w:t>
            </w:r>
            <w:r w:rsidRPr="00C606EA">
              <w:rPr>
                <w:rFonts w:ascii="Verdana" w:hAnsi="Verdana"/>
                <w:bCs/>
                <w:lang w:val="lt-LT" w:eastAsia="lt-LT"/>
              </w:rPr>
              <w:t xml:space="preserve">. Stalviršis turi būti pagamintas iš </w:t>
            </w:r>
            <w:r w:rsidR="0095132F" w:rsidRPr="00C606EA">
              <w:rPr>
                <w:rFonts w:ascii="Verdana" w:hAnsi="Verdana"/>
                <w:bCs/>
                <w:lang w:val="lt-LT" w:eastAsia="lt-LT"/>
              </w:rPr>
              <w:t>medienos</w:t>
            </w:r>
            <w:r w:rsidRPr="00C606EA">
              <w:rPr>
                <w:rFonts w:ascii="Verdana" w:hAnsi="Verdana"/>
                <w:bCs/>
                <w:lang w:val="lt-LT" w:eastAsia="lt-LT"/>
              </w:rPr>
              <w:t xml:space="preserve"> </w:t>
            </w:r>
            <w:r w:rsidR="00A07050">
              <w:rPr>
                <w:rFonts w:ascii="Verdana" w:hAnsi="Verdana"/>
                <w:bCs/>
                <w:lang w:val="lt-LT" w:eastAsia="lt-LT"/>
              </w:rPr>
              <w:t xml:space="preserve">(pvz., buko) </w:t>
            </w:r>
            <w:r w:rsidRPr="00C606EA">
              <w:rPr>
                <w:rFonts w:ascii="Verdana" w:hAnsi="Verdana"/>
                <w:bCs/>
                <w:lang w:val="lt-LT" w:eastAsia="lt-LT"/>
              </w:rPr>
              <w:t xml:space="preserve">drožlių </w:t>
            </w:r>
            <w:r w:rsidR="0095132F" w:rsidRPr="00C606EA">
              <w:rPr>
                <w:rFonts w:ascii="Verdana" w:hAnsi="Verdana"/>
                <w:bCs/>
                <w:lang w:val="lt-LT" w:eastAsia="lt-LT"/>
              </w:rPr>
              <w:t>plokštės</w:t>
            </w:r>
            <w:r w:rsidR="007F694E">
              <w:rPr>
                <w:rFonts w:ascii="Verdana" w:hAnsi="Verdana"/>
                <w:bCs/>
                <w:lang w:val="lt-LT" w:eastAsia="lt-LT"/>
              </w:rPr>
              <w:t xml:space="preserve"> </w:t>
            </w:r>
            <w:r w:rsidR="007F694E" w:rsidRPr="007F694E">
              <w:rPr>
                <w:rFonts w:ascii="Verdana" w:hAnsi="Verdana"/>
                <w:bCs/>
                <w:lang w:val="lt-LT" w:eastAsia="lt-LT"/>
              </w:rPr>
              <w:t>arba lygiavertės medžiagos</w:t>
            </w:r>
            <w:r w:rsidRPr="00C606EA">
              <w:rPr>
                <w:rFonts w:ascii="Verdana" w:hAnsi="Verdana"/>
                <w:bCs/>
                <w:lang w:val="lt-LT" w:eastAsia="lt-LT"/>
              </w:rPr>
              <w:t xml:space="preserve"> su apvalintais kraštais ir kampais. </w:t>
            </w:r>
            <w:r w:rsidR="00BD3186" w:rsidRPr="00BD3186">
              <w:rPr>
                <w:rFonts w:ascii="Verdana" w:hAnsi="Verdana"/>
                <w:bCs/>
                <w:lang w:val="lt-LT" w:eastAsia="lt-LT"/>
              </w:rPr>
              <w:t>Stalviršio paviršius turi būti tinkamas intensyviam naudojimui – ne blogesnio kaip IC3 lygio pagal DIN EN 13329 bandymų metodiką arba lygiaverčius atsparumo parametrus, ir atitikti DIN EN 438-2 ir DIN 68861 reikalavimus arba lygiaverčius standartus.</w:t>
            </w:r>
          </w:p>
          <w:p w14:paraId="618E7E55" w14:textId="43B2179B" w:rsidR="006F2AEB" w:rsidRPr="00C606EA" w:rsidRDefault="006F2AEB" w:rsidP="0095132F">
            <w:pPr>
              <w:jc w:val="both"/>
              <w:rPr>
                <w:rFonts w:ascii="Verdana" w:hAnsi="Verdana"/>
                <w:bCs/>
                <w:lang w:val="lt-LT" w:eastAsia="lt-LT"/>
              </w:rPr>
            </w:pPr>
            <w:r w:rsidRPr="00C606EA">
              <w:rPr>
                <w:rFonts w:ascii="Verdana" w:hAnsi="Verdana"/>
                <w:bCs/>
                <w:lang w:val="lt-LT" w:eastAsia="lt-LT"/>
              </w:rPr>
              <w:t xml:space="preserve">• </w:t>
            </w:r>
            <w:r w:rsidR="0095132F" w:rsidRPr="00C606EA">
              <w:rPr>
                <w:rFonts w:ascii="Verdana" w:hAnsi="Verdana"/>
                <w:bCs/>
                <w:lang w:val="lt-LT" w:eastAsia="lt-LT"/>
              </w:rPr>
              <w:t>Stalai turi būti sertifikuoti pagal GS (saugos) standartą arba lygiavertį, taip pat bent vieną tvarumo ar aplinkosaugos standartą (pvz., BIFMA, FEMB ar lygiavertį), užtikrinantį tokio paties lygio saugą ir tvarumą. Sertifikatai arba lygiaverčiai dokumentai turi būti išduoti akredituotų sertifikavimo įstaigų ir galioti siūlomam gaminiui</w:t>
            </w:r>
            <w:r w:rsidRPr="00C606EA">
              <w:rPr>
                <w:rFonts w:ascii="Verdana" w:hAnsi="Verdana"/>
                <w:bCs/>
                <w:lang w:val="lt-LT" w:eastAsia="lt-LT"/>
              </w:rPr>
              <w:t>. Lygiavertiškumas turi būti pagrįstas dokumentais, tokiais kaip gamintojo deklaracijos, akredituotų ar nepriklausomų laboratorijų bandymų protokolai, atitikties sertifikatai ar kiti lygiaverčiai įrodymai.</w:t>
            </w:r>
          </w:p>
          <w:p w14:paraId="08879114" w14:textId="1382332F" w:rsidR="006F2AEB" w:rsidRPr="00C606EA" w:rsidRDefault="00337588" w:rsidP="00337588">
            <w:pPr>
              <w:jc w:val="both"/>
              <w:rPr>
                <w:rFonts w:ascii="Verdana" w:eastAsiaTheme="minorEastAsia" w:hAnsi="Verdana"/>
                <w:kern w:val="2"/>
                <w:lang w:val="lt-LT" w:eastAsia="lt-LT"/>
              </w:rPr>
            </w:pPr>
            <w:r w:rsidRPr="00337588">
              <w:rPr>
                <w:rFonts w:ascii="Verdana" w:eastAsiaTheme="minorEastAsia" w:hAnsi="Verdana"/>
                <w:kern w:val="2"/>
                <w:lang w:val="lt-LT" w:eastAsia="lt-LT"/>
              </w:rPr>
              <w:lastRenderedPageBreak/>
              <w:t>Baldai (kėdės ir stalai) turi būti ergonomiškai suderinti ir atitikti EN 1729 ir (arba) DIN ISO 5970 arba lygiaverčius standartus, taikant EN 1729 dydžio klasę EN 6 (L) arba lygiaverčius matmenis.</w:t>
            </w:r>
          </w:p>
        </w:tc>
      </w:tr>
      <w:tr w:rsidR="00D12491" w:rsidRPr="00C606EA" w14:paraId="16854996" w14:textId="77777777" w:rsidTr="00E7501A">
        <w:trPr>
          <w:cantSplit/>
          <w:trHeight w:val="624"/>
        </w:trPr>
        <w:tc>
          <w:tcPr>
            <w:tcW w:w="9606" w:type="dxa"/>
            <w:shd w:val="clear" w:color="auto" w:fill="D9D9D9" w:themeFill="background1" w:themeFillShade="D9"/>
            <w:vAlign w:val="center"/>
          </w:tcPr>
          <w:p w14:paraId="53704EA1" w14:textId="14726D40" w:rsidR="00D12491" w:rsidRPr="00C606EA" w:rsidRDefault="00D45505" w:rsidP="00413DD5">
            <w:pPr>
              <w:tabs>
                <w:tab w:val="left" w:pos="319"/>
              </w:tabs>
              <w:ind w:firstLine="319"/>
              <w:contextualSpacing/>
              <w:jc w:val="both"/>
              <w:rPr>
                <w:rFonts w:ascii="Verdana" w:hAnsi="Verdana"/>
                <w:b/>
                <w:lang w:val="lt-LT"/>
              </w:rPr>
            </w:pPr>
            <w:r w:rsidRPr="00C606EA">
              <w:rPr>
                <w:rFonts w:ascii="Verdana" w:hAnsi="Verdana"/>
                <w:b/>
                <w:bCs/>
                <w:color w:val="000000"/>
                <w:lang w:val="lt-LT"/>
              </w:rPr>
              <w:lastRenderedPageBreak/>
              <w:t>Pirkimo objekto k</w:t>
            </w:r>
            <w:r w:rsidRPr="00C606EA">
              <w:rPr>
                <w:rFonts w:ascii="Verdana" w:hAnsi="Verdana"/>
                <w:b/>
                <w:lang w:val="lt-LT"/>
              </w:rPr>
              <w:t xml:space="preserve">iekis ar apimtys </w:t>
            </w:r>
            <w:r w:rsidRPr="00C606EA">
              <w:rPr>
                <w:rFonts w:ascii="Verdana" w:hAnsi="Verdana"/>
                <w:i/>
                <w:lang w:val="lt-LT"/>
              </w:rPr>
              <w:t>(atsižvelgiant į visą pirkimo sutarties trukmę su galimais pratęsimais)</w:t>
            </w:r>
          </w:p>
        </w:tc>
      </w:tr>
      <w:tr w:rsidR="00D12491" w:rsidRPr="00C606EA" w14:paraId="3EB968AB" w14:textId="77777777" w:rsidTr="00E7501A">
        <w:trPr>
          <w:cantSplit/>
          <w:trHeight w:val="345"/>
        </w:trPr>
        <w:tc>
          <w:tcPr>
            <w:tcW w:w="9606" w:type="dxa"/>
          </w:tcPr>
          <w:p w14:paraId="1264C3D4" w14:textId="293AFB4B" w:rsidR="005A0F30" w:rsidRPr="00C606EA" w:rsidRDefault="00413DD5" w:rsidP="009D655B">
            <w:pPr>
              <w:ind w:firstLine="319"/>
              <w:contextualSpacing/>
              <w:jc w:val="both"/>
              <w:rPr>
                <w:rFonts w:ascii="Verdana" w:hAnsi="Verdana"/>
                <w:bCs/>
                <w:lang w:val="lt-LT"/>
              </w:rPr>
            </w:pPr>
            <w:r w:rsidRPr="00C606EA">
              <w:rPr>
                <w:rFonts w:ascii="Verdana" w:hAnsi="Verdana"/>
                <w:bCs/>
                <w:lang w:val="lt-LT"/>
              </w:rPr>
              <w:t>2</w:t>
            </w:r>
            <w:r w:rsidR="009D655B" w:rsidRPr="00C606EA">
              <w:rPr>
                <w:rFonts w:ascii="Verdana" w:hAnsi="Verdana"/>
                <w:bCs/>
                <w:lang w:val="lt-LT"/>
              </w:rPr>
              <w:t>4</w:t>
            </w:r>
            <w:r w:rsidRPr="00C606EA">
              <w:rPr>
                <w:rFonts w:ascii="Verdana" w:hAnsi="Verdana"/>
                <w:bCs/>
                <w:lang w:val="lt-LT"/>
              </w:rPr>
              <w:t>0 vnt. stalų ir 2</w:t>
            </w:r>
            <w:r w:rsidR="009D655B" w:rsidRPr="00C606EA">
              <w:rPr>
                <w:rFonts w:ascii="Verdana" w:hAnsi="Verdana"/>
                <w:bCs/>
                <w:lang w:val="lt-LT"/>
              </w:rPr>
              <w:t>4</w:t>
            </w:r>
            <w:r w:rsidRPr="00C606EA">
              <w:rPr>
                <w:rFonts w:ascii="Verdana" w:hAnsi="Verdana"/>
                <w:bCs/>
                <w:lang w:val="lt-LT"/>
              </w:rPr>
              <w:t>0 vnt. kėdžių</w:t>
            </w:r>
          </w:p>
        </w:tc>
      </w:tr>
      <w:tr w:rsidR="00F26A83" w:rsidRPr="00C606EA" w14:paraId="6670F810" w14:textId="77777777" w:rsidTr="00E7501A">
        <w:trPr>
          <w:cantSplit/>
          <w:trHeight w:val="397"/>
        </w:trPr>
        <w:tc>
          <w:tcPr>
            <w:tcW w:w="9606" w:type="dxa"/>
            <w:shd w:val="clear" w:color="auto" w:fill="D9D9D9" w:themeFill="background1" w:themeFillShade="D9"/>
            <w:vAlign w:val="center"/>
          </w:tcPr>
          <w:p w14:paraId="69F13AFD" w14:textId="30EB3F64" w:rsidR="00D12491" w:rsidRPr="00C606EA" w:rsidRDefault="00D45505" w:rsidP="00413DD5">
            <w:pPr>
              <w:tabs>
                <w:tab w:val="left" w:pos="319"/>
              </w:tabs>
              <w:ind w:firstLine="319"/>
              <w:contextualSpacing/>
              <w:jc w:val="both"/>
              <w:rPr>
                <w:rFonts w:ascii="Verdana" w:hAnsi="Verdana"/>
                <w:b/>
                <w:lang w:val="lt-LT"/>
              </w:rPr>
            </w:pPr>
            <w:r w:rsidRPr="00C606EA">
              <w:rPr>
                <w:rFonts w:ascii="Verdana" w:hAnsi="Verdana"/>
                <w:b/>
                <w:lang w:val="lt-LT"/>
              </w:rPr>
              <w:t>Prekių pristatymo, paslaugų suteikimo ar darbų atlikimo terminai</w:t>
            </w:r>
          </w:p>
        </w:tc>
      </w:tr>
      <w:tr w:rsidR="00381928" w:rsidRPr="00C606EA" w14:paraId="0F4A5F31" w14:textId="77777777" w:rsidTr="00E7501A">
        <w:trPr>
          <w:cantSplit/>
          <w:trHeight w:val="345"/>
        </w:trPr>
        <w:tc>
          <w:tcPr>
            <w:tcW w:w="9606" w:type="dxa"/>
          </w:tcPr>
          <w:p w14:paraId="2B058EF7" w14:textId="271394C8" w:rsidR="00381928" w:rsidRPr="00C606EA" w:rsidRDefault="00381928" w:rsidP="009D655B">
            <w:pPr>
              <w:ind w:firstLine="319"/>
              <w:contextualSpacing/>
              <w:jc w:val="both"/>
              <w:rPr>
                <w:rFonts w:ascii="Verdana" w:hAnsi="Verdana"/>
                <w:bCs/>
                <w:lang w:val="lt-LT"/>
              </w:rPr>
            </w:pPr>
            <w:r>
              <w:rPr>
                <w:rFonts w:ascii="Verdana" w:hAnsi="Verdana"/>
                <w:bCs/>
                <w:lang w:val="lt-LT"/>
              </w:rPr>
              <w:t>1 mėnesis.</w:t>
            </w:r>
          </w:p>
        </w:tc>
      </w:tr>
      <w:tr w:rsidR="00F26A83" w:rsidRPr="00C606EA" w14:paraId="1C345F73" w14:textId="77777777" w:rsidTr="00E7501A">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C606EA" w:rsidRDefault="00261838" w:rsidP="00413DD5">
            <w:pPr>
              <w:tabs>
                <w:tab w:val="left" w:pos="319"/>
              </w:tabs>
              <w:ind w:firstLine="319"/>
              <w:contextualSpacing/>
              <w:jc w:val="both"/>
              <w:rPr>
                <w:rFonts w:ascii="Verdana" w:hAnsi="Verdana"/>
                <w:b/>
                <w:bCs/>
                <w:i/>
                <w:iCs/>
                <w:lang w:val="lt-LT"/>
              </w:rPr>
            </w:pPr>
            <w:r w:rsidRPr="00C606EA">
              <w:rPr>
                <w:rFonts w:ascii="Verdana" w:hAnsi="Verdana"/>
                <w:b/>
                <w:bCs/>
                <w:lang w:val="lt-LT"/>
              </w:rPr>
              <w:t>Papildoma informacija</w:t>
            </w:r>
          </w:p>
        </w:tc>
      </w:tr>
      <w:tr w:rsidR="00F26A83" w:rsidRPr="00C606EA" w14:paraId="1A63AEBD" w14:textId="77777777" w:rsidTr="00E7501A">
        <w:trPr>
          <w:cantSplit/>
          <w:trHeight w:val="380"/>
        </w:trPr>
        <w:tc>
          <w:tcPr>
            <w:tcW w:w="9606" w:type="dxa"/>
            <w:tcBorders>
              <w:bottom w:val="single" w:sz="4" w:space="0" w:color="auto"/>
              <w:right w:val="single" w:sz="4" w:space="0" w:color="auto"/>
            </w:tcBorders>
            <w:vAlign w:val="center"/>
          </w:tcPr>
          <w:p w14:paraId="203E8AE8" w14:textId="10F3E6D5" w:rsidR="00261838" w:rsidRPr="00C606EA" w:rsidRDefault="00261838" w:rsidP="00413DD5">
            <w:pPr>
              <w:tabs>
                <w:tab w:val="left" w:pos="319"/>
              </w:tabs>
              <w:ind w:firstLine="319"/>
              <w:jc w:val="both"/>
              <w:rPr>
                <w:rFonts w:ascii="Verdana" w:hAnsi="Verdana"/>
                <w:lang w:val="lt-LT"/>
              </w:rPr>
            </w:pPr>
          </w:p>
        </w:tc>
      </w:tr>
    </w:tbl>
    <w:p w14:paraId="647D23D7" w14:textId="77777777" w:rsidR="000B76DB" w:rsidRPr="00C606EA" w:rsidRDefault="000B76DB" w:rsidP="00413DD5">
      <w:pPr>
        <w:widowControl w:val="0"/>
        <w:jc w:val="both"/>
        <w:rPr>
          <w:rFonts w:ascii="Verdana" w:hAnsi="Verdana"/>
          <w:bCs/>
          <w:lang w:val="lt-LT"/>
        </w:rPr>
      </w:pPr>
    </w:p>
    <w:p w14:paraId="5DE242AB" w14:textId="77777777" w:rsidR="00A6379B" w:rsidRPr="00C606EA" w:rsidRDefault="00A6379B" w:rsidP="00413DD5">
      <w:pPr>
        <w:widowControl w:val="0"/>
        <w:tabs>
          <w:tab w:val="left" w:pos="6804"/>
        </w:tabs>
        <w:jc w:val="both"/>
        <w:rPr>
          <w:rFonts w:ascii="Verdana" w:hAnsi="Verdana"/>
          <w:lang w:val="lt-LT"/>
        </w:rPr>
      </w:pPr>
      <w:r w:rsidRPr="00C606EA">
        <w:rPr>
          <w:rFonts w:ascii="Verdana" w:hAnsi="Verdana"/>
          <w:lang w:val="lt-LT"/>
        </w:rPr>
        <w:t>Direktoriaus pavaduotoja ūkiui</w:t>
      </w:r>
      <w:r w:rsidRPr="00C606EA">
        <w:rPr>
          <w:rFonts w:ascii="Verdana" w:hAnsi="Verdana"/>
          <w:lang w:val="lt-LT"/>
        </w:rPr>
        <w:tab/>
        <w:t>Kristina Plycnerienė</w:t>
      </w:r>
    </w:p>
    <w:tbl>
      <w:tblPr>
        <w:tblW w:w="9577" w:type="dxa"/>
        <w:tblLook w:val="04A0" w:firstRow="1" w:lastRow="0" w:firstColumn="1" w:lastColumn="0" w:noHBand="0" w:noVBand="1"/>
      </w:tblPr>
      <w:tblGrid>
        <w:gridCol w:w="4219"/>
        <w:gridCol w:w="284"/>
        <w:gridCol w:w="1559"/>
        <w:gridCol w:w="567"/>
        <w:gridCol w:w="2948"/>
      </w:tblGrid>
      <w:tr w:rsidR="00A6379B" w:rsidRPr="00C606EA" w14:paraId="12911A29" w14:textId="77777777" w:rsidTr="00EC7E96">
        <w:trPr>
          <w:trHeight w:val="71"/>
        </w:trPr>
        <w:tc>
          <w:tcPr>
            <w:tcW w:w="4219" w:type="dxa"/>
            <w:tcBorders>
              <w:top w:val="single" w:sz="4" w:space="0" w:color="auto"/>
              <w:left w:val="nil"/>
              <w:bottom w:val="nil"/>
              <w:right w:val="nil"/>
            </w:tcBorders>
            <w:hideMark/>
          </w:tcPr>
          <w:p w14:paraId="4C24820C" w14:textId="77777777" w:rsidR="00A6379B" w:rsidRPr="00C606EA" w:rsidRDefault="00A6379B" w:rsidP="00413DD5">
            <w:pPr>
              <w:widowControl w:val="0"/>
              <w:rPr>
                <w:rFonts w:ascii="Verdana" w:hAnsi="Verdana"/>
                <w:i/>
                <w:sz w:val="20"/>
                <w:szCs w:val="20"/>
                <w:vertAlign w:val="superscript"/>
                <w:lang w:val="lt-LT"/>
              </w:rPr>
            </w:pPr>
            <w:r w:rsidRPr="00C606EA">
              <w:rPr>
                <w:rFonts w:ascii="Verdana" w:hAnsi="Verdana"/>
                <w:i/>
                <w:sz w:val="20"/>
                <w:szCs w:val="20"/>
                <w:shd w:val="clear" w:color="auto" w:fill="D9D9D9" w:themeFill="background1" w:themeFillShade="D9"/>
                <w:vertAlign w:val="superscript"/>
                <w:lang w:val="lt-LT"/>
              </w:rPr>
              <w:t>(Viešojo pirkimo iniciatoriaus pareigos)</w:t>
            </w:r>
          </w:p>
        </w:tc>
        <w:tc>
          <w:tcPr>
            <w:tcW w:w="284" w:type="dxa"/>
          </w:tcPr>
          <w:p w14:paraId="2F9DDDBA" w14:textId="77777777" w:rsidR="00A6379B" w:rsidRPr="00C606EA" w:rsidRDefault="00A6379B" w:rsidP="00413DD5">
            <w:pPr>
              <w:widowControl w:val="0"/>
              <w:jc w:val="center"/>
              <w:rPr>
                <w:rFonts w:ascii="Verdana" w:hAnsi="Verdana"/>
                <w:i/>
                <w:sz w:val="20"/>
                <w:szCs w:val="20"/>
                <w:vertAlign w:val="superscript"/>
                <w:lang w:val="lt-LT"/>
              </w:rPr>
            </w:pPr>
          </w:p>
        </w:tc>
        <w:tc>
          <w:tcPr>
            <w:tcW w:w="1559" w:type="dxa"/>
            <w:tcBorders>
              <w:top w:val="single" w:sz="4" w:space="0" w:color="auto"/>
              <w:left w:val="nil"/>
              <w:bottom w:val="nil"/>
              <w:right w:val="nil"/>
            </w:tcBorders>
            <w:hideMark/>
          </w:tcPr>
          <w:p w14:paraId="564FFA77" w14:textId="77777777" w:rsidR="00A6379B" w:rsidRPr="00C606EA" w:rsidRDefault="00A6379B" w:rsidP="00413DD5">
            <w:pPr>
              <w:widowControl w:val="0"/>
              <w:jc w:val="center"/>
              <w:rPr>
                <w:rFonts w:ascii="Verdana" w:hAnsi="Verdana"/>
                <w:i/>
                <w:sz w:val="20"/>
                <w:szCs w:val="20"/>
                <w:vertAlign w:val="superscript"/>
                <w:lang w:val="lt-LT"/>
              </w:rPr>
            </w:pPr>
            <w:r w:rsidRPr="00C606EA">
              <w:rPr>
                <w:rFonts w:ascii="Verdana" w:hAnsi="Verdana"/>
                <w:i/>
                <w:sz w:val="20"/>
                <w:szCs w:val="20"/>
                <w:shd w:val="clear" w:color="auto" w:fill="D9D9D9" w:themeFill="background1" w:themeFillShade="D9"/>
                <w:vertAlign w:val="superscript"/>
                <w:lang w:val="lt-LT"/>
              </w:rPr>
              <w:t>(parašas)</w:t>
            </w:r>
          </w:p>
        </w:tc>
        <w:tc>
          <w:tcPr>
            <w:tcW w:w="567" w:type="dxa"/>
          </w:tcPr>
          <w:p w14:paraId="55489586" w14:textId="77777777" w:rsidR="00A6379B" w:rsidRPr="00C606EA" w:rsidRDefault="00A6379B" w:rsidP="00413DD5">
            <w:pPr>
              <w:widowControl w:val="0"/>
              <w:jc w:val="center"/>
              <w:rPr>
                <w:rFonts w:ascii="Verdana" w:hAnsi="Verdana"/>
                <w:i/>
                <w:sz w:val="20"/>
                <w:szCs w:val="20"/>
                <w:vertAlign w:val="superscript"/>
                <w:lang w:val="lt-LT"/>
              </w:rPr>
            </w:pPr>
          </w:p>
        </w:tc>
        <w:tc>
          <w:tcPr>
            <w:tcW w:w="2948" w:type="dxa"/>
            <w:tcBorders>
              <w:top w:val="single" w:sz="4" w:space="0" w:color="auto"/>
              <w:left w:val="nil"/>
              <w:bottom w:val="nil"/>
              <w:right w:val="nil"/>
            </w:tcBorders>
            <w:hideMark/>
          </w:tcPr>
          <w:p w14:paraId="5C9D1DE7" w14:textId="77777777" w:rsidR="00A6379B" w:rsidRPr="00C606EA" w:rsidRDefault="00A6379B" w:rsidP="00413DD5">
            <w:pPr>
              <w:widowControl w:val="0"/>
              <w:jc w:val="center"/>
              <w:rPr>
                <w:rFonts w:ascii="Verdana" w:hAnsi="Verdana"/>
                <w:i/>
                <w:sz w:val="20"/>
                <w:szCs w:val="20"/>
                <w:vertAlign w:val="superscript"/>
                <w:lang w:val="lt-LT"/>
              </w:rPr>
            </w:pPr>
            <w:r w:rsidRPr="00C606EA">
              <w:rPr>
                <w:rFonts w:ascii="Verdana" w:hAnsi="Verdana"/>
                <w:i/>
                <w:sz w:val="20"/>
                <w:szCs w:val="20"/>
                <w:shd w:val="clear" w:color="auto" w:fill="D9D9D9" w:themeFill="background1" w:themeFillShade="D9"/>
                <w:vertAlign w:val="superscript"/>
                <w:lang w:val="lt-LT"/>
              </w:rPr>
              <w:t>(vardas ir pavardė)</w:t>
            </w:r>
          </w:p>
        </w:tc>
      </w:tr>
    </w:tbl>
    <w:p w14:paraId="59399821" w14:textId="77777777" w:rsidR="00A6379B" w:rsidRPr="00C606EA" w:rsidRDefault="00A6379B" w:rsidP="00413DD5">
      <w:pPr>
        <w:tabs>
          <w:tab w:val="left" w:pos="5540"/>
        </w:tabs>
        <w:jc w:val="both"/>
        <w:rPr>
          <w:rFonts w:ascii="Verdana" w:hAnsi="Verdana"/>
          <w:lang w:val="lt-LT"/>
        </w:rPr>
      </w:pPr>
    </w:p>
    <w:p w14:paraId="118E0421" w14:textId="77777777" w:rsidR="00A6379B" w:rsidRPr="00C606EA" w:rsidRDefault="00A6379B" w:rsidP="00413DD5">
      <w:pPr>
        <w:tabs>
          <w:tab w:val="left" w:pos="5540"/>
        </w:tabs>
        <w:rPr>
          <w:rFonts w:ascii="Verdana" w:hAnsi="Verdana"/>
          <w:lang w:val="lt-LT"/>
        </w:rPr>
      </w:pPr>
      <w:r w:rsidRPr="00C606EA">
        <w:rPr>
          <w:rFonts w:ascii="Verdana" w:hAnsi="Verdana"/>
          <w:lang w:val="lt-LT"/>
        </w:rPr>
        <w:t>TVIRTINA:</w:t>
      </w:r>
    </w:p>
    <w:p w14:paraId="10412D2C" w14:textId="77777777" w:rsidR="00A6379B" w:rsidRPr="00C606EA" w:rsidRDefault="00A6379B" w:rsidP="00413DD5">
      <w:pPr>
        <w:tabs>
          <w:tab w:val="left" w:pos="5540"/>
        </w:tabs>
        <w:rPr>
          <w:rFonts w:ascii="Verdana" w:hAnsi="Verdana"/>
          <w:lang w:val="lt-LT"/>
        </w:rPr>
      </w:pPr>
    </w:p>
    <w:p w14:paraId="2F6EB9E4" w14:textId="69E319E0" w:rsidR="00A6379B" w:rsidRPr="00C606EA" w:rsidRDefault="009D655B" w:rsidP="00413DD5">
      <w:pPr>
        <w:widowControl w:val="0"/>
        <w:tabs>
          <w:tab w:val="left" w:pos="6804"/>
        </w:tabs>
        <w:jc w:val="both"/>
        <w:rPr>
          <w:rFonts w:ascii="Verdana" w:hAnsi="Verdana"/>
          <w:lang w:val="lt-LT"/>
        </w:rPr>
      </w:pPr>
      <w:r w:rsidRPr="00C606EA">
        <w:rPr>
          <w:rFonts w:ascii="Verdana" w:hAnsi="Verdana"/>
          <w:lang w:val="lt-LT"/>
        </w:rPr>
        <w:t>G</w:t>
      </w:r>
      <w:r w:rsidR="00A6379B" w:rsidRPr="00C606EA">
        <w:rPr>
          <w:rFonts w:ascii="Verdana" w:hAnsi="Verdana"/>
          <w:lang w:val="lt-LT"/>
        </w:rPr>
        <w:t>imnazijos direktor</w:t>
      </w:r>
      <w:r w:rsidRPr="00C606EA">
        <w:rPr>
          <w:rFonts w:ascii="Verdana" w:hAnsi="Verdana"/>
          <w:lang w:val="lt-LT"/>
        </w:rPr>
        <w:t>ė</w:t>
      </w:r>
      <w:r w:rsidR="00A6379B" w:rsidRPr="00C606EA">
        <w:rPr>
          <w:rFonts w:ascii="Verdana" w:hAnsi="Verdana"/>
          <w:lang w:val="lt-LT"/>
        </w:rPr>
        <w:tab/>
      </w:r>
      <w:r w:rsidRPr="00C606EA">
        <w:rPr>
          <w:rFonts w:ascii="Verdana" w:hAnsi="Verdana"/>
          <w:lang w:val="lt-LT"/>
        </w:rPr>
        <w:t xml:space="preserve">Audronė </w:t>
      </w:r>
      <w:proofErr w:type="spellStart"/>
      <w:r w:rsidRPr="00C606EA">
        <w:rPr>
          <w:rFonts w:ascii="Verdana" w:hAnsi="Verdana"/>
          <w:lang w:val="lt-LT"/>
        </w:rPr>
        <w:t>Vaičiulienė</w:t>
      </w:r>
      <w:proofErr w:type="spellEnd"/>
    </w:p>
    <w:tbl>
      <w:tblPr>
        <w:tblW w:w="9577" w:type="dxa"/>
        <w:tblLook w:val="04A0" w:firstRow="1" w:lastRow="0" w:firstColumn="1" w:lastColumn="0" w:noHBand="0" w:noVBand="1"/>
      </w:tblPr>
      <w:tblGrid>
        <w:gridCol w:w="4219"/>
        <w:gridCol w:w="284"/>
        <w:gridCol w:w="1559"/>
        <w:gridCol w:w="567"/>
        <w:gridCol w:w="2948"/>
      </w:tblGrid>
      <w:tr w:rsidR="00A6379B" w:rsidRPr="00C606EA" w14:paraId="0A4D5799" w14:textId="77777777" w:rsidTr="00EC7E96">
        <w:trPr>
          <w:trHeight w:val="71"/>
        </w:trPr>
        <w:tc>
          <w:tcPr>
            <w:tcW w:w="4219" w:type="dxa"/>
            <w:tcBorders>
              <w:top w:val="single" w:sz="4" w:space="0" w:color="auto"/>
              <w:left w:val="nil"/>
              <w:bottom w:val="nil"/>
              <w:right w:val="nil"/>
            </w:tcBorders>
            <w:hideMark/>
          </w:tcPr>
          <w:p w14:paraId="45DE2F8D" w14:textId="77777777" w:rsidR="00A6379B" w:rsidRPr="00C606EA" w:rsidRDefault="00A6379B" w:rsidP="00413DD5">
            <w:pPr>
              <w:widowControl w:val="0"/>
              <w:rPr>
                <w:rFonts w:ascii="Verdana" w:hAnsi="Verdana"/>
                <w:i/>
                <w:sz w:val="20"/>
                <w:szCs w:val="20"/>
                <w:vertAlign w:val="superscript"/>
                <w:lang w:val="lt-LT"/>
              </w:rPr>
            </w:pPr>
            <w:r w:rsidRPr="00C606EA">
              <w:rPr>
                <w:rFonts w:ascii="Verdana" w:hAnsi="Verdana"/>
                <w:i/>
                <w:sz w:val="20"/>
                <w:szCs w:val="20"/>
                <w:shd w:val="clear" w:color="auto" w:fill="D9D9D9" w:themeFill="background1" w:themeFillShade="D9"/>
                <w:vertAlign w:val="superscript"/>
                <w:lang w:val="lt-LT"/>
              </w:rPr>
              <w:t>(Vadovo pareigos)</w:t>
            </w:r>
          </w:p>
        </w:tc>
        <w:tc>
          <w:tcPr>
            <w:tcW w:w="284" w:type="dxa"/>
          </w:tcPr>
          <w:p w14:paraId="77D31840" w14:textId="77777777" w:rsidR="00A6379B" w:rsidRPr="00C606EA" w:rsidRDefault="00A6379B" w:rsidP="00413DD5">
            <w:pPr>
              <w:widowControl w:val="0"/>
              <w:jc w:val="center"/>
              <w:rPr>
                <w:rFonts w:ascii="Verdana" w:hAnsi="Verdana"/>
                <w:i/>
                <w:sz w:val="20"/>
                <w:szCs w:val="20"/>
                <w:vertAlign w:val="superscript"/>
                <w:lang w:val="lt-LT"/>
              </w:rPr>
            </w:pPr>
          </w:p>
        </w:tc>
        <w:tc>
          <w:tcPr>
            <w:tcW w:w="1559" w:type="dxa"/>
            <w:tcBorders>
              <w:top w:val="single" w:sz="4" w:space="0" w:color="auto"/>
              <w:left w:val="nil"/>
              <w:bottom w:val="nil"/>
              <w:right w:val="nil"/>
            </w:tcBorders>
            <w:hideMark/>
          </w:tcPr>
          <w:p w14:paraId="78563BE5" w14:textId="77777777" w:rsidR="00A6379B" w:rsidRPr="00C606EA" w:rsidRDefault="00A6379B" w:rsidP="00413DD5">
            <w:pPr>
              <w:widowControl w:val="0"/>
              <w:jc w:val="center"/>
              <w:rPr>
                <w:rFonts w:ascii="Verdana" w:hAnsi="Verdana"/>
                <w:i/>
                <w:sz w:val="20"/>
                <w:szCs w:val="20"/>
                <w:vertAlign w:val="superscript"/>
                <w:lang w:val="lt-LT"/>
              </w:rPr>
            </w:pPr>
            <w:r w:rsidRPr="00C606EA">
              <w:rPr>
                <w:rFonts w:ascii="Verdana" w:hAnsi="Verdana"/>
                <w:i/>
                <w:sz w:val="20"/>
                <w:szCs w:val="20"/>
                <w:shd w:val="clear" w:color="auto" w:fill="D9D9D9" w:themeFill="background1" w:themeFillShade="D9"/>
                <w:vertAlign w:val="superscript"/>
                <w:lang w:val="lt-LT"/>
              </w:rPr>
              <w:t>(parašas)</w:t>
            </w:r>
          </w:p>
        </w:tc>
        <w:tc>
          <w:tcPr>
            <w:tcW w:w="567" w:type="dxa"/>
          </w:tcPr>
          <w:p w14:paraId="1F44A8B8" w14:textId="77777777" w:rsidR="00A6379B" w:rsidRPr="00C606EA" w:rsidRDefault="00A6379B" w:rsidP="00413DD5">
            <w:pPr>
              <w:widowControl w:val="0"/>
              <w:jc w:val="center"/>
              <w:rPr>
                <w:rFonts w:ascii="Verdana" w:hAnsi="Verdana"/>
                <w:i/>
                <w:sz w:val="20"/>
                <w:szCs w:val="20"/>
                <w:vertAlign w:val="superscript"/>
                <w:lang w:val="lt-LT"/>
              </w:rPr>
            </w:pPr>
          </w:p>
        </w:tc>
        <w:tc>
          <w:tcPr>
            <w:tcW w:w="2948" w:type="dxa"/>
            <w:tcBorders>
              <w:top w:val="single" w:sz="4" w:space="0" w:color="auto"/>
              <w:left w:val="nil"/>
              <w:bottom w:val="nil"/>
              <w:right w:val="nil"/>
            </w:tcBorders>
            <w:hideMark/>
          </w:tcPr>
          <w:p w14:paraId="28095D4F" w14:textId="77777777" w:rsidR="00A6379B" w:rsidRPr="00C606EA" w:rsidRDefault="00A6379B" w:rsidP="00413DD5">
            <w:pPr>
              <w:widowControl w:val="0"/>
              <w:jc w:val="center"/>
              <w:rPr>
                <w:rFonts w:ascii="Verdana" w:hAnsi="Verdana"/>
                <w:i/>
                <w:sz w:val="20"/>
                <w:szCs w:val="20"/>
                <w:vertAlign w:val="superscript"/>
                <w:lang w:val="lt-LT"/>
              </w:rPr>
            </w:pPr>
            <w:r w:rsidRPr="00C606EA">
              <w:rPr>
                <w:rFonts w:ascii="Verdana" w:hAnsi="Verdana"/>
                <w:i/>
                <w:sz w:val="20"/>
                <w:szCs w:val="20"/>
                <w:shd w:val="clear" w:color="auto" w:fill="D9D9D9" w:themeFill="background1" w:themeFillShade="D9"/>
                <w:vertAlign w:val="superscript"/>
                <w:lang w:val="lt-LT"/>
              </w:rPr>
              <w:t>(vardas ir pavardė)</w:t>
            </w:r>
          </w:p>
        </w:tc>
      </w:tr>
    </w:tbl>
    <w:p w14:paraId="40DE67DD" w14:textId="77777777" w:rsidR="00806344" w:rsidRPr="00C606EA" w:rsidRDefault="00806344" w:rsidP="00413DD5">
      <w:pPr>
        <w:widowControl w:val="0"/>
        <w:jc w:val="both"/>
        <w:rPr>
          <w:rFonts w:ascii="Verdana" w:hAnsi="Verdana"/>
          <w:lang w:val="lt-LT"/>
        </w:rPr>
      </w:pPr>
    </w:p>
    <w:sectPr w:rsidR="00806344" w:rsidRPr="00C606EA" w:rsidSect="00D12491">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E98C" w14:textId="77777777" w:rsidR="004F3475" w:rsidRDefault="004F3475" w:rsidP="00D12491">
      <w:r>
        <w:separator/>
      </w:r>
    </w:p>
  </w:endnote>
  <w:endnote w:type="continuationSeparator" w:id="0">
    <w:p w14:paraId="2F8812FA" w14:textId="77777777" w:rsidR="004F3475" w:rsidRDefault="004F3475"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C828" w14:textId="77777777" w:rsidR="004F3475" w:rsidRDefault="004F3475" w:rsidP="00D12491">
      <w:r>
        <w:separator/>
      </w:r>
    </w:p>
  </w:footnote>
  <w:footnote w:type="continuationSeparator" w:id="0">
    <w:p w14:paraId="151ABFE7" w14:textId="77777777" w:rsidR="004F3475" w:rsidRDefault="004F3475"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7DD65D80"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A07050">
          <w:rPr>
            <w:rStyle w:val="Puslapionumeris"/>
            <w:rFonts w:ascii="Times New Roman" w:hAnsi="Times New Roman"/>
            <w:noProof/>
          </w:rPr>
          <w:t>3</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6253"/>
    <w:multiLevelType w:val="hybridMultilevel"/>
    <w:tmpl w:val="A5B6AAA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C6B16"/>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3167DB3"/>
    <w:multiLevelType w:val="hybridMultilevel"/>
    <w:tmpl w:val="D37CC1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0D2527"/>
    <w:multiLevelType w:val="hybridMultilevel"/>
    <w:tmpl w:val="BE8C77C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47BE0B11"/>
    <w:multiLevelType w:val="hybridMultilevel"/>
    <w:tmpl w:val="F2540F9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BD6401"/>
    <w:multiLevelType w:val="multilevel"/>
    <w:tmpl w:val="6E867584"/>
    <w:lvl w:ilvl="0">
      <w:start w:val="1"/>
      <w:numFmt w:val="decimal"/>
      <w:lvlText w:val="%1."/>
      <w:lvlJc w:val="left"/>
      <w:pPr>
        <w:ind w:left="360" w:hanging="360"/>
      </w:pPr>
      <w:rPr>
        <w:b w:val="0"/>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0F4460"/>
    <w:multiLevelType w:val="hybridMultilevel"/>
    <w:tmpl w:val="B96051B8"/>
    <w:lvl w:ilvl="0" w:tplc="69FEC05E">
      <w:start w:val="1"/>
      <w:numFmt w:val="bullet"/>
      <w:lvlText w:val=""/>
      <w:lvlJc w:val="left"/>
      <w:pPr>
        <w:ind w:left="1080" w:hanging="360"/>
      </w:pPr>
      <w:rPr>
        <w:rFonts w:ascii="Symbol" w:hAnsi="Symbol"/>
      </w:rPr>
    </w:lvl>
    <w:lvl w:ilvl="1" w:tplc="755A8214">
      <w:start w:val="1"/>
      <w:numFmt w:val="bullet"/>
      <w:lvlText w:val=""/>
      <w:lvlJc w:val="left"/>
      <w:pPr>
        <w:ind w:left="1080" w:hanging="360"/>
      </w:pPr>
      <w:rPr>
        <w:rFonts w:ascii="Symbol" w:hAnsi="Symbol"/>
      </w:rPr>
    </w:lvl>
    <w:lvl w:ilvl="2" w:tplc="BEE84B38">
      <w:start w:val="1"/>
      <w:numFmt w:val="bullet"/>
      <w:lvlText w:val=""/>
      <w:lvlJc w:val="left"/>
      <w:pPr>
        <w:ind w:left="1080" w:hanging="360"/>
      </w:pPr>
      <w:rPr>
        <w:rFonts w:ascii="Symbol" w:hAnsi="Symbol"/>
      </w:rPr>
    </w:lvl>
    <w:lvl w:ilvl="3" w:tplc="F21228EC">
      <w:start w:val="1"/>
      <w:numFmt w:val="bullet"/>
      <w:lvlText w:val=""/>
      <w:lvlJc w:val="left"/>
      <w:pPr>
        <w:ind w:left="1080" w:hanging="360"/>
      </w:pPr>
      <w:rPr>
        <w:rFonts w:ascii="Symbol" w:hAnsi="Symbol"/>
      </w:rPr>
    </w:lvl>
    <w:lvl w:ilvl="4" w:tplc="5BDEA8DE">
      <w:start w:val="1"/>
      <w:numFmt w:val="bullet"/>
      <w:lvlText w:val=""/>
      <w:lvlJc w:val="left"/>
      <w:pPr>
        <w:ind w:left="1080" w:hanging="360"/>
      </w:pPr>
      <w:rPr>
        <w:rFonts w:ascii="Symbol" w:hAnsi="Symbol"/>
      </w:rPr>
    </w:lvl>
    <w:lvl w:ilvl="5" w:tplc="01BAAB98">
      <w:start w:val="1"/>
      <w:numFmt w:val="bullet"/>
      <w:lvlText w:val=""/>
      <w:lvlJc w:val="left"/>
      <w:pPr>
        <w:ind w:left="1080" w:hanging="360"/>
      </w:pPr>
      <w:rPr>
        <w:rFonts w:ascii="Symbol" w:hAnsi="Symbol"/>
      </w:rPr>
    </w:lvl>
    <w:lvl w:ilvl="6" w:tplc="8DE4D9B0">
      <w:start w:val="1"/>
      <w:numFmt w:val="bullet"/>
      <w:lvlText w:val=""/>
      <w:lvlJc w:val="left"/>
      <w:pPr>
        <w:ind w:left="1080" w:hanging="360"/>
      </w:pPr>
      <w:rPr>
        <w:rFonts w:ascii="Symbol" w:hAnsi="Symbol"/>
      </w:rPr>
    </w:lvl>
    <w:lvl w:ilvl="7" w:tplc="B2561C6C">
      <w:start w:val="1"/>
      <w:numFmt w:val="bullet"/>
      <w:lvlText w:val=""/>
      <w:lvlJc w:val="left"/>
      <w:pPr>
        <w:ind w:left="1080" w:hanging="360"/>
      </w:pPr>
      <w:rPr>
        <w:rFonts w:ascii="Symbol" w:hAnsi="Symbol"/>
      </w:rPr>
    </w:lvl>
    <w:lvl w:ilvl="8" w:tplc="CECE3264">
      <w:start w:val="1"/>
      <w:numFmt w:val="bullet"/>
      <w:lvlText w:val=""/>
      <w:lvlJc w:val="left"/>
      <w:pPr>
        <w:ind w:left="1080" w:hanging="360"/>
      </w:pPr>
      <w:rPr>
        <w:rFonts w:ascii="Symbol" w:hAnsi="Symbol"/>
      </w:rPr>
    </w:lvl>
  </w:abstractNum>
  <w:abstractNum w:abstractNumId="9" w15:restartNumberingAfterBreak="0">
    <w:nsid w:val="78291843"/>
    <w:multiLevelType w:val="multilevel"/>
    <w:tmpl w:val="13087F30"/>
    <w:lvl w:ilvl="0">
      <w:start w:val="1"/>
      <w:numFmt w:val="upperRoman"/>
      <w:lvlText w:val="%1."/>
      <w:lvlJc w:val="left"/>
      <w:pPr>
        <w:ind w:left="1080" w:hanging="72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6013105">
    <w:abstractNumId w:val="1"/>
  </w:num>
  <w:num w:numId="2" w16cid:durableId="1569808259">
    <w:abstractNumId w:val="7"/>
  </w:num>
  <w:num w:numId="3" w16cid:durableId="1174497379">
    <w:abstractNumId w:val="9"/>
  </w:num>
  <w:num w:numId="4" w16cid:durableId="2010137061">
    <w:abstractNumId w:val="2"/>
  </w:num>
  <w:num w:numId="5" w16cid:durableId="866989565">
    <w:abstractNumId w:val="5"/>
  </w:num>
  <w:num w:numId="6" w16cid:durableId="81296789">
    <w:abstractNumId w:val="6"/>
  </w:num>
  <w:num w:numId="7" w16cid:durableId="1084568862">
    <w:abstractNumId w:val="4"/>
  </w:num>
  <w:num w:numId="8" w16cid:durableId="1522668357">
    <w:abstractNumId w:val="0"/>
  </w:num>
  <w:num w:numId="9" w16cid:durableId="535002107">
    <w:abstractNumId w:val="8"/>
  </w:num>
  <w:num w:numId="10" w16cid:durableId="970860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03300"/>
    <w:rsid w:val="00016D4B"/>
    <w:rsid w:val="00046D4D"/>
    <w:rsid w:val="000853BC"/>
    <w:rsid w:val="000A50FA"/>
    <w:rsid w:val="000B76DB"/>
    <w:rsid w:val="000C4A96"/>
    <w:rsid w:val="001A199C"/>
    <w:rsid w:val="001A440D"/>
    <w:rsid w:val="001F5B8A"/>
    <w:rsid w:val="001F67F1"/>
    <w:rsid w:val="00203272"/>
    <w:rsid w:val="00227D54"/>
    <w:rsid w:val="00261838"/>
    <w:rsid w:val="00280DBC"/>
    <w:rsid w:val="002B3730"/>
    <w:rsid w:val="002B69FC"/>
    <w:rsid w:val="002C3EDA"/>
    <w:rsid w:val="002C657E"/>
    <w:rsid w:val="00337588"/>
    <w:rsid w:val="0034075A"/>
    <w:rsid w:val="00381928"/>
    <w:rsid w:val="003E3B1C"/>
    <w:rsid w:val="003E6ECC"/>
    <w:rsid w:val="003F50B4"/>
    <w:rsid w:val="00413DD5"/>
    <w:rsid w:val="00425F97"/>
    <w:rsid w:val="00446E68"/>
    <w:rsid w:val="004F3475"/>
    <w:rsid w:val="00503C88"/>
    <w:rsid w:val="005306E2"/>
    <w:rsid w:val="00544F9F"/>
    <w:rsid w:val="00585D49"/>
    <w:rsid w:val="005A0F30"/>
    <w:rsid w:val="005F1E37"/>
    <w:rsid w:val="005F35D1"/>
    <w:rsid w:val="00602672"/>
    <w:rsid w:val="0060528A"/>
    <w:rsid w:val="00613343"/>
    <w:rsid w:val="00630C47"/>
    <w:rsid w:val="00685C2B"/>
    <w:rsid w:val="006A757D"/>
    <w:rsid w:val="006E11D6"/>
    <w:rsid w:val="006F2AEB"/>
    <w:rsid w:val="006F3A7F"/>
    <w:rsid w:val="00702402"/>
    <w:rsid w:val="00753A3A"/>
    <w:rsid w:val="00785EA2"/>
    <w:rsid w:val="007A0E67"/>
    <w:rsid w:val="007C0224"/>
    <w:rsid w:val="007D28FF"/>
    <w:rsid w:val="007F197F"/>
    <w:rsid w:val="007F694E"/>
    <w:rsid w:val="00806344"/>
    <w:rsid w:val="00834CF1"/>
    <w:rsid w:val="008B5381"/>
    <w:rsid w:val="008C6BB5"/>
    <w:rsid w:val="00917542"/>
    <w:rsid w:val="00917E25"/>
    <w:rsid w:val="00941C4C"/>
    <w:rsid w:val="0095132F"/>
    <w:rsid w:val="00963B60"/>
    <w:rsid w:val="00975410"/>
    <w:rsid w:val="009B067C"/>
    <w:rsid w:val="009D655B"/>
    <w:rsid w:val="009F1988"/>
    <w:rsid w:val="00A07050"/>
    <w:rsid w:val="00A41A8F"/>
    <w:rsid w:val="00A47E42"/>
    <w:rsid w:val="00A6379B"/>
    <w:rsid w:val="00A73E06"/>
    <w:rsid w:val="00A87F3A"/>
    <w:rsid w:val="00B23D7F"/>
    <w:rsid w:val="00B356BE"/>
    <w:rsid w:val="00B9070A"/>
    <w:rsid w:val="00B91F61"/>
    <w:rsid w:val="00BD3186"/>
    <w:rsid w:val="00BE4FC0"/>
    <w:rsid w:val="00C16A24"/>
    <w:rsid w:val="00C30E9F"/>
    <w:rsid w:val="00C606EA"/>
    <w:rsid w:val="00C64394"/>
    <w:rsid w:val="00C76325"/>
    <w:rsid w:val="00C8315B"/>
    <w:rsid w:val="00C915A4"/>
    <w:rsid w:val="00C978BE"/>
    <w:rsid w:val="00CA1A10"/>
    <w:rsid w:val="00CF2C8D"/>
    <w:rsid w:val="00D12491"/>
    <w:rsid w:val="00D45505"/>
    <w:rsid w:val="00D82D94"/>
    <w:rsid w:val="00D92A1E"/>
    <w:rsid w:val="00DB3FA4"/>
    <w:rsid w:val="00DC25B9"/>
    <w:rsid w:val="00E04C28"/>
    <w:rsid w:val="00E27BD5"/>
    <w:rsid w:val="00E40C61"/>
    <w:rsid w:val="00E5502B"/>
    <w:rsid w:val="00E7501A"/>
    <w:rsid w:val="00EC7E60"/>
    <w:rsid w:val="00F013CC"/>
    <w:rsid w:val="00F26A83"/>
    <w:rsid w:val="00F743E9"/>
    <w:rsid w:val="00F855B1"/>
    <w:rsid w:val="00FA0898"/>
    <w:rsid w:val="00FC6CD0"/>
    <w:rsid w:val="00FD1E2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AEB"/>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413DD5"/>
    <w:rPr>
      <w:rFonts w:cs="Times New Roman"/>
      <w:b/>
      <w:bCs/>
    </w:rPr>
  </w:style>
  <w:style w:type="character" w:customStyle="1" w:styleId="BetarpDiagrama">
    <w:name w:val="Be tarpų Diagrama"/>
    <w:basedOn w:val="Numatytasispastraiposriftas"/>
    <w:link w:val="Betarp"/>
    <w:locked/>
    <w:rsid w:val="00413DD5"/>
    <w:rPr>
      <w:rFonts w:ascii="Times New Roman" w:eastAsiaTheme="minorEastAsia" w:hAnsi="Times New Roman" w:cs="Times New Roman"/>
      <w:sz w:val="21"/>
      <w:szCs w:val="21"/>
      <w:lang w:val="x-none" w:eastAsia="lt-LT"/>
    </w:rPr>
  </w:style>
  <w:style w:type="paragraph" w:styleId="Betarp">
    <w:name w:val="No Spacing"/>
    <w:link w:val="BetarpDiagrama"/>
    <w:qFormat/>
    <w:rsid w:val="00413DD5"/>
    <w:rPr>
      <w:rFonts w:ascii="Times New Roman" w:eastAsiaTheme="minorEastAsia" w:hAnsi="Times New Roman" w:cs="Times New Roman"/>
      <w:sz w:val="21"/>
      <w:szCs w:val="21"/>
      <w:lang w:val="x-none" w:eastAsia="lt-LT"/>
    </w:rPr>
  </w:style>
  <w:style w:type="character" w:styleId="Komentaronuoroda">
    <w:name w:val="annotation reference"/>
    <w:basedOn w:val="Numatytasispastraiposriftas"/>
    <w:uiPriority w:val="99"/>
    <w:semiHidden/>
    <w:unhideWhenUsed/>
    <w:rsid w:val="00E04C28"/>
    <w:rPr>
      <w:sz w:val="16"/>
      <w:szCs w:val="16"/>
    </w:rPr>
  </w:style>
  <w:style w:type="paragraph" w:styleId="Komentarotekstas">
    <w:name w:val="annotation text"/>
    <w:basedOn w:val="prastasis"/>
    <w:link w:val="KomentarotekstasDiagrama"/>
    <w:uiPriority w:val="99"/>
    <w:unhideWhenUsed/>
    <w:rsid w:val="00E04C28"/>
    <w:rPr>
      <w:sz w:val="20"/>
      <w:szCs w:val="20"/>
    </w:rPr>
  </w:style>
  <w:style w:type="character" w:customStyle="1" w:styleId="KomentarotekstasDiagrama">
    <w:name w:val="Komentaro tekstas Diagrama"/>
    <w:basedOn w:val="Numatytasispastraiposriftas"/>
    <w:link w:val="Komentarotekstas"/>
    <w:uiPriority w:val="99"/>
    <w:rsid w:val="00E04C28"/>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E04C28"/>
    <w:rPr>
      <w:b/>
      <w:bCs/>
    </w:rPr>
  </w:style>
  <w:style w:type="character" w:customStyle="1" w:styleId="KomentarotemaDiagrama">
    <w:name w:val="Komentaro tema Diagrama"/>
    <w:basedOn w:val="KomentarotekstasDiagrama"/>
    <w:link w:val="Komentarotema"/>
    <w:uiPriority w:val="99"/>
    <w:semiHidden/>
    <w:rsid w:val="00E04C28"/>
    <w:rPr>
      <w:rFonts w:ascii="Times New Roman" w:eastAsia="Times New Roman" w:hAnsi="Times New Roman" w:cs="Times New Roman"/>
      <w:b/>
      <w:bCs/>
      <w:kern w:val="0"/>
      <w:sz w:val="20"/>
      <w:szCs w:val="20"/>
      <w:lang w:val="en-US" w:eastAsia="en-GB"/>
      <w14:ligatures w14:val="none"/>
    </w:rPr>
  </w:style>
  <w:style w:type="paragraph" w:styleId="Debesliotekstas">
    <w:name w:val="Balloon Text"/>
    <w:basedOn w:val="prastasis"/>
    <w:link w:val="DebesliotekstasDiagrama"/>
    <w:uiPriority w:val="99"/>
    <w:semiHidden/>
    <w:unhideWhenUsed/>
    <w:rsid w:val="001A19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199C"/>
    <w:rPr>
      <w:rFonts w:ascii="Segoe UI" w:eastAsia="Times New Roman" w:hAnsi="Segoe UI" w:cs="Segoe UI"/>
      <w:kern w:val="0"/>
      <w:sz w:val="18"/>
      <w:szCs w:val="18"/>
      <w:lang w:val="en-US" w:eastAsia="en-GB"/>
      <w14:ligatures w14:val="none"/>
    </w:rPr>
  </w:style>
  <w:style w:type="paragraph" w:styleId="prastasiniatinklio">
    <w:name w:val="Normal (Web)"/>
    <w:basedOn w:val="prastasis"/>
    <w:uiPriority w:val="99"/>
    <w:semiHidden/>
    <w:unhideWhenUsed/>
    <w:rsid w:val="009D655B"/>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9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59ce51-b3ca-442f-b2d4-14025e9ed1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A5537A2EF0A447973F1FC00EBB0355" ma:contentTypeVersion="18" ma:contentTypeDescription="Create a new document." ma:contentTypeScope="" ma:versionID="62a99804a5f0bfa4478f14c1abb2d187">
  <xsd:schema xmlns:xsd="http://www.w3.org/2001/XMLSchema" xmlns:xs="http://www.w3.org/2001/XMLSchema" xmlns:p="http://schemas.microsoft.com/office/2006/metadata/properties" xmlns:ns3="c759ce51-b3ca-442f-b2d4-14025e9ed115" xmlns:ns4="84d7e217-bf7d-4ba6-875a-54d1f4e391f8" targetNamespace="http://schemas.microsoft.com/office/2006/metadata/properties" ma:root="true" ma:fieldsID="75d96baf4abdf05981fd1980092fb12a" ns3:_="" ns4:_="">
    <xsd:import namespace="c759ce51-b3ca-442f-b2d4-14025e9ed115"/>
    <xsd:import namespace="84d7e217-bf7d-4ba6-875a-54d1f4e391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9ce51-b3ca-442f-b2d4-14025e9ed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7e217-bf7d-4ba6-875a-54d1f4e391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EE43B-3536-43BB-92CF-825B3E2AF2F6}">
  <ds:schemaRefs>
    <ds:schemaRef ds:uri="http://schemas.microsoft.com/office/2006/metadata/properties"/>
    <ds:schemaRef ds:uri="http://schemas.microsoft.com/office/infopath/2007/PartnerControls"/>
    <ds:schemaRef ds:uri="c759ce51-b3ca-442f-b2d4-14025e9ed115"/>
  </ds:schemaRefs>
</ds:datastoreItem>
</file>

<file path=customXml/itemProps2.xml><?xml version="1.0" encoding="utf-8"?>
<ds:datastoreItem xmlns:ds="http://schemas.openxmlformats.org/officeDocument/2006/customXml" ds:itemID="{9CDE0313-F65D-4760-8841-3CDCC7DA5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9ce51-b3ca-442f-b2d4-14025e9ed115"/>
    <ds:schemaRef ds:uri="84d7e217-bf7d-4ba6-875a-54d1f4e39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66C2A-5286-4929-912E-692B4233F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4239</Words>
  <Characters>2417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Povilas Miliauskas</cp:lastModifiedBy>
  <cp:revision>4</cp:revision>
  <dcterms:created xsi:type="dcterms:W3CDTF">2026-01-07T09:56:00Z</dcterms:created>
  <dcterms:modified xsi:type="dcterms:W3CDTF">2026-01-15T08:44:00Z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0x01010051A5537A2EF0A447973F1FC00EBB0355</vt:lpwstr>
  </property>
</Properties>
</file>