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77777777" w:rsidR="00B767F3" w:rsidRPr="002F0070" w:rsidRDefault="00B767F3" w:rsidP="002F0070">
            <w:pPr>
              <w:jc w:val="both"/>
              <w:rPr>
                <w:rFonts w:ascii="Cambria" w:hAnsi="Cambria"/>
                <w:kern w:val="2"/>
                <w:sz w:val="20"/>
              </w:rPr>
            </w:pP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5E75B16C"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30D00">
              <w:rPr>
                <w:rFonts w:ascii="Cambria" w:hAnsi="Cambria"/>
                <w:b/>
                <w:kern w:val="2"/>
                <w:sz w:val="20"/>
              </w:rPr>
              <w:t>žaizdų apsaugos priemones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1E94F4C"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„Žaizdų apsaugos priemonės“</w:t>
            </w:r>
            <w:r w:rsidR="00730D00">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4885228"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730D00">
              <w:rPr>
                <w:rFonts w:ascii="Cambria" w:hAnsi="Cambria"/>
                <w:kern w:val="2"/>
                <w:sz w:val="20"/>
              </w:rPr>
              <w:t>Vartotojo n</w:t>
            </w:r>
            <w:r w:rsidRPr="00321EFD">
              <w:rPr>
                <w:rFonts w:ascii="Cambria" w:hAnsi="Cambria"/>
                <w:sz w:val="20"/>
              </w:rPr>
              <w:t xml:space="preserve">audojimo instrukcija lietuvių ir anglų kalba </w:t>
            </w:r>
            <w:r w:rsidRPr="00321EFD">
              <w:rPr>
                <w:rFonts w:ascii="Cambria" w:hAnsi="Cambria"/>
                <w:kern w:val="2"/>
                <w:sz w:val="20"/>
              </w:rPr>
              <w:t xml:space="preserve">(Techninės specifikacijos </w:t>
            </w:r>
            <w:r>
              <w:rPr>
                <w:rFonts w:ascii="Cambria" w:hAnsi="Cambria"/>
                <w:kern w:val="2"/>
                <w:sz w:val="20"/>
              </w:rPr>
              <w:t>10</w:t>
            </w:r>
            <w:r w:rsidR="00730D00">
              <w:rPr>
                <w:rFonts w:ascii="Cambria" w:hAnsi="Cambria"/>
                <w:kern w:val="2"/>
                <w:sz w:val="20"/>
              </w:rPr>
              <w:t xml:space="preserve"> </w:t>
            </w:r>
            <w:r w:rsidRPr="00321EFD">
              <w:rPr>
                <w:rFonts w:ascii="Cambria" w:hAnsi="Cambria"/>
                <w:kern w:val="2"/>
                <w:sz w:val="20"/>
              </w:rPr>
              <w:t xml:space="preserve">p.); (ii) Prekių perdavimo-priėmimo aktas. </w:t>
            </w:r>
          </w:p>
          <w:p w14:paraId="73FFA04B" w14:textId="5A74020F" w:rsidR="00700184" w:rsidRPr="002F0070" w:rsidRDefault="00700184" w:rsidP="00700184">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277CF"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161376" w:rsidR="00730D00" w:rsidRPr="002F0070" w:rsidRDefault="00730D00" w:rsidP="00730D00">
            <w:pPr>
              <w:jc w:val="both"/>
              <w:rPr>
                <w:rFonts w:ascii="Cambria" w:hAnsi="Cambria"/>
                <w:kern w:val="2"/>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3414AA3" w:rsidR="00730D00" w:rsidRPr="00A20183" w:rsidRDefault="00730D00" w:rsidP="00730D00">
            <w:pPr>
              <w:jc w:val="both"/>
              <w:rPr>
                <w:rFonts w:ascii="Cambria" w:hAnsi="Cambria"/>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9.2.3. Tiekėjas privalo su</w:t>
            </w:r>
            <w:bookmarkStart w:id="0" w:name="_GoBack"/>
            <w:bookmarkEnd w:id="0"/>
            <w:r w:rsidRPr="00A20183">
              <w:rPr>
                <w:rFonts w:ascii="Cambria" w:hAnsi="Cambria"/>
                <w:kern w:val="2"/>
                <w:sz w:val="20"/>
              </w:rPr>
              <w:t xml:space="preserve">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503"/>
        <w:gridCol w:w="2616"/>
        <w:gridCol w:w="2410"/>
        <w:gridCol w:w="851"/>
        <w:gridCol w:w="1417"/>
        <w:gridCol w:w="1168"/>
        <w:gridCol w:w="795"/>
        <w:gridCol w:w="996"/>
      </w:tblGrid>
      <w:tr w:rsidR="00730D00" w:rsidRPr="00730D00" w14:paraId="063C94B4" w14:textId="77777777" w:rsidTr="00730D00">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Eil.</w:t>
            </w:r>
          </w:p>
          <w:p w14:paraId="290D0798" w14:textId="62079822"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Nr.</w:t>
            </w:r>
          </w:p>
        </w:tc>
        <w:tc>
          <w:tcPr>
            <w:tcW w:w="2616"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730D00">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1</w:t>
            </w:r>
          </w:p>
        </w:tc>
        <w:tc>
          <w:tcPr>
            <w:tcW w:w="2616" w:type="dxa"/>
            <w:tcBorders>
              <w:top w:val="nil"/>
              <w:left w:val="nil"/>
              <w:bottom w:val="single" w:sz="4" w:space="0" w:color="auto"/>
              <w:right w:val="single" w:sz="4" w:space="0" w:color="auto"/>
            </w:tcBorders>
            <w:shd w:val="clear" w:color="auto" w:fill="auto"/>
            <w:noWrap/>
            <w:vAlign w:val="center"/>
            <w:hideMark/>
          </w:tcPr>
          <w:p w14:paraId="683897B4" w14:textId="77777777" w:rsidR="00730D00" w:rsidRPr="00730D00" w:rsidRDefault="00730D00" w:rsidP="00730D00">
            <w:pPr>
              <w:jc w:val="both"/>
              <w:rPr>
                <w:rFonts w:ascii="Cambria" w:hAnsi="Cambria" w:cs="Calibri"/>
                <w:color w:val="000000"/>
                <w:sz w:val="20"/>
                <w:lang w:eastAsia="lt-LT"/>
              </w:rPr>
            </w:pPr>
            <w:r w:rsidRPr="00730D00">
              <w:rPr>
                <w:rFonts w:ascii="Cambria" w:hAnsi="Cambria" w:cs="Calibri"/>
                <w:color w:val="000000"/>
                <w:sz w:val="20"/>
                <w:lang w:eastAsia="lt-LT"/>
              </w:rPr>
              <w:t>Žaizdų apsaugos priemonės</w:t>
            </w:r>
          </w:p>
        </w:tc>
        <w:tc>
          <w:tcPr>
            <w:tcW w:w="2410" w:type="dxa"/>
            <w:tcBorders>
              <w:top w:val="nil"/>
              <w:left w:val="nil"/>
              <w:bottom w:val="single" w:sz="4" w:space="0" w:color="auto"/>
              <w:right w:val="single" w:sz="4" w:space="0" w:color="auto"/>
            </w:tcBorders>
            <w:shd w:val="clear" w:color="auto" w:fill="auto"/>
            <w:vAlign w:val="center"/>
            <w:hideMark/>
          </w:tcPr>
          <w:p w14:paraId="5E20CED2"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BAB46DA"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C9D6A2"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10</w:t>
            </w: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730D00" w:rsidRPr="00730D00"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730D00" w:rsidRDefault="00730D00" w:rsidP="00730D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730D00" w:rsidRDefault="00730D00" w:rsidP="00730D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5423F"/>
    <w:rsid w:val="004E15BF"/>
    <w:rsid w:val="004F43A0"/>
    <w:rsid w:val="005828DD"/>
    <w:rsid w:val="00587E3C"/>
    <w:rsid w:val="005C7E47"/>
    <w:rsid w:val="006277CF"/>
    <w:rsid w:val="006861F6"/>
    <w:rsid w:val="00700184"/>
    <w:rsid w:val="00730D00"/>
    <w:rsid w:val="007919E1"/>
    <w:rsid w:val="0091487B"/>
    <w:rsid w:val="009E3200"/>
    <w:rsid w:val="009F5CF5"/>
    <w:rsid w:val="00A20183"/>
    <w:rsid w:val="00A4682F"/>
    <w:rsid w:val="00A701FD"/>
    <w:rsid w:val="00AA5A77"/>
    <w:rsid w:val="00AC58F5"/>
    <w:rsid w:val="00B05B68"/>
    <w:rsid w:val="00B31D53"/>
    <w:rsid w:val="00B557D9"/>
    <w:rsid w:val="00B767F3"/>
    <w:rsid w:val="00BD4F15"/>
    <w:rsid w:val="00C60C88"/>
    <w:rsid w:val="00D145BE"/>
    <w:rsid w:val="00D40252"/>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11165</Words>
  <Characters>6365</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