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022CCB5D" w:rsidR="00491677" w:rsidRPr="00A84FFE" w:rsidRDefault="00491677" w:rsidP="00491677">
      <w:pPr>
        <w:ind w:left="5760" w:firstLine="720"/>
        <w:jc w:val="both"/>
      </w:pPr>
      <w:r w:rsidRPr="00A84FFE">
        <w:t xml:space="preserve">bataliono vado </w:t>
      </w:r>
      <w:r w:rsidRPr="00A84FFE">
        <w:rPr>
          <w:bCs/>
          <w:szCs w:val="20"/>
        </w:rPr>
        <w:t>202</w:t>
      </w:r>
      <w:r w:rsidR="000B4DF9">
        <w:rPr>
          <w:bCs/>
          <w:szCs w:val="20"/>
        </w:rPr>
        <w:t>6</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52788DA0" w:rsidR="007F0B5B" w:rsidRPr="000B4DF9" w:rsidRDefault="000B4DF9" w:rsidP="000B4DF9">
      <w:pPr>
        <w:jc w:val="center"/>
        <w:rPr>
          <w:b/>
          <w:iCs/>
          <w:caps/>
          <w:u w:val="single"/>
        </w:rPr>
      </w:pPr>
      <w:r w:rsidRPr="000B4DF9">
        <w:rPr>
          <w:b/>
          <w:iCs/>
          <w:caps/>
          <w:u w:val="single"/>
        </w:rPr>
        <w:t>ITIL</w:t>
      </w:r>
      <w:r>
        <w:rPr>
          <w:b/>
          <w:iCs/>
          <w:caps/>
          <w:u w:val="single"/>
        </w:rPr>
        <w:t xml:space="preserve"> 4 Foundation kurso</w:t>
      </w:r>
      <w:r w:rsidR="00042482" w:rsidRPr="00042482">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5C04E4BC" w14:textId="737860A6" w:rsidR="00042482" w:rsidRPr="00546784" w:rsidRDefault="00984A79" w:rsidP="00042482">
      <w:pPr>
        <w:pStyle w:val="Heading2"/>
        <w:numPr>
          <w:ilvl w:val="0"/>
          <w:numId w:val="0"/>
        </w:numPr>
        <w:ind w:firstLine="709"/>
      </w:pPr>
      <w:r w:rsidRPr="00546784">
        <w:rPr>
          <w:spacing w:val="-1"/>
          <w:szCs w:val="24"/>
        </w:rPr>
        <w:t>1.1</w:t>
      </w:r>
      <w:r w:rsidR="00324E9F" w:rsidRPr="00324E9F">
        <w:rPr>
          <w:spacing w:val="-1"/>
          <w:szCs w:val="24"/>
        </w:rPr>
        <w:t xml:space="preserve"> </w:t>
      </w:r>
      <w:r w:rsidR="00042482" w:rsidRPr="00546784">
        <w:rPr>
          <w:spacing w:val="-1"/>
          <w:szCs w:val="24"/>
        </w:rPr>
        <w:t>Lietuvos kariuomenės</w:t>
      </w:r>
      <w:r w:rsidR="00042482">
        <w:rPr>
          <w:spacing w:val="-1"/>
          <w:szCs w:val="24"/>
        </w:rPr>
        <w:t xml:space="preserve"> Lietuvos didžiojo etmono Kristupo Radvilos Perkūno</w:t>
      </w:r>
      <w:r w:rsidR="00042482" w:rsidRPr="00546784">
        <w:rPr>
          <w:spacing w:val="-1"/>
          <w:szCs w:val="24"/>
        </w:rPr>
        <w:t xml:space="preserve"> </w:t>
      </w:r>
      <w:r w:rsidR="00042482">
        <w:rPr>
          <w:spacing w:val="-1"/>
          <w:szCs w:val="24"/>
        </w:rPr>
        <w:t>r</w:t>
      </w:r>
      <w:r w:rsidR="00042482" w:rsidRPr="00546784">
        <w:rPr>
          <w:spacing w:val="-1"/>
          <w:szCs w:val="24"/>
        </w:rPr>
        <w:t>yšių ir informacinių sistemų batalionas</w:t>
      </w:r>
      <w:r w:rsidR="00042482" w:rsidRPr="00546784">
        <w:rPr>
          <w:i/>
          <w:iCs/>
          <w:szCs w:val="24"/>
        </w:rPr>
        <w:t xml:space="preserve"> </w:t>
      </w:r>
      <w:r w:rsidR="00042482" w:rsidRPr="00546784">
        <w:t>(toliau – perkančioji organizacija) numato įsigyti</w:t>
      </w:r>
      <w:r w:rsidR="00042482" w:rsidRPr="00546784">
        <w:rPr>
          <w:szCs w:val="24"/>
        </w:rPr>
        <w:t xml:space="preserve"> </w:t>
      </w:r>
      <w:r w:rsidR="000B4DF9" w:rsidRPr="000B4DF9">
        <w:rPr>
          <w:szCs w:val="24"/>
        </w:rPr>
        <w:t>ITIL</w:t>
      </w:r>
      <w:r w:rsidR="000B4DF9">
        <w:rPr>
          <w:szCs w:val="24"/>
        </w:rPr>
        <w:t xml:space="preserve"> 4 </w:t>
      </w:r>
      <w:proofErr w:type="spellStart"/>
      <w:r w:rsidR="000B4DF9">
        <w:rPr>
          <w:szCs w:val="24"/>
        </w:rPr>
        <w:t>foundation</w:t>
      </w:r>
      <w:proofErr w:type="spellEnd"/>
      <w:r w:rsidR="000B4DF9">
        <w:rPr>
          <w:szCs w:val="24"/>
        </w:rPr>
        <w:t xml:space="preserve"> kursą</w:t>
      </w:r>
      <w:r w:rsidR="00042482">
        <w:rPr>
          <w:szCs w:val="24"/>
        </w:rPr>
        <w:t>.</w:t>
      </w:r>
      <w:r w:rsidR="00042482" w:rsidRPr="00546784">
        <w:rPr>
          <w:szCs w:val="24"/>
        </w:rPr>
        <w:t xml:space="preserve"> </w:t>
      </w:r>
    </w:p>
    <w:p w14:paraId="42C7F410" w14:textId="77777777" w:rsidR="00042482" w:rsidRPr="00546784" w:rsidRDefault="00042482" w:rsidP="00042482">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Pr="001867F2">
        <w:t xml:space="preserve"> </w:t>
      </w:r>
      <w:r w:rsidRPr="00791B8E">
        <w:t>Vartojamos pagrindinės sąvokos, apibrėžtos Lietuvos Respublikos viešųjų pirkimų įstatyme (toliau</w:t>
      </w:r>
      <w:r>
        <w:t xml:space="preserve"> –</w:t>
      </w:r>
      <w:r w:rsidRPr="00791B8E">
        <w:t xml:space="preserve"> VPĮ), Lietuvos Respublikos viešųjų pirkimų, atliekamų gynybos ir saugumo srityje, įstatyme (toliau </w:t>
      </w:r>
      <w:r>
        <w:t>–</w:t>
      </w:r>
      <w:r w:rsidRPr="00791B8E">
        <w:t xml:space="preserve"> VPAGSSĮ).</w:t>
      </w:r>
    </w:p>
    <w:p w14:paraId="0BEAD5A5" w14:textId="77777777" w:rsidR="00042482" w:rsidRPr="00546784" w:rsidRDefault="00042482" w:rsidP="00042482">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A7D3C71" w14:textId="56C4354C" w:rsidR="00042482" w:rsidRPr="00546784" w:rsidRDefault="000B4DF9" w:rsidP="00042482">
      <w:pPr>
        <w:ind w:firstLine="709"/>
        <w:jc w:val="both"/>
      </w:pPr>
      <w:r>
        <w:t>1.4</w:t>
      </w:r>
      <w:r w:rsidR="00042482" w:rsidRPr="00546784">
        <w:t>. Pirkimas atliekamas laikantis lygiateisiškumo, nediskriminavimo, abipusio pripažinimo, proporcingumo, skaidrumo principų ir konfidencialumo bei nešališkumo reikalavimų.</w:t>
      </w:r>
    </w:p>
    <w:p w14:paraId="21848FF2" w14:textId="2E9C723B" w:rsidR="00042482" w:rsidRPr="00546784" w:rsidRDefault="000B4DF9" w:rsidP="00042482">
      <w:pPr>
        <w:ind w:firstLine="709"/>
        <w:jc w:val="both"/>
      </w:pPr>
      <w:r>
        <w:t>1.5</w:t>
      </w:r>
      <w:r w:rsidR="00042482"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75930908" w14:textId="73BCB115" w:rsidR="00042482" w:rsidRPr="00546784" w:rsidRDefault="000B4DF9" w:rsidP="00042482">
      <w:pPr>
        <w:ind w:firstLine="709"/>
        <w:jc w:val="both"/>
      </w:pPr>
      <w:r>
        <w:t>1.6</w:t>
      </w:r>
      <w:r w:rsidR="00042482" w:rsidRPr="00546784">
        <w:t xml:space="preserve">. Apie pirkimą paskelbta Centrinėje viešųjų pirkimų informacinėje sistemoje (toliau – CVP IS) interneto adresu </w:t>
      </w:r>
      <w:hyperlink r:id="rId8" w:history="1">
        <w:r w:rsidR="00042482" w:rsidRPr="00E851B1">
          <w:rPr>
            <w:rStyle w:val="Hyperlink"/>
          </w:rPr>
          <w:t>https://viesiejipirkimai.lt</w:t>
        </w:r>
      </w:hyperlink>
      <w:r w:rsidR="00042482" w:rsidRPr="00546784">
        <w:t>. Pirkimas bus atliekamas elektroninėmis priemonėmis CVP IS. Pasiūlymų pateikimas ir visas kitas susirašinėjimas tarp Komisijos ir tiekėjų bus vykdomas tik elektroninėmis susirašinėjimo priemonėmis, naudojantis CVP IS.</w:t>
      </w:r>
    </w:p>
    <w:p w14:paraId="24CE7B1C" w14:textId="019F1C18" w:rsidR="00042482" w:rsidRDefault="000B4DF9" w:rsidP="00042482">
      <w:pPr>
        <w:ind w:firstLine="709"/>
        <w:jc w:val="both"/>
      </w:pPr>
      <w:r>
        <w:t>1.7</w:t>
      </w:r>
      <w:r w:rsidR="00042482"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05596BF" w14:textId="0A71C558" w:rsidR="00042482" w:rsidRPr="00546784" w:rsidRDefault="000B4DF9" w:rsidP="00042482">
      <w:pPr>
        <w:ind w:firstLine="709"/>
        <w:jc w:val="both"/>
      </w:pPr>
      <w:r>
        <w:t>1.8</w:t>
      </w:r>
      <w:r w:rsidR="00042482">
        <w:t xml:space="preserve">. </w:t>
      </w:r>
      <w:r w:rsidR="00042482"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w:t>
      </w:r>
      <w:r w:rsidR="00042482" w:rsidRPr="002003D7">
        <w:lastRenderedPageBreak/>
        <w:t xml:space="preserve">vyriausybės nekontroliuojama Padnestrės teritorija, </w:t>
      </w:r>
      <w:proofErr w:type="spellStart"/>
      <w:r w:rsidR="00042482" w:rsidRPr="002003D7">
        <w:t>Sakartvelo</w:t>
      </w:r>
      <w:proofErr w:type="spellEnd"/>
      <w:r w:rsidR="00042482" w:rsidRPr="002003D7">
        <w:t xml:space="preserve"> vyriausybės nekontroliuojamos Abchazijos ir Pietų Osetijos teritorijos.</w:t>
      </w:r>
    </w:p>
    <w:p w14:paraId="0E84F25C" w14:textId="3C8762BF" w:rsidR="00042482" w:rsidRPr="00546784" w:rsidRDefault="000B4DF9" w:rsidP="00042482">
      <w:pPr>
        <w:pStyle w:val="Heading2"/>
        <w:numPr>
          <w:ilvl w:val="0"/>
          <w:numId w:val="0"/>
        </w:numPr>
        <w:ind w:left="720"/>
      </w:pPr>
      <w:r>
        <w:t>1.9</w:t>
      </w:r>
      <w:r w:rsidR="00042482" w:rsidRPr="00546784">
        <w:t>. Perkančioji organizacija yra pridėtinės vertės mokesčio (toliau – PVM) mokėtoja.</w:t>
      </w:r>
    </w:p>
    <w:p w14:paraId="53CE995E" w14:textId="5250B428" w:rsidR="00984A79" w:rsidRPr="00546784" w:rsidRDefault="000B4DF9" w:rsidP="00042482">
      <w:pPr>
        <w:pStyle w:val="Heading2"/>
        <w:numPr>
          <w:ilvl w:val="0"/>
          <w:numId w:val="0"/>
        </w:numPr>
        <w:ind w:firstLine="709"/>
      </w:pPr>
      <w:r>
        <w:t>1.10</w:t>
      </w:r>
      <w:r w:rsidR="00042482" w:rsidRPr="00546784">
        <w:t xml:space="preserve">. </w:t>
      </w:r>
      <w:r w:rsidR="00042482" w:rsidRPr="00546784">
        <w:rPr>
          <w:szCs w:val="24"/>
        </w:rPr>
        <w:t>Perkančiosios organiza</w:t>
      </w:r>
      <w:r w:rsidR="00042482">
        <w:rPr>
          <w:szCs w:val="24"/>
        </w:rPr>
        <w:t xml:space="preserve">cijos asmuo kontaktams: </w:t>
      </w:r>
      <w:r>
        <w:rPr>
          <w:szCs w:val="24"/>
        </w:rPr>
        <w:t xml:space="preserve">Matas Petrauskas, el. paštas </w:t>
      </w:r>
      <w:proofErr w:type="spellStart"/>
      <w:r>
        <w:rPr>
          <w:szCs w:val="24"/>
        </w:rPr>
        <w:t>matas</w:t>
      </w:r>
      <w:r w:rsidR="00042482">
        <w:rPr>
          <w:szCs w:val="24"/>
        </w:rPr>
        <w:t>.</w:t>
      </w:r>
      <w:r>
        <w:rPr>
          <w:szCs w:val="24"/>
        </w:rPr>
        <w:t>petrauskas</w:t>
      </w:r>
      <w:r w:rsidR="00042482">
        <w:rPr>
          <w:szCs w:val="24"/>
        </w:rPr>
        <w:t>@mil.lt</w:t>
      </w:r>
      <w:proofErr w:type="spellEnd"/>
      <w:r w:rsidR="00042482" w:rsidRPr="00546784">
        <w:rPr>
          <w:szCs w:val="24"/>
        </w:rPr>
        <w:t xml:space="preserve">, J. Kairiūkščio g. 14, Vilnius, </w:t>
      </w:r>
      <w:r w:rsidR="00042482">
        <w:rPr>
          <w:szCs w:val="24"/>
        </w:rPr>
        <w:t xml:space="preserve">telefonas +370 </w:t>
      </w:r>
      <w:r>
        <w:rPr>
          <w:szCs w:val="24"/>
        </w:rPr>
        <w:t>70679948</w:t>
      </w:r>
      <w:r w:rsidR="00042482">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28EAFA35" w14:textId="330A581D" w:rsidR="001867F2" w:rsidRPr="001867F2" w:rsidRDefault="001867F2" w:rsidP="001867F2">
      <w:pPr>
        <w:ind w:firstLine="709"/>
        <w:jc w:val="both"/>
      </w:pPr>
      <w:r>
        <w:t>2</w:t>
      </w:r>
      <w:r w:rsidR="000B4DF9">
        <w:t>.2</w:t>
      </w:r>
      <w:r>
        <w:t xml:space="preserve">. Jeigu pirkimo dokumentuose nurodytas konkretus modelis ar tiekimo šaltinis, standartas, konkretus procesas ar prekių ženklas, patentas, tipai, konkreti kilmė ar gamyba, tai apima ir jiems lygiaverčius </w:t>
      </w:r>
      <w:r w:rsidR="00A03B82">
        <w:t>produktus ar procesus (t. y. tei</w:t>
      </w:r>
      <w:r>
        <w:t>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w:t>
      </w:r>
      <w:r w:rsidR="00A03B82">
        <w:t>kumo įrodymas yra tei</w:t>
      </w:r>
      <w:r>
        <w:t>kėjo pareiga.</w:t>
      </w:r>
    </w:p>
    <w:p w14:paraId="53CE9962" w14:textId="4D46C436" w:rsidR="00C2102B" w:rsidRPr="0063141E" w:rsidRDefault="000B4DF9" w:rsidP="00791B8E">
      <w:pPr>
        <w:pStyle w:val="Heading2"/>
        <w:numPr>
          <w:ilvl w:val="0"/>
          <w:numId w:val="0"/>
        </w:numPr>
        <w:ind w:left="720"/>
        <w:rPr>
          <w:b/>
        </w:rPr>
      </w:pPr>
      <w:r>
        <w:t>2.3</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6F8DD861" w14:textId="0DFC9387" w:rsidR="00D535D1" w:rsidRPr="00D535D1" w:rsidRDefault="000B4DF9" w:rsidP="00B35544">
      <w:pPr>
        <w:pStyle w:val="Heading3"/>
        <w:numPr>
          <w:ilvl w:val="0"/>
          <w:numId w:val="0"/>
        </w:numPr>
        <w:shd w:val="clear" w:color="auto" w:fill="FFFFFF" w:themeFill="background1"/>
        <w:ind w:left="1124" w:hanging="415"/>
      </w:pPr>
      <w:r>
        <w:rPr>
          <w:color w:val="000000"/>
        </w:rPr>
        <w:t>2.3</w:t>
      </w:r>
      <w:r w:rsidR="00791B8E">
        <w:rPr>
          <w:color w:val="000000"/>
        </w:rPr>
        <w:t>.1.</w:t>
      </w:r>
      <w:r w:rsidR="00092DD4" w:rsidRPr="002D6099">
        <w:rPr>
          <w:color w:val="000000"/>
        </w:rPr>
        <w:t xml:space="preserve"> </w:t>
      </w:r>
      <w:r w:rsidRPr="000B4DF9">
        <w:t xml:space="preserve">ITIL 4 </w:t>
      </w:r>
      <w:proofErr w:type="spellStart"/>
      <w:r w:rsidRPr="000B4DF9">
        <w:t>foundation</w:t>
      </w:r>
      <w:proofErr w:type="spellEnd"/>
      <w:r w:rsidRPr="000B4DF9">
        <w:t xml:space="preserve"> kurs</w:t>
      </w:r>
      <w:r w:rsidR="009C791F">
        <w:t>as</w:t>
      </w:r>
      <w:r w:rsidR="00042482">
        <w:t xml:space="preserve">(BVPŽ kodas: </w:t>
      </w:r>
      <w:r w:rsidRPr="000B4DF9">
        <w:t>80522000-9</w:t>
      </w:r>
      <w:r w:rsidR="00042482">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08D3246F" w:rsidR="002C3319" w:rsidRPr="00D07F39" w:rsidRDefault="000B4DF9" w:rsidP="002C3319">
            <w:pPr>
              <w:jc w:val="center"/>
              <w:rPr>
                <w:color w:val="000000"/>
              </w:rPr>
            </w:pPr>
            <w:r w:rsidRPr="000B4DF9">
              <w:rPr>
                <w:color w:val="000000"/>
              </w:rPr>
              <w:t xml:space="preserve">ITIL 4 </w:t>
            </w:r>
            <w:proofErr w:type="spellStart"/>
            <w:r w:rsidRPr="000B4DF9">
              <w:rPr>
                <w:color w:val="000000"/>
              </w:rPr>
              <w:t>Foundation</w:t>
            </w:r>
            <w:proofErr w:type="spellEnd"/>
            <w:r w:rsidRPr="000B4DF9">
              <w:rPr>
                <w:color w:val="000000"/>
              </w:rPr>
              <w:t xml:space="preserve"> kursas + Egzaminas</w:t>
            </w:r>
          </w:p>
        </w:tc>
        <w:tc>
          <w:tcPr>
            <w:tcW w:w="5784" w:type="dxa"/>
            <w:vAlign w:val="center"/>
          </w:tcPr>
          <w:p w14:paraId="669646CB" w14:textId="77777777" w:rsidR="0008772A" w:rsidRPr="0008772A" w:rsidRDefault="0008772A" w:rsidP="0008772A">
            <w:pPr>
              <w:tabs>
                <w:tab w:val="left" w:pos="451"/>
              </w:tabs>
              <w:jc w:val="both"/>
              <w:rPr>
                <w:b/>
                <w:color w:val="000000" w:themeColor="text1"/>
                <w:lang w:eastAsia="lt-LT"/>
              </w:rPr>
            </w:pPr>
            <w:r w:rsidRPr="0008772A">
              <w:rPr>
                <w:b/>
                <w:color w:val="000000" w:themeColor="text1"/>
                <w:lang w:eastAsia="lt-LT"/>
              </w:rPr>
              <w:t>1. Bendrieji kurso reikalavimai:</w:t>
            </w:r>
          </w:p>
          <w:p w14:paraId="2E26D109"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1.1. Kursas turi būti pravestas auditorijoje (Vilniaus mieste) arba nuotoliniu būdu, anglų kalba;</w:t>
            </w:r>
          </w:p>
          <w:p w14:paraId="222E0057"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1.2. Kursas privalo turėti baigiamąjį egzaminą.</w:t>
            </w:r>
          </w:p>
          <w:p w14:paraId="59CFDAAD"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1.3. Kursas turi būti ne trumpesnis kaip trijų dienų (ne mažiau 24 valandų, ne mažiau aštuonių</w:t>
            </w:r>
          </w:p>
          <w:p w14:paraId="16050D38"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valandų per dieną);</w:t>
            </w:r>
          </w:p>
          <w:p w14:paraId="5AD8E62C"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1.4. Kursą privalo pravesti laimėjusi įmonė, o ne tretieji asmenys;</w:t>
            </w:r>
          </w:p>
          <w:p w14:paraId="4E03151A"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1.5. Kurso dalyvių skaičius – 5;</w:t>
            </w:r>
          </w:p>
          <w:p w14:paraId="1741C552" w14:textId="74B07103" w:rsidR="00DE0EE9" w:rsidRDefault="0008772A" w:rsidP="0008772A">
            <w:pPr>
              <w:tabs>
                <w:tab w:val="left" w:pos="451"/>
              </w:tabs>
              <w:jc w:val="both"/>
              <w:rPr>
                <w:color w:val="000000" w:themeColor="text1"/>
                <w:lang w:eastAsia="lt-LT"/>
              </w:rPr>
            </w:pPr>
            <w:r>
              <w:rPr>
                <w:color w:val="000000" w:themeColor="text1"/>
                <w:lang w:eastAsia="lt-LT"/>
              </w:rPr>
              <w:t>1.6. Kursas turi įvykti: 2026</w:t>
            </w:r>
            <w:r w:rsidRPr="0008772A">
              <w:rPr>
                <w:color w:val="000000" w:themeColor="text1"/>
                <w:lang w:eastAsia="lt-LT"/>
              </w:rPr>
              <w:t xml:space="preserve"> m. I-II</w:t>
            </w:r>
            <w:r>
              <w:rPr>
                <w:color w:val="000000" w:themeColor="text1"/>
                <w:lang w:eastAsia="lt-LT"/>
              </w:rPr>
              <w:t>I</w:t>
            </w:r>
            <w:r w:rsidRPr="0008772A">
              <w:rPr>
                <w:color w:val="000000" w:themeColor="text1"/>
                <w:lang w:eastAsia="lt-LT"/>
              </w:rPr>
              <w:t xml:space="preserve"> ketvirtį</w:t>
            </w:r>
            <w:r w:rsidR="0003677C">
              <w:rPr>
                <w:color w:val="000000" w:themeColor="text1"/>
                <w:lang w:eastAsia="lt-LT"/>
              </w:rPr>
              <w:t xml:space="preserve"> pagal su užsakovu suderintą grafiką</w:t>
            </w:r>
            <w:r w:rsidRPr="0008772A">
              <w:rPr>
                <w:color w:val="000000" w:themeColor="text1"/>
                <w:lang w:eastAsia="lt-LT"/>
              </w:rPr>
              <w:t>.</w:t>
            </w:r>
          </w:p>
          <w:p w14:paraId="74293102" w14:textId="77777777" w:rsidR="0008772A" w:rsidRPr="0008772A" w:rsidRDefault="0008772A" w:rsidP="0008772A">
            <w:pPr>
              <w:tabs>
                <w:tab w:val="left" w:pos="451"/>
              </w:tabs>
              <w:jc w:val="both"/>
              <w:rPr>
                <w:b/>
                <w:color w:val="000000" w:themeColor="text1"/>
                <w:lang w:eastAsia="lt-LT"/>
              </w:rPr>
            </w:pPr>
            <w:r w:rsidRPr="0008772A">
              <w:rPr>
                <w:b/>
                <w:color w:val="000000" w:themeColor="text1"/>
                <w:lang w:eastAsia="lt-LT"/>
              </w:rPr>
              <w:t>2. Kurso teoriniai ir praktiniai reikalavimai:</w:t>
            </w:r>
          </w:p>
          <w:p w14:paraId="6B4A0DF0"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2.1. Kursas turi suteikti žinių ir įgūdžių IT paslaugų valdymui, kuris paremtas keturių dimensijų</w:t>
            </w:r>
          </w:p>
          <w:p w14:paraId="1305A5E7"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modeliu: organizacija ir žmonės, informacija ir technologijos, partneriai ir tiekėjai, vertės</w:t>
            </w:r>
          </w:p>
          <w:p w14:paraId="5ABA502E"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srautai ir procesai. Kursas supažindins su kriterijais, kurie yra svarbūs nuolatiniam paslaugų</w:t>
            </w:r>
          </w:p>
          <w:p w14:paraId="38A2D691"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kokybės tobulinimui, kad jos atitiktų vartotojų poreikius. Kursai paruoš dalyvius ITIL4</w:t>
            </w:r>
          </w:p>
          <w:p w14:paraId="5A0E5B0E" w14:textId="77777777" w:rsidR="0008772A" w:rsidRPr="0008772A" w:rsidRDefault="0008772A" w:rsidP="0008772A">
            <w:pPr>
              <w:tabs>
                <w:tab w:val="left" w:pos="451"/>
              </w:tabs>
              <w:jc w:val="both"/>
              <w:rPr>
                <w:color w:val="000000" w:themeColor="text1"/>
                <w:lang w:eastAsia="lt-LT"/>
              </w:rPr>
            </w:pPr>
            <w:proofErr w:type="spellStart"/>
            <w:r w:rsidRPr="0008772A">
              <w:rPr>
                <w:color w:val="000000" w:themeColor="text1"/>
                <w:lang w:eastAsia="lt-LT"/>
              </w:rPr>
              <w:t>Foundation</w:t>
            </w:r>
            <w:proofErr w:type="spellEnd"/>
            <w:r w:rsidRPr="0008772A">
              <w:rPr>
                <w:color w:val="000000" w:themeColor="text1"/>
                <w:lang w:eastAsia="lt-LT"/>
              </w:rPr>
              <w:t xml:space="preserve"> egzamino laikymui.</w:t>
            </w:r>
          </w:p>
          <w:p w14:paraId="73C814E1"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2.2. Po mokymų dalyviai įgis žinių apie: </w:t>
            </w:r>
          </w:p>
          <w:p w14:paraId="5DD5F20C"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2.2.1. pagrindines ITIL paslaugų valdymo sąvokas; </w:t>
            </w:r>
          </w:p>
          <w:p w14:paraId="73B3AF5E"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2.2.2.ITIL pagrindinių principų taikymą organizacijai priimant ir pritaikant ITIL paslaugų</w:t>
            </w:r>
          </w:p>
          <w:p w14:paraId="4F5B9066"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valdymą; </w:t>
            </w:r>
          </w:p>
          <w:p w14:paraId="06BF7E96"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2.2.3. keturias ITIL paslaugų valdymo dimensijas; </w:t>
            </w:r>
          </w:p>
          <w:p w14:paraId="7B67F8AF"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2.2.4.ITIL paslaugų vertės sistemos paskirtį ir komponentus, paslaugų vertės grandinės veiklą</w:t>
            </w:r>
          </w:p>
          <w:p w14:paraId="5EBC5A9E"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ir jų tarpusavio ryšį; </w:t>
            </w:r>
          </w:p>
          <w:p w14:paraId="7AED41C7"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 xml:space="preserve">2.2.5. pagrindines nuolatinio tobulėjimo sąvokas; </w:t>
            </w:r>
          </w:p>
          <w:p w14:paraId="1B468671" w14:textId="77777777" w:rsidR="0008772A" w:rsidRDefault="0008772A" w:rsidP="0008772A">
            <w:pPr>
              <w:tabs>
                <w:tab w:val="left" w:pos="451"/>
              </w:tabs>
              <w:jc w:val="both"/>
              <w:rPr>
                <w:color w:val="000000" w:themeColor="text1"/>
                <w:lang w:eastAsia="lt-LT"/>
              </w:rPr>
            </w:pPr>
            <w:r w:rsidRPr="0008772A">
              <w:rPr>
                <w:color w:val="000000" w:themeColor="text1"/>
                <w:lang w:eastAsia="lt-LT"/>
              </w:rPr>
              <w:lastRenderedPageBreak/>
              <w:t>2.2.6. įvairias ITIL praktikas ir tai, kaip jos prisideda prie vertės kūrimo.</w:t>
            </w:r>
          </w:p>
          <w:p w14:paraId="2B5E3A30" w14:textId="77777777" w:rsidR="0008772A" w:rsidRPr="0008772A" w:rsidRDefault="0008772A" w:rsidP="0008772A">
            <w:pPr>
              <w:tabs>
                <w:tab w:val="left" w:pos="451"/>
              </w:tabs>
              <w:jc w:val="both"/>
              <w:rPr>
                <w:b/>
                <w:color w:val="000000" w:themeColor="text1"/>
                <w:lang w:eastAsia="lt-LT"/>
              </w:rPr>
            </w:pPr>
            <w:r w:rsidRPr="0008772A">
              <w:rPr>
                <w:b/>
                <w:color w:val="000000" w:themeColor="text1"/>
                <w:lang w:eastAsia="lt-LT"/>
              </w:rPr>
              <w:t>3. Sertifikavimas:</w:t>
            </w:r>
          </w:p>
          <w:p w14:paraId="58EB067F"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3.1. Baigus kursą turi būti išduodamas kursų baigimo pažymėjimas arba sertifikatas, įrodantis,</w:t>
            </w:r>
          </w:p>
          <w:p w14:paraId="4B6525C8"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jog būtent šis konkretus asmuo kursą išklausė;</w:t>
            </w:r>
          </w:p>
          <w:p w14:paraId="361A102E" w14:textId="77777777" w:rsidR="0008772A" w:rsidRDefault="0008772A" w:rsidP="0008772A">
            <w:pPr>
              <w:tabs>
                <w:tab w:val="left" w:pos="451"/>
              </w:tabs>
              <w:jc w:val="both"/>
              <w:rPr>
                <w:color w:val="000000" w:themeColor="text1"/>
                <w:lang w:eastAsia="lt-LT"/>
              </w:rPr>
            </w:pPr>
            <w:r w:rsidRPr="0008772A">
              <w:rPr>
                <w:color w:val="000000" w:themeColor="text1"/>
                <w:lang w:eastAsia="lt-LT"/>
              </w:rPr>
              <w:t xml:space="preserve">3.2. Baigus kursą turi būti sudarytos sąlygos laikyti ITIL 4 </w:t>
            </w:r>
            <w:proofErr w:type="spellStart"/>
            <w:r w:rsidRPr="0008772A">
              <w:rPr>
                <w:color w:val="000000" w:themeColor="text1"/>
                <w:lang w:eastAsia="lt-LT"/>
              </w:rPr>
              <w:t>Foundation</w:t>
            </w:r>
            <w:proofErr w:type="spellEnd"/>
            <w:r w:rsidRPr="0008772A">
              <w:rPr>
                <w:color w:val="000000" w:themeColor="text1"/>
                <w:lang w:eastAsia="lt-LT"/>
              </w:rPr>
              <w:t xml:space="preserve"> egzaminą.</w:t>
            </w:r>
          </w:p>
          <w:p w14:paraId="4F90D430" w14:textId="77777777" w:rsidR="0008772A" w:rsidRPr="0008772A" w:rsidRDefault="0008772A" w:rsidP="0008772A">
            <w:pPr>
              <w:tabs>
                <w:tab w:val="left" w:pos="451"/>
              </w:tabs>
              <w:jc w:val="both"/>
              <w:rPr>
                <w:b/>
                <w:color w:val="000000" w:themeColor="text1"/>
                <w:lang w:eastAsia="lt-LT"/>
              </w:rPr>
            </w:pPr>
            <w:r w:rsidRPr="0008772A">
              <w:rPr>
                <w:b/>
                <w:color w:val="000000" w:themeColor="text1"/>
                <w:lang w:eastAsia="lt-LT"/>
              </w:rPr>
              <w:t>4. Techninė / mokomoji dokumentacija:</w:t>
            </w:r>
          </w:p>
          <w:p w14:paraId="02290371"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4.1. Kurse turi būti pristatyta mokomoji medžiaga anglų kalba;</w:t>
            </w:r>
          </w:p>
          <w:p w14:paraId="7A75BCE5" w14:textId="7777777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4.2. Kurso metu turi būti suteikta prieiga prie elektroninės egzaminui pasirengti reikalingos</w:t>
            </w:r>
          </w:p>
          <w:p w14:paraId="494CDEB7" w14:textId="61E89347" w:rsidR="0008772A" w:rsidRPr="0008772A" w:rsidRDefault="0008772A" w:rsidP="0008772A">
            <w:pPr>
              <w:tabs>
                <w:tab w:val="left" w:pos="451"/>
              </w:tabs>
              <w:jc w:val="both"/>
              <w:rPr>
                <w:color w:val="000000" w:themeColor="text1"/>
                <w:lang w:eastAsia="lt-LT"/>
              </w:rPr>
            </w:pPr>
            <w:r w:rsidRPr="0008772A">
              <w:rPr>
                <w:color w:val="000000" w:themeColor="text1"/>
                <w:lang w:eastAsia="lt-LT"/>
              </w:rPr>
              <w:t>medžiagos: knygos, laboratoriniai darbai, testai.</w:t>
            </w:r>
          </w:p>
        </w:tc>
        <w:tc>
          <w:tcPr>
            <w:tcW w:w="1003" w:type="dxa"/>
            <w:tcBorders>
              <w:top w:val="single" w:sz="4" w:space="0" w:color="auto"/>
              <w:left w:val="single" w:sz="4" w:space="0" w:color="auto"/>
              <w:bottom w:val="single" w:sz="4" w:space="0" w:color="auto"/>
              <w:right w:val="single" w:sz="4" w:space="0" w:color="auto"/>
            </w:tcBorders>
          </w:tcPr>
          <w:p w14:paraId="2508EC2C" w14:textId="74211B77" w:rsidR="00DE0EE9" w:rsidRDefault="0008772A" w:rsidP="00DE0EE9">
            <w:pPr>
              <w:jc w:val="center"/>
            </w:pPr>
            <w:r>
              <w:lastRenderedPageBreak/>
              <w:t>vnt</w:t>
            </w:r>
            <w:r w:rsidR="00DE0EE9">
              <w:t>.</w:t>
            </w:r>
          </w:p>
        </w:tc>
        <w:tc>
          <w:tcPr>
            <w:tcW w:w="843" w:type="dxa"/>
            <w:tcBorders>
              <w:top w:val="single" w:sz="4" w:space="0" w:color="auto"/>
              <w:left w:val="single" w:sz="4" w:space="0" w:color="auto"/>
              <w:bottom w:val="single" w:sz="4" w:space="0" w:color="auto"/>
              <w:right w:val="single" w:sz="4" w:space="0" w:color="auto"/>
            </w:tcBorders>
          </w:tcPr>
          <w:p w14:paraId="625917B8" w14:textId="40F188BD" w:rsidR="00DE0EE9" w:rsidRDefault="0008772A" w:rsidP="005F767C">
            <w:pPr>
              <w:jc w:val="center"/>
            </w:pPr>
            <w:r>
              <w:t>5</w:t>
            </w:r>
          </w:p>
        </w:tc>
      </w:tr>
    </w:tbl>
    <w:p w14:paraId="53CE99E3" w14:textId="3C371394" w:rsidR="004856AD" w:rsidRDefault="004856AD" w:rsidP="004856AD">
      <w:pPr>
        <w:pStyle w:val="Heading2"/>
        <w:numPr>
          <w:ilvl w:val="0"/>
          <w:numId w:val="0"/>
        </w:numPr>
        <w:tabs>
          <w:tab w:val="left" w:pos="1080"/>
        </w:tabs>
        <w:rPr>
          <w:szCs w:val="24"/>
        </w:rPr>
      </w:pPr>
    </w:p>
    <w:p w14:paraId="01A09C90" w14:textId="0C01B405" w:rsidR="00D04F1B" w:rsidRPr="000657BA" w:rsidRDefault="0003677C" w:rsidP="00D04F1B">
      <w:pPr>
        <w:pStyle w:val="Heading2"/>
        <w:numPr>
          <w:ilvl w:val="0"/>
          <w:numId w:val="0"/>
        </w:numPr>
        <w:tabs>
          <w:tab w:val="left" w:pos="709"/>
        </w:tabs>
        <w:rPr>
          <w:b/>
          <w:szCs w:val="24"/>
        </w:rPr>
      </w:pPr>
      <w:r>
        <w:rPr>
          <w:szCs w:val="24"/>
        </w:rPr>
        <w:tab/>
        <w:t>2.4</w:t>
      </w:r>
      <w:r w:rsidR="00D04F1B">
        <w:rPr>
          <w:szCs w:val="24"/>
        </w:rPr>
        <w:t xml:space="preserve">. </w:t>
      </w:r>
      <w:r w:rsidR="00D04F1B">
        <w:rPr>
          <w:b/>
          <w:szCs w:val="24"/>
        </w:rPr>
        <w:t>Bendrieji reikalavimai:</w:t>
      </w:r>
    </w:p>
    <w:p w14:paraId="25B42E68" w14:textId="6BC40AC4" w:rsidR="00D04F1B" w:rsidRDefault="0003677C" w:rsidP="00B9525F">
      <w:pPr>
        <w:jc w:val="both"/>
      </w:pPr>
      <w:r>
        <w:t xml:space="preserve">            2.4</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w:t>
      </w:r>
      <w:r>
        <w:t>teikėjo</w:t>
      </w:r>
      <w:r w:rsidR="00D04F1B">
        <w:t xml:space="preserve"> dokumentus (visą techninę dokumentaciją ir kitą informacinę</w:t>
      </w:r>
      <w:r w:rsidR="00B9525F">
        <w:t xml:space="preserve"> medžiagą).</w:t>
      </w:r>
    </w:p>
    <w:p w14:paraId="0C651EF5" w14:textId="34850672" w:rsidR="00D04F1B" w:rsidRPr="00D535D1" w:rsidRDefault="0003677C" w:rsidP="00D04F1B">
      <w:pPr>
        <w:pStyle w:val="Heading2"/>
        <w:numPr>
          <w:ilvl w:val="0"/>
          <w:numId w:val="0"/>
        </w:numPr>
        <w:ind w:firstLine="709"/>
      </w:pPr>
      <w:r>
        <w:t>2.5</w:t>
      </w:r>
      <w:r w:rsidR="00D04F1B" w:rsidRPr="00D535D1">
        <w:t xml:space="preserve">. </w:t>
      </w:r>
      <w:r w:rsidRPr="0003677C">
        <w:t>Kursas turi įvykti: 2026 m. I-III ketvirtį pagal su užsakovu suderintą grafiką.</w:t>
      </w:r>
    </w:p>
    <w:p w14:paraId="1602F0FF" w14:textId="66A555B8" w:rsidR="005032A0" w:rsidRDefault="0003677C" w:rsidP="00D04F1B">
      <w:r>
        <w:t xml:space="preserve">            2.6</w:t>
      </w:r>
      <w:r w:rsidR="00D04F1B">
        <w:t xml:space="preserve">. Su laimėtoju numatoma sudaryti </w:t>
      </w:r>
      <w:r w:rsidR="00ED4482">
        <w:t>rašytinę sutartį</w:t>
      </w:r>
      <w:r w:rsidR="00DA3B32">
        <w:t>.</w:t>
      </w:r>
    </w:p>
    <w:p w14:paraId="7F653D6A" w14:textId="507135A9" w:rsidR="00223BAA" w:rsidRPr="00056D13" w:rsidRDefault="00E92AD1" w:rsidP="00056D13">
      <w:pPr>
        <w:pStyle w:val="Heading1"/>
        <w:numPr>
          <w:ilvl w:val="0"/>
          <w:numId w:val="36"/>
        </w:numPr>
        <w:spacing w:before="240" w:after="240"/>
        <w:ind w:hanging="3094"/>
        <w:rPr>
          <w:b/>
          <w:sz w:val="24"/>
          <w:szCs w:val="24"/>
        </w:rPr>
      </w:pPr>
      <w:r>
        <w:rPr>
          <w:b/>
          <w:sz w:val="24"/>
          <w:szCs w:val="24"/>
        </w:rPr>
        <w:t>TEI</w:t>
      </w:r>
      <w:r w:rsidR="00223BAA" w:rsidRPr="00056D13">
        <w:rPr>
          <w:b/>
          <w:sz w:val="24"/>
          <w:szCs w:val="24"/>
        </w:rPr>
        <w:t>KĖ</w:t>
      </w:r>
      <w:r w:rsidR="0003677C">
        <w:rPr>
          <w:b/>
          <w:sz w:val="24"/>
          <w:szCs w:val="24"/>
        </w:rPr>
        <w:t>JŲ KVALIFIKACINIAI REIKALAVIMAI</w:t>
      </w:r>
    </w:p>
    <w:p w14:paraId="50284327" w14:textId="6205C88E"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00E92AD1">
        <w:rPr>
          <w:rFonts w:eastAsia="Calibri"/>
        </w:rPr>
        <w:t>dalyvauti tei</w:t>
      </w:r>
      <w:r w:rsidRPr="00F30806">
        <w:rPr>
          <w:rFonts w:eastAsia="Calibri"/>
        </w:rPr>
        <w:t>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w:t>
      </w:r>
      <w:r w:rsidR="00E92AD1">
        <w:rPr>
          <w:rFonts w:eastAsia="Calibri"/>
        </w:rPr>
        <w:t>i tei</w:t>
      </w:r>
      <w:r w:rsidRPr="00F30806">
        <w:rPr>
          <w:rFonts w:eastAsia="Calibri"/>
        </w:rPr>
        <w:t>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70A9B1EE" w14:textId="6D1599AD" w:rsidR="00042482" w:rsidRPr="00ED4482" w:rsidRDefault="00042482" w:rsidP="005472B2">
      <w:pPr>
        <w:tabs>
          <w:tab w:val="left" w:pos="720"/>
        </w:tabs>
        <w:jc w:val="both"/>
        <w:rPr>
          <w:rFonts w:eastAsia="Calibri"/>
        </w:rPr>
      </w:pPr>
    </w:p>
    <w:p w14:paraId="146A188C" w14:textId="2E741A82" w:rsidR="008245A3" w:rsidRDefault="007E1AC2" w:rsidP="007E1AC2">
      <w:pPr>
        <w:pStyle w:val="Heading2"/>
        <w:numPr>
          <w:ilvl w:val="0"/>
          <w:numId w:val="0"/>
        </w:numPr>
        <w:tabs>
          <w:tab w:val="left" w:pos="851"/>
        </w:tabs>
        <w:ind w:left="709"/>
      </w:pPr>
      <w:r>
        <w:t>3.2.</w:t>
      </w:r>
      <w:r w:rsidR="00D37BBF">
        <w:t>Tei</w:t>
      </w:r>
      <w:r w:rsidR="00040063" w:rsidRPr="0063141E">
        <w:t>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48C30B56" w:rsidR="00040063" w:rsidRPr="0063141E" w:rsidRDefault="00D37BBF" w:rsidP="00752CBE">
            <w:pPr>
              <w:pStyle w:val="Point1"/>
              <w:spacing w:before="0" w:after="0" w:line="276" w:lineRule="auto"/>
              <w:ind w:left="0" w:firstLine="0"/>
              <w:rPr>
                <w:szCs w:val="24"/>
                <w:lang w:val="lt-LT"/>
              </w:rPr>
            </w:pPr>
            <w:proofErr w:type="spellStart"/>
            <w:r>
              <w:rPr>
                <w:color w:val="000000"/>
                <w:szCs w:val="24"/>
              </w:rPr>
              <w:t>Tei</w:t>
            </w:r>
            <w:r w:rsidR="00040063" w:rsidRPr="0063141E">
              <w:rPr>
                <w:color w:val="000000"/>
                <w:szCs w:val="24"/>
              </w:rPr>
              <w:t>kėjo</w:t>
            </w:r>
            <w:proofErr w:type="spellEnd"/>
            <w:r w:rsidR="00040063" w:rsidRPr="0063141E">
              <w:rPr>
                <w:color w:val="000000"/>
                <w:szCs w:val="24"/>
              </w:rPr>
              <w:t xml:space="preserve"> </w:t>
            </w:r>
            <w:proofErr w:type="spellStart"/>
            <w:r w:rsidR="00040063" w:rsidRPr="0063141E">
              <w:rPr>
                <w:color w:val="000000"/>
                <w:szCs w:val="24"/>
              </w:rPr>
              <w:t>veiklos</w:t>
            </w:r>
            <w:proofErr w:type="spellEnd"/>
            <w:r w:rsidR="00040063" w:rsidRPr="0063141E">
              <w:rPr>
                <w:color w:val="000000"/>
                <w:szCs w:val="24"/>
              </w:rPr>
              <w:t xml:space="preserve"> </w:t>
            </w:r>
            <w:proofErr w:type="spellStart"/>
            <w:r w:rsidR="00040063" w:rsidRPr="0063141E">
              <w:rPr>
                <w:color w:val="000000"/>
                <w:szCs w:val="24"/>
              </w:rPr>
              <w:t>pobūdis</w:t>
            </w:r>
            <w:proofErr w:type="spellEnd"/>
            <w:r w:rsidR="00040063" w:rsidRPr="0063141E">
              <w:rPr>
                <w:color w:val="000000"/>
                <w:szCs w:val="24"/>
              </w:rPr>
              <w:t xml:space="preserve"> </w:t>
            </w:r>
            <w:proofErr w:type="spellStart"/>
            <w:r w:rsidR="00040063" w:rsidRPr="0063141E">
              <w:rPr>
                <w:color w:val="000000"/>
                <w:szCs w:val="24"/>
              </w:rPr>
              <w:t>atitink</w:t>
            </w:r>
            <w:r>
              <w:rPr>
                <w:color w:val="000000"/>
                <w:szCs w:val="24"/>
              </w:rPr>
              <w:t>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Tei</w:t>
            </w:r>
            <w:r w:rsidR="00040063" w:rsidRPr="0063141E">
              <w:rPr>
                <w:color w:val="000000"/>
                <w:szCs w:val="24"/>
              </w:rPr>
              <w:t>kėjas</w:t>
            </w:r>
            <w:proofErr w:type="spellEnd"/>
            <w:r w:rsidR="00040063" w:rsidRPr="0063141E">
              <w:rPr>
                <w:color w:val="000000"/>
                <w:szCs w:val="24"/>
              </w:rPr>
              <w:t xml:space="preserve"> </w:t>
            </w:r>
            <w:proofErr w:type="spellStart"/>
            <w:r w:rsidR="00040063" w:rsidRPr="0063141E">
              <w:rPr>
                <w:color w:val="000000"/>
                <w:szCs w:val="24"/>
              </w:rPr>
              <w:t>yra</w:t>
            </w:r>
            <w:proofErr w:type="spellEnd"/>
            <w:r w:rsidR="00040063" w:rsidRPr="0063141E">
              <w:rPr>
                <w:color w:val="000000"/>
                <w:szCs w:val="24"/>
              </w:rPr>
              <w:t xml:space="preserve"> </w:t>
            </w:r>
            <w:proofErr w:type="spellStart"/>
            <w:r w:rsidR="00040063" w:rsidRPr="0063141E">
              <w:rPr>
                <w:color w:val="000000"/>
                <w:szCs w:val="24"/>
              </w:rPr>
              <w:t>įregistruotas</w:t>
            </w:r>
            <w:proofErr w:type="spellEnd"/>
            <w:r w:rsidR="00040063" w:rsidRPr="0063141E">
              <w:rPr>
                <w:color w:val="000000"/>
                <w:szCs w:val="24"/>
              </w:rPr>
              <w:t xml:space="preserve"> </w:t>
            </w:r>
            <w:proofErr w:type="spellStart"/>
            <w:r w:rsidR="00040063" w:rsidRPr="0063141E">
              <w:rPr>
                <w:color w:val="000000"/>
                <w:szCs w:val="24"/>
              </w:rPr>
              <w:t>įstatymų</w:t>
            </w:r>
            <w:proofErr w:type="spellEnd"/>
            <w:r w:rsidR="00040063" w:rsidRPr="0063141E">
              <w:rPr>
                <w:color w:val="000000"/>
                <w:szCs w:val="24"/>
              </w:rPr>
              <w:t xml:space="preserve"> </w:t>
            </w:r>
            <w:proofErr w:type="spellStart"/>
            <w:r w:rsidR="00040063" w:rsidRPr="0063141E">
              <w:rPr>
                <w:color w:val="000000"/>
                <w:szCs w:val="24"/>
              </w:rPr>
              <w:t>nustatyta</w:t>
            </w:r>
            <w:proofErr w:type="spellEnd"/>
            <w:r w:rsidR="00040063" w:rsidRPr="0063141E">
              <w:rPr>
                <w:color w:val="000000"/>
                <w:szCs w:val="24"/>
              </w:rPr>
              <w:t xml:space="preserve"> </w:t>
            </w:r>
            <w:proofErr w:type="spellStart"/>
            <w:r w:rsidR="00040063" w:rsidRPr="0063141E">
              <w:rPr>
                <w:color w:val="000000"/>
                <w:szCs w:val="24"/>
              </w:rPr>
              <w:t>tvarka</w:t>
            </w:r>
            <w:proofErr w:type="spellEnd"/>
            <w:r w:rsidR="00040063" w:rsidRPr="0063141E">
              <w:rPr>
                <w:color w:val="000000"/>
                <w:szCs w:val="24"/>
              </w:rPr>
              <w:t xml:space="preserve"> (</w:t>
            </w:r>
            <w:proofErr w:type="spellStart"/>
            <w:r w:rsidR="00040063" w:rsidRPr="0063141E">
              <w:rPr>
                <w:color w:val="000000"/>
                <w:szCs w:val="24"/>
              </w:rPr>
              <w:t>jei</w:t>
            </w:r>
            <w:proofErr w:type="spellEnd"/>
            <w:r w:rsidR="00040063" w:rsidRPr="0063141E">
              <w:rPr>
                <w:color w:val="000000"/>
                <w:szCs w:val="24"/>
              </w:rPr>
              <w:t xml:space="preserve"> </w:t>
            </w:r>
            <w:proofErr w:type="spellStart"/>
            <w:r w:rsidR="00040063" w:rsidRPr="0063141E">
              <w:rPr>
                <w:color w:val="000000"/>
                <w:szCs w:val="24"/>
              </w:rPr>
              <w:t>reikia</w:t>
            </w:r>
            <w:proofErr w:type="spellEnd"/>
            <w:r w:rsidR="00040063" w:rsidRPr="0063141E">
              <w:rPr>
                <w:color w:val="000000"/>
                <w:szCs w:val="24"/>
              </w:rPr>
              <w:t xml:space="preserve">) </w:t>
            </w:r>
            <w:proofErr w:type="spellStart"/>
            <w:r w:rsidR="00040063" w:rsidRPr="0063141E">
              <w:rPr>
                <w:color w:val="000000"/>
                <w:szCs w:val="24"/>
              </w:rPr>
              <w:t>ir</w:t>
            </w:r>
            <w:proofErr w:type="spellEnd"/>
            <w:r w:rsidR="00040063" w:rsidRPr="0063141E">
              <w:rPr>
                <w:color w:val="000000"/>
                <w:szCs w:val="24"/>
              </w:rPr>
              <w:t xml:space="preserve"> </w:t>
            </w:r>
            <w:proofErr w:type="spellStart"/>
            <w:r w:rsidR="00040063" w:rsidRPr="0063141E">
              <w:rPr>
                <w:color w:val="000000"/>
                <w:szCs w:val="24"/>
              </w:rPr>
              <w:t>turi</w:t>
            </w:r>
            <w:proofErr w:type="spellEnd"/>
            <w:r w:rsidR="00040063" w:rsidRPr="0063141E">
              <w:rPr>
                <w:color w:val="000000"/>
                <w:szCs w:val="24"/>
              </w:rPr>
              <w:t xml:space="preserve"> </w:t>
            </w:r>
            <w:proofErr w:type="spellStart"/>
            <w:r w:rsidR="00040063" w:rsidRPr="0063141E">
              <w:rPr>
                <w:color w:val="000000"/>
                <w:szCs w:val="24"/>
              </w:rPr>
              <w:t>šiai</w:t>
            </w:r>
            <w:proofErr w:type="spellEnd"/>
            <w:r w:rsidR="00040063" w:rsidRPr="0063141E">
              <w:rPr>
                <w:color w:val="000000"/>
                <w:szCs w:val="24"/>
              </w:rPr>
              <w:t xml:space="preserve"> </w:t>
            </w:r>
            <w:proofErr w:type="spellStart"/>
            <w:r w:rsidR="00040063" w:rsidRPr="0063141E">
              <w:rPr>
                <w:color w:val="000000"/>
                <w:szCs w:val="24"/>
              </w:rPr>
              <w:t>pirkimo</w:t>
            </w:r>
            <w:proofErr w:type="spellEnd"/>
            <w:r w:rsidR="00040063" w:rsidRPr="0063141E">
              <w:rPr>
                <w:color w:val="000000"/>
                <w:szCs w:val="24"/>
              </w:rPr>
              <w:t xml:space="preserve"> </w:t>
            </w:r>
            <w:proofErr w:type="spellStart"/>
            <w:r w:rsidR="00040063" w:rsidRPr="0063141E">
              <w:rPr>
                <w:color w:val="000000"/>
                <w:szCs w:val="24"/>
              </w:rPr>
              <w:t>sutarčiai</w:t>
            </w:r>
            <w:proofErr w:type="spellEnd"/>
            <w:r w:rsidR="00040063" w:rsidRPr="0063141E">
              <w:rPr>
                <w:color w:val="000000"/>
                <w:szCs w:val="24"/>
              </w:rPr>
              <w:t xml:space="preserve"> </w:t>
            </w:r>
            <w:proofErr w:type="spellStart"/>
            <w:r w:rsidR="00040063" w:rsidRPr="0063141E">
              <w:rPr>
                <w:color w:val="000000"/>
                <w:szCs w:val="24"/>
              </w:rPr>
              <w:t>vykdyti</w:t>
            </w:r>
            <w:proofErr w:type="spellEnd"/>
            <w:r w:rsidR="00040063" w:rsidRPr="0063141E">
              <w:rPr>
                <w:color w:val="000000"/>
                <w:szCs w:val="24"/>
              </w:rPr>
              <w:t xml:space="preserve"> </w:t>
            </w:r>
            <w:proofErr w:type="spellStart"/>
            <w:r w:rsidR="00040063" w:rsidRPr="0063141E">
              <w:rPr>
                <w:color w:val="000000"/>
                <w:szCs w:val="24"/>
              </w:rPr>
              <w:t>privalomus</w:t>
            </w:r>
            <w:proofErr w:type="spellEnd"/>
            <w:r w:rsidR="00040063" w:rsidRPr="0063141E">
              <w:rPr>
                <w:color w:val="000000"/>
                <w:szCs w:val="24"/>
              </w:rPr>
              <w:t xml:space="preserve"> </w:t>
            </w:r>
            <w:proofErr w:type="spellStart"/>
            <w:r w:rsidR="00040063" w:rsidRPr="0063141E">
              <w:rPr>
                <w:color w:val="000000"/>
                <w:szCs w:val="24"/>
              </w:rPr>
              <w:t>dokumentus</w:t>
            </w:r>
            <w:proofErr w:type="spellEnd"/>
            <w:r w:rsidR="00040063">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67CB4354" w:rsidR="00040063" w:rsidRPr="0063141E" w:rsidRDefault="00D37BBF" w:rsidP="00752CBE">
            <w:pPr>
              <w:jc w:val="both"/>
              <w:rPr>
                <w:bCs/>
                <w:color w:val="000000"/>
              </w:rPr>
            </w:pPr>
            <w:r>
              <w:rPr>
                <w:bCs/>
                <w:color w:val="000000"/>
              </w:rPr>
              <w:t>Tei</w:t>
            </w:r>
            <w:r w:rsidR="00040063" w:rsidRPr="0063141E">
              <w:rPr>
                <w:bCs/>
                <w:color w:val="000000"/>
              </w:rPr>
              <w:t>kėjas, k</w:t>
            </w:r>
            <w:r>
              <w:rPr>
                <w:bCs/>
                <w:color w:val="000000"/>
              </w:rPr>
              <w:t>uris yra fizinis asmuo, arba tei</w:t>
            </w:r>
            <w:r w:rsidR="00040063" w:rsidRPr="0063141E">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E92AD1">
              <w:rPr>
                <w:bCs/>
                <w:color w:val="000000"/>
              </w:rPr>
              <w:t>teisę surašyti ir pasirašyti tei</w:t>
            </w:r>
            <w:r w:rsidR="00040063" w:rsidRPr="0063141E">
              <w:rPr>
                <w:bCs/>
                <w:color w:val="000000"/>
              </w:rPr>
              <w:t xml:space="preserve">kėjo apskaitos dokumentus, neturi teistumo (arba teistumas yra </w:t>
            </w:r>
            <w:r w:rsidR="00E92AD1">
              <w:rPr>
                <w:bCs/>
                <w:color w:val="000000"/>
              </w:rPr>
              <w:t>išnykęs ar panaikintas), dėl tei</w:t>
            </w:r>
            <w:r w:rsidR="00040063" w:rsidRPr="0063141E">
              <w:rPr>
                <w:bCs/>
                <w:color w:val="000000"/>
              </w:rPr>
              <w:t>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w:t>
            </w:r>
            <w:r w:rsidR="00E92AD1">
              <w:rPr>
                <w:bCs/>
                <w:color w:val="000000"/>
              </w:rPr>
              <w:t>r turto legalizavimą. Dėl tei</w:t>
            </w:r>
            <w:r w:rsidR="00040063" w:rsidRPr="0063141E">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040063">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036A706F" w:rsidR="00040063" w:rsidRPr="0063141E" w:rsidRDefault="00D37BBF" w:rsidP="00752CBE">
            <w:pPr>
              <w:jc w:val="both"/>
              <w:rPr>
                <w:bCs/>
              </w:rPr>
            </w:pPr>
            <w:r>
              <w:rPr>
                <w:bCs/>
              </w:rPr>
              <w:t>Tei</w:t>
            </w:r>
            <w:r w:rsidR="00040063" w:rsidRPr="0063141E">
              <w:rPr>
                <w:bCs/>
              </w:rPr>
              <w:t>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095C0BF6"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te</w:t>
            </w:r>
            <w:r w:rsidR="004C03E0">
              <w:t>i</w:t>
            </w:r>
            <w:r w:rsidRPr="0063141E">
              <w:t>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3201184" w:rsidR="00040063" w:rsidRDefault="00D37BBF" w:rsidP="00752CBE">
            <w:pPr>
              <w:jc w:val="both"/>
              <w:rPr>
                <w:bCs/>
              </w:rPr>
            </w:pPr>
            <w:r>
              <w:rPr>
                <w:bCs/>
              </w:rPr>
              <w:t>„Tei</w:t>
            </w:r>
            <w:r w:rsidR="00040063" w:rsidRPr="0063141E">
              <w:rPr>
                <w:bCs/>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w:t>
            </w:r>
            <w:r w:rsidR="00DC4290">
              <w:rPr>
                <w:bCs/>
              </w:rPr>
              <w:t>s. Pateikiama laisvos formos tei</w:t>
            </w:r>
            <w:r w:rsidR="00040063" w:rsidRPr="0063141E">
              <w:rPr>
                <w:bCs/>
              </w:rPr>
              <w:t>kėjo deklaracija“</w:t>
            </w:r>
            <w:r w:rsidR="00040063">
              <w:rPr>
                <w:bCs/>
              </w:rPr>
              <w:t>.</w:t>
            </w:r>
          </w:p>
          <w:p w14:paraId="171596E6" w14:textId="141F4064" w:rsidR="00040063" w:rsidRPr="0002638C" w:rsidRDefault="00D37BBF" w:rsidP="00E17AD6">
            <w:pPr>
              <w:jc w:val="both"/>
            </w:pPr>
            <w:r>
              <w:t>Tei</w:t>
            </w:r>
            <w:r w:rsidR="00040063">
              <w:t xml:space="preserve">kėjas patvirtina, kad siūlomų </w:t>
            </w:r>
            <w:r w:rsidR="00E17AD6">
              <w:t>paslaugų</w:t>
            </w:r>
            <w:r w:rsidR="00040063">
              <w:t xml:space="preserve"> (įskaitant jų sudedamąsias dalis) </w:t>
            </w:r>
            <w:r w:rsidR="00E17AD6">
              <w:t>teikėjas</w:t>
            </w:r>
            <w:r w:rsidR="00040063">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40063">
              <w:t>Sakartvelo</w:t>
            </w:r>
            <w:proofErr w:type="spellEnd"/>
            <w:r w:rsidR="00040063">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3BDB0F10" w:rsidR="00040063" w:rsidRPr="0063141E" w:rsidRDefault="00E92AD1" w:rsidP="00752CBE">
            <w:pPr>
              <w:jc w:val="both"/>
            </w:pPr>
            <w:r>
              <w:rPr>
                <w:bCs/>
              </w:rPr>
              <w:t>Pateikiama laisvos formos tei</w:t>
            </w:r>
            <w:r w:rsidR="00040063" w:rsidRPr="0063141E">
              <w:rPr>
                <w:bCs/>
              </w:rPr>
              <w:t>kėjo deklaracija</w:t>
            </w:r>
            <w:r w:rsidR="00040063">
              <w:rPr>
                <w:bCs/>
              </w:rPr>
              <w:t>.</w:t>
            </w:r>
          </w:p>
        </w:tc>
      </w:tr>
    </w:tbl>
    <w:p w14:paraId="21DB0358" w14:textId="77777777" w:rsidR="00040063" w:rsidRPr="00FE567C" w:rsidRDefault="00040063" w:rsidP="00040063">
      <w:pPr>
        <w:pStyle w:val="Heading2"/>
        <w:numPr>
          <w:ilvl w:val="0"/>
          <w:numId w:val="0"/>
        </w:numPr>
      </w:pPr>
    </w:p>
    <w:p w14:paraId="6A1C00BC" w14:textId="0F9B49B5" w:rsidR="00040063" w:rsidRPr="00FE567C" w:rsidRDefault="007E1AC2" w:rsidP="007E1AC2">
      <w:pPr>
        <w:pStyle w:val="Heading2"/>
        <w:numPr>
          <w:ilvl w:val="0"/>
          <w:numId w:val="0"/>
        </w:numPr>
        <w:ind w:firstLine="567"/>
      </w:pPr>
      <w:r>
        <w:t>3.3.</w:t>
      </w:r>
      <w:r w:rsidR="00D37BBF">
        <w:t>Jeigu teikėjas (tei</w:t>
      </w:r>
      <w:r w:rsidR="00040063" w:rsidRPr="00FE567C">
        <w:t>kėjų grupė), pateikdamas atitikimą aukščiau nurodytiems kvalifikaciniams reikalavimams patvirtinančius dokumentus, pateikia</w:t>
      </w:r>
      <w:r w:rsidR="00DC4290">
        <w:t xml:space="preserve"> suklastotus dokumentus arba tei</w:t>
      </w:r>
      <w:r w:rsidR="00040063" w:rsidRPr="00FE567C">
        <w:t>kėjo pateikta melaginga informacija įrodoma priemonėmis, kurias perkančioji organizacija gali pagrįsti, arba iš viso nep</w:t>
      </w:r>
      <w:r w:rsidR="00DC4290">
        <w:t>ateikia tokių dokumentų, šio tei</w:t>
      </w:r>
      <w:r w:rsidR="00040063" w:rsidRPr="00FE567C">
        <w:t>kėjo pasiūlymas atmetamas ir toliau nenagrinėjamas.</w:t>
      </w:r>
    </w:p>
    <w:p w14:paraId="4F552E39" w14:textId="6F167055" w:rsidR="00040063" w:rsidRPr="0063141E" w:rsidRDefault="007E1AC2" w:rsidP="007E1AC2">
      <w:pPr>
        <w:pStyle w:val="Heading2"/>
        <w:numPr>
          <w:ilvl w:val="0"/>
          <w:numId w:val="0"/>
        </w:numPr>
        <w:ind w:firstLine="567"/>
        <w:rPr>
          <w:color w:val="000000"/>
        </w:rPr>
      </w:pPr>
      <w:r>
        <w:rPr>
          <w:color w:val="000000"/>
        </w:rPr>
        <w:t>3.4</w:t>
      </w:r>
      <w:r w:rsidR="00040063" w:rsidRPr="0063141E">
        <w:rPr>
          <w:color w:val="000000"/>
        </w:rPr>
        <w:t>. Vie</w:t>
      </w:r>
      <w:r w:rsidR="00D37BBF">
        <w:rPr>
          <w:color w:val="000000"/>
        </w:rPr>
        <w:t>toje 3 p. nurodytų dokumentų tei</w:t>
      </w:r>
      <w:r w:rsidR="00040063" w:rsidRPr="0063141E">
        <w:rPr>
          <w:color w:val="000000"/>
        </w:rPr>
        <w:t>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 xml:space="preserve">ms </w:t>
      </w:r>
      <w:r w:rsidR="00040063">
        <w:rPr>
          <w:color w:val="000000"/>
        </w:rPr>
        <w:lastRenderedPageBreak/>
        <w:t>reikalavimams</w:t>
      </w:r>
      <w:r w:rsidR="00040063" w:rsidRPr="0063141E">
        <w:rPr>
          <w:color w:val="000000"/>
        </w:rPr>
        <w:t>. Perkančioji organ</w:t>
      </w:r>
      <w:r w:rsidR="00D37BBF">
        <w:rPr>
          <w:color w:val="000000"/>
        </w:rPr>
        <w:t>izacija turi teisę paprašyti tei</w:t>
      </w:r>
      <w:r w:rsidR="00040063" w:rsidRPr="0063141E">
        <w:rPr>
          <w:color w:val="000000"/>
        </w:rPr>
        <w:t xml:space="preserve">kėjo, kad jis pristatytų pažymos originalą. </w:t>
      </w:r>
    </w:p>
    <w:p w14:paraId="11DB1933" w14:textId="08CF4586" w:rsidR="00040063" w:rsidRPr="0063141E" w:rsidRDefault="007E1AC2" w:rsidP="00040063">
      <w:pPr>
        <w:pStyle w:val="Heading2"/>
        <w:numPr>
          <w:ilvl w:val="0"/>
          <w:numId w:val="0"/>
        </w:numPr>
        <w:ind w:firstLine="709"/>
      </w:pPr>
      <w:r>
        <w:t>3.5</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1F7C49ED" w:rsidR="00CD73C4" w:rsidRPr="00A60CD6" w:rsidRDefault="007E1AC2" w:rsidP="00A60CD6">
      <w:pPr>
        <w:pStyle w:val="CommentText"/>
        <w:ind w:firstLine="709"/>
        <w:jc w:val="both"/>
        <w:rPr>
          <w:sz w:val="24"/>
          <w:szCs w:val="24"/>
        </w:rPr>
      </w:pPr>
      <w:r>
        <w:rPr>
          <w:sz w:val="24"/>
          <w:szCs w:val="24"/>
        </w:rPr>
        <w:t>3.6</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D37BBF">
        <w:rPr>
          <w:b/>
          <w:sz w:val="24"/>
          <w:szCs w:val="24"/>
        </w:rPr>
        <w:t>tei</w:t>
      </w:r>
      <w:r w:rsidR="00040063" w:rsidRPr="0063141E">
        <w:rPr>
          <w:b/>
          <w:sz w:val="24"/>
          <w:szCs w:val="24"/>
        </w:rPr>
        <w:t>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Perkančioji organizacija  pirkimo dokumentuose nurodytų kvalifikacijos reikalavimų atitinkančių doku</w:t>
      </w:r>
      <w:r w:rsidR="00DC4290">
        <w:rPr>
          <w:sz w:val="24"/>
          <w:szCs w:val="24"/>
        </w:rPr>
        <w:t>mentų prašys pateikti tik to tei</w:t>
      </w:r>
      <w:r w:rsidR="00040063" w:rsidRPr="0063141E">
        <w:rPr>
          <w:sz w:val="24"/>
          <w:szCs w:val="24"/>
        </w:rPr>
        <w:t xml:space="preserv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138F5AD5"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rsidR="0022485D">
        <w:t>), j</w:t>
      </w:r>
      <w:r>
        <w:t>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738DED20"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042482"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476D80C8"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6D197D46" w:rsidR="00CD73C4" w:rsidRDefault="00CD73C4" w:rsidP="00FD7451">
      <w:pPr>
        <w:pStyle w:val="Heading2"/>
        <w:numPr>
          <w:ilvl w:val="1"/>
          <w:numId w:val="34"/>
        </w:numPr>
      </w:pPr>
      <w:r w:rsidRPr="0063141E">
        <w:t xml:space="preserve">Pasiūlymas turi būti pateiktas iki </w:t>
      </w:r>
      <w:r w:rsidR="007E1AC2">
        <w:rPr>
          <w:b/>
        </w:rPr>
        <w:t>2026</w:t>
      </w:r>
      <w:r w:rsidR="00A33FAE" w:rsidRPr="00FD7451">
        <w:rPr>
          <w:b/>
        </w:rPr>
        <w:t xml:space="preserve"> m. </w:t>
      </w:r>
      <w:r w:rsidR="007E1AC2">
        <w:rPr>
          <w:b/>
        </w:rPr>
        <w:t>sausio</w:t>
      </w:r>
      <w:r w:rsidR="00B6769F">
        <w:rPr>
          <w:b/>
        </w:rPr>
        <w:t xml:space="preserve"> </w:t>
      </w:r>
      <w:r w:rsidR="00A33FAE" w:rsidRPr="00FD7451">
        <w:rPr>
          <w:b/>
        </w:rPr>
        <w:t xml:space="preserve">mėn. </w:t>
      </w:r>
      <w:r w:rsidR="008B3D33">
        <w:rPr>
          <w:b/>
        </w:rPr>
        <w:t>27</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A0244">
        <w:lastRenderedPageBreak/>
        <w:t>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5D5BEB51"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042482">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72951E46"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9D2D36">
        <w:rPr>
          <w:iCs/>
          <w:color w:val="000000"/>
          <w:szCs w:val="24"/>
        </w:rPr>
        <w:t>1</w:t>
      </w:r>
      <w:r w:rsidRPr="0063141E">
        <w:rPr>
          <w:iCs/>
          <w:color w:val="000000"/>
          <w:szCs w:val="24"/>
        </w:rPr>
        <w:t xml:space="preserve"> darbo dien</w:t>
      </w:r>
      <w:r w:rsidR="009D2D36">
        <w:rPr>
          <w:iCs/>
          <w:color w:val="000000"/>
          <w:szCs w:val="24"/>
        </w:rPr>
        <w:t>ai</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31C39CF2"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w:t>
      </w:r>
      <w:r w:rsidR="00CD73C4" w:rsidRPr="0063141E">
        <w:rPr>
          <w:iCs/>
          <w:szCs w:val="24"/>
        </w:rPr>
        <w:lastRenderedPageBreak/>
        <w:t>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9D2D36">
        <w:rPr>
          <w:b/>
          <w:iCs/>
          <w:szCs w:val="24"/>
        </w:rPr>
        <w:t>1</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624142C8"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631122">
        <w:rPr>
          <w:iCs/>
          <w:color w:val="000000"/>
          <w:szCs w:val="24"/>
        </w:rPr>
        <w:t>Matas Petrauskas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w:t>
      </w:r>
      <w:r w:rsidR="00631122">
        <w:rPr>
          <w:iCs/>
          <w:szCs w:val="24"/>
        </w:rPr>
        <w:t>79948</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631122" w:rsidRPr="00D50BC8">
          <w:rPr>
            <w:rStyle w:val="Hyperlink"/>
            <w:i/>
          </w:rPr>
          <w:t>matas.petrauskas@mil.lt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99CCBA0"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631122">
        <w:rPr>
          <w:iCs/>
          <w:szCs w:val="24"/>
        </w:rPr>
        <w:t>2-8</w:t>
      </w:r>
      <w:r w:rsidR="00C55A56">
        <w:rPr>
          <w:iCs/>
          <w:szCs w:val="24"/>
        </w:rPr>
        <w:t xml:space="preserve"> </w:t>
      </w:r>
      <w:r w:rsidRPr="0063141E">
        <w:rPr>
          <w:iCs/>
          <w:szCs w:val="24"/>
        </w:rPr>
        <w:t xml:space="preserve">kab. Elektroninių vokų atplėšimo procedūra įvyks </w:t>
      </w:r>
      <w:r w:rsidR="009D2D36">
        <w:rPr>
          <w:b/>
        </w:rPr>
        <w:t>2025</w:t>
      </w:r>
      <w:r w:rsidRPr="00956040">
        <w:rPr>
          <w:b/>
        </w:rPr>
        <w:t xml:space="preserve"> m.                 </w:t>
      </w:r>
      <w:r w:rsidR="00587CCE" w:rsidRPr="00956040">
        <w:rPr>
          <w:b/>
        </w:rPr>
        <w:t xml:space="preserve">   </w:t>
      </w:r>
      <w:r w:rsidR="00631122">
        <w:rPr>
          <w:b/>
        </w:rPr>
        <w:t>sausio</w:t>
      </w:r>
      <w:r w:rsidR="00B6769F">
        <w:rPr>
          <w:b/>
        </w:rPr>
        <w:t xml:space="preserve"> </w:t>
      </w:r>
      <w:r w:rsidR="00C55A56" w:rsidRPr="00956040">
        <w:rPr>
          <w:b/>
        </w:rPr>
        <w:t>mėn.</w:t>
      </w:r>
      <w:r w:rsidR="0018242D">
        <w:rPr>
          <w:b/>
        </w:rPr>
        <w:t xml:space="preserve"> </w:t>
      </w:r>
      <w:r w:rsidR="008B3D33">
        <w:rPr>
          <w:b/>
        </w:rPr>
        <w:t>27</w:t>
      </w:r>
      <w:bookmarkStart w:id="0" w:name="_GoBack"/>
      <w:bookmarkEnd w:id="0"/>
      <w:r w:rsidR="00611D9A">
        <w:rPr>
          <w:b/>
        </w:rPr>
        <w:t xml:space="preserve"> </w:t>
      </w:r>
      <w:r w:rsidRPr="00956040">
        <w:rPr>
          <w:b/>
        </w:rPr>
        <w:t>d.</w:t>
      </w:r>
      <w:r w:rsidR="009D2D36">
        <w:rPr>
          <w:b/>
        </w:rPr>
        <w:t xml:space="preserve"> 8.3</w:t>
      </w:r>
      <w:r w:rsidR="00B6769F">
        <w:rPr>
          <w:b/>
        </w:rPr>
        <w:t>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4A685B65" w:rsidR="00DD4B34" w:rsidRPr="00DD4B34" w:rsidRDefault="00DD4B34" w:rsidP="00DD4B34">
      <w:pPr>
        <w:numPr>
          <w:ilvl w:val="1"/>
          <w:numId w:val="5"/>
        </w:numPr>
        <w:tabs>
          <w:tab w:val="left" w:pos="1134"/>
        </w:tabs>
        <w:ind w:left="0" w:firstLine="720"/>
        <w:contextualSpacing/>
        <w:jc w:val="both"/>
        <w:rPr>
          <w:iCs/>
        </w:rPr>
      </w:pPr>
      <w:r w:rsidRPr="00DD4B34">
        <w:rPr>
          <w:iCs/>
        </w:rPr>
        <w:t>Perkančioji organi</w:t>
      </w:r>
      <w:r w:rsidR="007D578D">
        <w:rPr>
          <w:iCs/>
        </w:rPr>
        <w:t>zacija tikrina tei</w:t>
      </w:r>
      <w:r w:rsidRPr="00DD4B34">
        <w:rPr>
          <w:iCs/>
        </w:rPr>
        <w:t xml:space="preserve">kėjų pasiūlymuose pateiktas </w:t>
      </w:r>
      <w:r w:rsidRPr="00DD4B34">
        <w:rPr>
          <w:szCs w:val="20"/>
        </w:rPr>
        <w:t xml:space="preserve">kvalifikacinių reikalavimų atitikties deklaracijas </w:t>
      </w:r>
      <w:r w:rsidR="00631122">
        <w:rPr>
          <w:iCs/>
        </w:rPr>
        <w:t>(3.2</w:t>
      </w:r>
      <w:r w:rsidRPr="00DD4B34">
        <w:rPr>
          <w:iCs/>
        </w:rPr>
        <w:t xml:space="preserve"> punktas).</w:t>
      </w:r>
      <w:r w:rsidRPr="00DD4B34">
        <w:rPr>
          <w:szCs w:val="20"/>
        </w:rPr>
        <w:t xml:space="preserve"> </w:t>
      </w:r>
    </w:p>
    <w:p w14:paraId="755EFDA3" w14:textId="32A717F8" w:rsidR="00DD4B34" w:rsidRPr="00DD4B34" w:rsidRDefault="007D578D" w:rsidP="00DD4B34">
      <w:pPr>
        <w:numPr>
          <w:ilvl w:val="1"/>
          <w:numId w:val="5"/>
        </w:numPr>
        <w:tabs>
          <w:tab w:val="left" w:pos="1134"/>
        </w:tabs>
        <w:ind w:left="0" w:firstLine="720"/>
        <w:contextualSpacing/>
        <w:jc w:val="both"/>
        <w:rPr>
          <w:iCs/>
        </w:rPr>
      </w:pPr>
      <w:r>
        <w:rPr>
          <w:szCs w:val="20"/>
        </w:rPr>
        <w:t>Jeigu tei</w:t>
      </w:r>
      <w:r w:rsidR="00DD4B34" w:rsidRPr="00DD4B34">
        <w:rPr>
          <w:szCs w:val="20"/>
        </w:rPr>
        <w:t>kėjas kvalifikacinių reikalavimų atitikties deklaracijoje nepažymėjo, ar atitinka keliamą (-</w:t>
      </w:r>
      <w:proofErr w:type="spellStart"/>
      <w:r w:rsidR="00DD4B34" w:rsidRPr="00DD4B34">
        <w:rPr>
          <w:szCs w:val="20"/>
        </w:rPr>
        <w:t>us</w:t>
      </w:r>
      <w:proofErr w:type="spellEnd"/>
      <w:r w:rsidR="00DD4B34" w:rsidRPr="00DD4B34">
        <w:rPr>
          <w:szCs w:val="20"/>
        </w:rPr>
        <w:t>) reikalavimą (-</w:t>
      </w:r>
      <w:proofErr w:type="spellStart"/>
      <w:r w:rsidR="00DD4B34" w:rsidRPr="00DD4B34">
        <w:rPr>
          <w:szCs w:val="20"/>
        </w:rPr>
        <w:t>us</w:t>
      </w:r>
      <w:proofErr w:type="spellEnd"/>
      <w:r w:rsidR="00DD4B34" w:rsidRPr="00DD4B34">
        <w:rPr>
          <w:szCs w:val="20"/>
        </w:rPr>
        <w:t xml:space="preserve">), tuomet perkančioji </w:t>
      </w:r>
      <w:r>
        <w:rPr>
          <w:szCs w:val="20"/>
        </w:rPr>
        <w:t>organizacija prašo tei</w:t>
      </w:r>
      <w:r w:rsidR="00DD4B34" w:rsidRPr="00DD4B34">
        <w:rPr>
          <w:szCs w:val="20"/>
        </w:rPr>
        <w:t xml:space="preserve">kėjo patikslinti deklaraciją per protingą terminą. </w:t>
      </w:r>
      <w:r w:rsidR="00DD4B34" w:rsidRPr="00DD4B34">
        <w:rPr>
          <w:color w:val="000000"/>
          <w:szCs w:val="20"/>
        </w:rPr>
        <w:t>Tokiu atveju perk</w:t>
      </w:r>
      <w:r>
        <w:rPr>
          <w:color w:val="000000"/>
          <w:szCs w:val="20"/>
        </w:rPr>
        <w:t>ančioji organizacija vertina tei</w:t>
      </w:r>
      <w:r w:rsidR="00DD4B34" w:rsidRPr="00DD4B34">
        <w:rPr>
          <w:color w:val="000000"/>
          <w:szCs w:val="20"/>
        </w:rPr>
        <w:t>kėjo pasiūlymą tik jam patikslinus deklaraciją.</w:t>
      </w:r>
      <w:r w:rsidR="00DD4B34" w:rsidRPr="00DD4B34">
        <w:rPr>
          <w:szCs w:val="20"/>
        </w:rPr>
        <w:t xml:space="preserve"> Pasiūlymas </w:t>
      </w:r>
      <w:r w:rsidR="004C03E0">
        <w:rPr>
          <w:szCs w:val="20"/>
        </w:rPr>
        <w:t>atmetamas tais atvejais, kai tei</w:t>
      </w:r>
      <w:r w:rsidR="00DD4B34" w:rsidRPr="00DD4B34">
        <w:rPr>
          <w:szCs w:val="20"/>
        </w:rPr>
        <w:t xml:space="preserve">kėjas, perkančiajai organizacijai paprašius, nepatikslino kvalifikacinių reikalavimų atitikties deklaracijos arba, </w:t>
      </w:r>
      <w:r w:rsidR="0022485D">
        <w:rPr>
          <w:color w:val="000000"/>
          <w:szCs w:val="20"/>
        </w:rPr>
        <w:t xml:space="preserve">patikslinęs </w:t>
      </w:r>
      <w:r w:rsidR="00DD4B34" w:rsidRPr="00DD4B34">
        <w:rPr>
          <w:color w:val="000000"/>
          <w:szCs w:val="20"/>
        </w:rPr>
        <w:t xml:space="preserve">kvalifikacinių reikalavimų atitikties deklaraciją, joje nurodė, kad neatitinka kvalifikacijos reikalavimų. </w:t>
      </w:r>
    </w:p>
    <w:p w14:paraId="58354C9A" w14:textId="047C0B7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w:t>
      </w:r>
      <w:r w:rsidR="00A03B82">
        <w:t>inkančius dokumentus, tik to tei</w:t>
      </w:r>
      <w:r w:rsidRPr="00DD4B34">
        <w:t>kėjo, kurio pasiūlymas pagal vertinimo rezultatus gali būti pripažintas laimėjusiu.</w:t>
      </w:r>
      <w:r w:rsidR="00A03B82">
        <w:rPr>
          <w:iCs/>
        </w:rPr>
        <w:t xml:space="preserve"> Tei</w:t>
      </w:r>
      <w:r w:rsidRPr="00DD4B34">
        <w:rPr>
          <w:iCs/>
        </w:rPr>
        <w:t xml:space="preserv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0C31B673" w:rsidR="00DD4B34" w:rsidRPr="00DD4B34" w:rsidRDefault="00A03B82" w:rsidP="00DD4B34">
      <w:pPr>
        <w:numPr>
          <w:ilvl w:val="1"/>
          <w:numId w:val="5"/>
        </w:numPr>
        <w:tabs>
          <w:tab w:val="left" w:pos="1134"/>
        </w:tabs>
        <w:ind w:left="0" w:firstLine="720"/>
        <w:contextualSpacing/>
        <w:jc w:val="both"/>
        <w:rPr>
          <w:iCs/>
        </w:rPr>
      </w:pPr>
      <w:r>
        <w:rPr>
          <w:iCs/>
        </w:rPr>
        <w:t>Jeigu yra nustatyta, kad tei</w:t>
      </w:r>
      <w:r w:rsidR="00DD4B34" w:rsidRPr="00DD4B34">
        <w:rPr>
          <w:iCs/>
        </w:rPr>
        <w:t>kėjo pateikti kvalifikacijos duomenys yra neišsamūs arba netikslūs, perkančioji organizacija kreipiasi r</w:t>
      </w:r>
      <w:r w:rsidR="004C03E0">
        <w:rPr>
          <w:iCs/>
        </w:rPr>
        <w:t>aštu CVP IS priemonėmis, kad tei</w:t>
      </w:r>
      <w:r w:rsidR="00DD4B34" w:rsidRPr="00DD4B34">
        <w:rPr>
          <w:iCs/>
        </w:rPr>
        <w:t>kėjas juos papildytų arba paaiškintų per perkančiosios organizacijos nurodytą terminą. Jeigu perkanč</w:t>
      </w:r>
      <w:r w:rsidR="004C03E0">
        <w:rPr>
          <w:iCs/>
        </w:rPr>
        <w:t>iosios organizacijos prašymu tei</w:t>
      </w:r>
      <w:r w:rsidR="00DD4B34" w:rsidRPr="00DD4B34">
        <w:rPr>
          <w:iCs/>
        </w:rPr>
        <w:t>kėjas CVP IS priemonėmis nepatikslino pateiktų netikslių ir neišsamių duomenų apie savo kvalifikaciją, perkančioji organizacija atmeta tokį pasiūlymą.</w:t>
      </w:r>
    </w:p>
    <w:p w14:paraId="1B4F3636" w14:textId="5EEC947D"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w:t>
      </w:r>
      <w:r w:rsidR="00A03B82">
        <w:rPr>
          <w:iCs/>
        </w:rPr>
        <w:t>imą dėl dokumentų pateikusio tei</w:t>
      </w:r>
      <w:r w:rsidRPr="00DD4B34">
        <w:rPr>
          <w:iCs/>
        </w:rPr>
        <w:t xml:space="preserve">kėjo kvalifikacijos duomenų atitikties pirkimo sąlygose nustatytiems reikalavimams. </w:t>
      </w:r>
    </w:p>
    <w:p w14:paraId="48DF7921" w14:textId="00023C52"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w:t>
      </w:r>
      <w:r w:rsidR="00DC4290">
        <w:rPr>
          <w:iCs/>
        </w:rPr>
        <w:t>P IS priemonėmis) paprašius, tei</w:t>
      </w:r>
      <w:r w:rsidRPr="00DD4B34">
        <w:rPr>
          <w:iCs/>
        </w:rPr>
        <w:t>kėjai privalo per perkančiosios organizacijos nurodytą terminą pateikti raštu (CVP IS priemonėmis) papildomus paaiškinimus nekeisdami pasiūlymo esmės.</w:t>
      </w:r>
    </w:p>
    <w:p w14:paraId="4036B3B7" w14:textId="77AE43E4"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w:t>
      </w:r>
      <w:r w:rsidR="00DC4290">
        <w:rPr>
          <w:iCs/>
        </w:rPr>
        <w:t>CVP IS priemonėmis paprašyti tei</w:t>
      </w:r>
      <w:r w:rsidRPr="00DD4B34">
        <w:rPr>
          <w:iCs/>
        </w:rPr>
        <w:t>kėjų per jos nurodytą terminą ištaisyti pasiūlyme pastebėtas aritmetines klaidas, nekeičiant pirminio susipažinimo su CVP IS priemonėmis gautais pasiūlymais paskelbtos kainos. Taisydamas pasiūlyme nu</w:t>
      </w:r>
      <w:r w:rsidR="004C03E0">
        <w:rPr>
          <w:iCs/>
        </w:rPr>
        <w:t>rodytas aritmetines klaidas, tei</w:t>
      </w:r>
      <w:r w:rsidRPr="00DD4B34">
        <w:rPr>
          <w:iCs/>
        </w:rPr>
        <w:t>kėjas neturi teisės atsisakyti kainos sudedamųjų dalių arba papildyti kainą naujomis dalimis.</w:t>
      </w:r>
    </w:p>
    <w:p w14:paraId="0D994D53" w14:textId="6471D340"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w:t>
      </w:r>
      <w:r w:rsidR="00DC4290">
        <w:rPr>
          <w:iCs/>
        </w:rPr>
        <w:t xml:space="preserve"> atmesti pasiūlymą – privalo tei</w:t>
      </w:r>
      <w:r w:rsidRPr="00DD4B34">
        <w:rPr>
          <w:iCs/>
        </w:rPr>
        <w:t>kėjo raštu CVP IS priemonėmis paprašyti nurodytą terminą pateikti neįprastai mažos pasiūlymo kainos pagrindimą, įskaitant ir detalų kainų sudėtinių dalių pagrindimą. Perkančioji organizaci</w:t>
      </w:r>
      <w:r w:rsidR="004C03E0">
        <w:rPr>
          <w:iCs/>
        </w:rPr>
        <w:t>ja turi įvertinti riziką, ar tei</w:t>
      </w:r>
      <w:r w:rsidRPr="00DD4B34">
        <w:rPr>
          <w:iCs/>
        </w:rPr>
        <w:t xml:space="preserve">kėjas, kurio pasiūlyme nurodyta neįprastai maža kaina, sugebės tinkamai įvykdyti pirkimo sutartį, bei užtikrinti, kad nebūtų sudaromos sąlygos konkurencijos iškraipymui. Perkančioji </w:t>
      </w:r>
      <w:r w:rsidR="00DC4290">
        <w:rPr>
          <w:iCs/>
        </w:rPr>
        <w:t>organizacija, vertindama, ar tei</w:t>
      </w:r>
      <w:r w:rsidRPr="00DD4B34">
        <w:rPr>
          <w:iCs/>
        </w:rPr>
        <w:t>kėjo pateiktame pasiūlyme nurodyta kaina yra ne</w:t>
      </w:r>
      <w:r w:rsidR="00DC4290">
        <w:rPr>
          <w:iCs/>
        </w:rPr>
        <w:t>įprastai maža, palygina visų tei</w:t>
      </w:r>
      <w:r w:rsidRPr="00DD4B34">
        <w:rPr>
          <w:iCs/>
        </w:rPr>
        <w:t>kėjų, kurių pasiūlymai neatmesti dėl kitų priežasčių, pasiūlytų kainų aritmetinį vidurkį. Jeigu pasiūlymo kaina yra 15 ir daugiau procentų mažesnė už pasiūlytų kainų aritmetinį vidurkį, vertina</w:t>
      </w:r>
      <w:r w:rsidR="004C03E0">
        <w:rPr>
          <w:iCs/>
        </w:rPr>
        <w:t>ma kaip neįprastai maža. Jei tei</w:t>
      </w:r>
      <w:r w:rsidRPr="00DD4B34">
        <w:rPr>
          <w:iCs/>
        </w:rPr>
        <w:t>kėjas kainos nepagrindžia, jo pasiūlymas atmetamas.</w:t>
      </w:r>
    </w:p>
    <w:p w14:paraId="4D381476" w14:textId="579F4120" w:rsidR="00DD4B34" w:rsidRPr="00DD4B34" w:rsidRDefault="00DC4290" w:rsidP="00DD4B34">
      <w:pPr>
        <w:numPr>
          <w:ilvl w:val="1"/>
          <w:numId w:val="5"/>
        </w:numPr>
        <w:tabs>
          <w:tab w:val="left" w:pos="1134"/>
        </w:tabs>
        <w:ind w:left="0" w:firstLine="720"/>
        <w:contextualSpacing/>
        <w:jc w:val="both"/>
        <w:rPr>
          <w:iCs/>
        </w:rPr>
      </w:pPr>
      <w:r>
        <w:rPr>
          <w:iCs/>
        </w:rPr>
        <w:t>Tei</w:t>
      </w:r>
      <w:r w:rsidR="00DD4B34" w:rsidRPr="00DD4B34">
        <w:rPr>
          <w:iCs/>
        </w:rPr>
        <w:t>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182D5F7D"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pasiūlymą ar jo dalį pateikė ne CVP IS priemonėmis;</w:t>
      </w:r>
    </w:p>
    <w:p w14:paraId="6BD86CA4" w14:textId="56048F8C"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 xml:space="preserve">kėjas pasiūlyme pateikė netikslią ar neišsamią </w:t>
      </w:r>
      <w:r w:rsidR="00DD4B34" w:rsidRPr="00DD4B34">
        <w:rPr>
          <w:szCs w:val="20"/>
        </w:rPr>
        <w:t>kvalifikacinių reikalavimų atitikties deklaraciją</w:t>
      </w:r>
      <w:r w:rsidR="00DD4B34" w:rsidRPr="00DD4B34">
        <w:rPr>
          <w:iCs/>
        </w:rPr>
        <w:t xml:space="preserve"> apie savo kvalifikaciją ir, perkančiajai organizacijai prašant, per jos nurodytą terminą, nepatikslino jų raštu CVP IS priemonėmis;</w:t>
      </w:r>
    </w:p>
    <w:p w14:paraId="68CCC1FE" w14:textId="14BDC54F" w:rsidR="00DD4B34" w:rsidRPr="00DD4B34" w:rsidRDefault="004C03E0" w:rsidP="00DD4B34">
      <w:pPr>
        <w:numPr>
          <w:ilvl w:val="2"/>
          <w:numId w:val="5"/>
        </w:numPr>
        <w:tabs>
          <w:tab w:val="left" w:pos="1418"/>
        </w:tabs>
        <w:ind w:hanging="788"/>
        <w:contextualSpacing/>
        <w:jc w:val="both"/>
        <w:rPr>
          <w:iCs/>
        </w:rPr>
      </w:pPr>
      <w:r>
        <w:rPr>
          <w:iCs/>
        </w:rPr>
        <w:t>tei</w:t>
      </w:r>
      <w:r w:rsidR="00DD4B34" w:rsidRPr="00DD4B34">
        <w:rPr>
          <w:iCs/>
        </w:rPr>
        <w:t>kėjas neatitiko kvalifikacijos reikalavimų;</w:t>
      </w:r>
    </w:p>
    <w:p w14:paraId="123B1534" w14:textId="2D179D37" w:rsidR="00DD4B34" w:rsidRPr="00DD4B34" w:rsidRDefault="004C03E0" w:rsidP="00DD4B34">
      <w:pPr>
        <w:numPr>
          <w:ilvl w:val="2"/>
          <w:numId w:val="5"/>
        </w:numPr>
        <w:ind w:left="0" w:firstLine="709"/>
        <w:contextualSpacing/>
        <w:jc w:val="both"/>
        <w:rPr>
          <w:iCs/>
        </w:rPr>
      </w:pPr>
      <w:r>
        <w:rPr>
          <w:iCs/>
        </w:rPr>
        <w:t>tei</w:t>
      </w:r>
      <w:r w:rsidR="00DD4B34" w:rsidRPr="00DD4B34">
        <w:rPr>
          <w:iCs/>
        </w:rPr>
        <w:t xml:space="preserve">kėjas, perkančiajai organizacijai prašant, per jos nurodytą terminą, nepateikė raštu CVP IS priemonėmis </w:t>
      </w:r>
      <w:r w:rsidR="00DD4B34" w:rsidRPr="00DD4B34">
        <w:t>pirkimo dokumentuose nurodytų kvalifikacijos reikalavimų atitinkančių dokumentų</w:t>
      </w:r>
      <w:r w:rsidR="00DD4B34" w:rsidRPr="00DD4B34">
        <w:rPr>
          <w:iCs/>
        </w:rPr>
        <w:t>;</w:t>
      </w:r>
    </w:p>
    <w:p w14:paraId="7FA91CE4" w14:textId="31691524"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w:t>
      </w:r>
      <w:r w:rsidR="00DC4290">
        <w:rPr>
          <w:iCs/>
        </w:rPr>
        <w:t>ygose nustatytų reikalavimų (tei</w:t>
      </w:r>
      <w:r w:rsidRPr="00DD4B34">
        <w:rPr>
          <w:iCs/>
        </w:rPr>
        <w:t>kėjo pasiūlyme nurodytas pirkimo objektas ar pateikta techninė specifikacija neatitinka pirkimo dokumentuose nustatytų reikalavimų ir pan.);</w:t>
      </w:r>
    </w:p>
    <w:p w14:paraId="15C64F17" w14:textId="776131C7"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per perkančiosios organizacijos nurodytą terminą neištaisė aritmetinių klaidų ir (ar) nepaaiškino pasiūlymo;</w:t>
      </w:r>
    </w:p>
    <w:p w14:paraId="73D4ED5C" w14:textId="55B446C2" w:rsidR="00DD4B34" w:rsidRPr="00DD4B34" w:rsidRDefault="00DC4290" w:rsidP="00DD4B34">
      <w:pPr>
        <w:numPr>
          <w:ilvl w:val="2"/>
          <w:numId w:val="5"/>
        </w:numPr>
        <w:tabs>
          <w:tab w:val="left" w:pos="1418"/>
        </w:tabs>
        <w:ind w:left="0" w:firstLine="720"/>
        <w:contextualSpacing/>
        <w:jc w:val="both"/>
        <w:rPr>
          <w:iCs/>
        </w:rPr>
      </w:pPr>
      <w:r>
        <w:rPr>
          <w:iCs/>
        </w:rPr>
        <w:t>visų tei</w:t>
      </w:r>
      <w:r w:rsidR="00DD4B34" w:rsidRPr="00DD4B34">
        <w:rPr>
          <w:iCs/>
        </w:rPr>
        <w:t>kėjų, kurių pasiūlymai neatmesti dėl kitų priežasčių, buvo pasiūlytos per didelės, perkančiajai organizacijai nepriimtinos kainos</w:t>
      </w:r>
      <w:r w:rsidR="00160613">
        <w:rPr>
          <w:iCs/>
        </w:rPr>
        <w:t>;</w:t>
      </w:r>
    </w:p>
    <w:p w14:paraId="6BD65C77" w14:textId="77777777" w:rsidR="00A240CF" w:rsidRDefault="00DD4B34" w:rsidP="00A240CF">
      <w:pPr>
        <w:numPr>
          <w:ilvl w:val="2"/>
          <w:numId w:val="5"/>
        </w:numPr>
        <w:tabs>
          <w:tab w:val="left" w:pos="1418"/>
        </w:tabs>
        <w:ind w:left="0" w:firstLine="720"/>
        <w:contextualSpacing/>
        <w:jc w:val="both"/>
        <w:rPr>
          <w:iCs/>
        </w:rPr>
      </w:pPr>
      <w:r w:rsidRPr="00DD4B34">
        <w:rPr>
          <w:iCs/>
        </w:rPr>
        <w:t>buvo pasiūly</w:t>
      </w:r>
      <w:r w:rsidR="004C03E0">
        <w:rPr>
          <w:iCs/>
        </w:rPr>
        <w:t>ta neįprastai maža kaina, ir tei</w:t>
      </w:r>
      <w:r w:rsidRPr="00DD4B34">
        <w:rPr>
          <w:iCs/>
        </w:rPr>
        <w:t>kėjas Pirkimo organizatoriaus prašymu per nurodytą terminą nepateikė raštiško CVP IS priemonėmis kainos sudėtinių dalių pagrindimo arba kitaip nepagrindė neįprastai mažos kainos.</w:t>
      </w:r>
    </w:p>
    <w:p w14:paraId="4D10EEA1" w14:textId="77777777" w:rsidR="00A240CF" w:rsidRDefault="00A240CF" w:rsidP="00A240CF">
      <w:pPr>
        <w:numPr>
          <w:ilvl w:val="2"/>
          <w:numId w:val="5"/>
        </w:numPr>
        <w:tabs>
          <w:tab w:val="left" w:pos="1418"/>
        </w:tabs>
        <w:ind w:left="0" w:firstLine="720"/>
        <w:contextualSpacing/>
        <w:jc w:val="both"/>
        <w:rPr>
          <w:iCs/>
        </w:rPr>
      </w:pPr>
      <w:r>
        <w:rPr>
          <w:iCs/>
        </w:rPr>
        <w:t>T</w:t>
      </w:r>
      <w:r w:rsidRPr="00A240CF">
        <w:rPr>
          <w:iCs/>
        </w:rPr>
        <w:t>iekėjas yra neatlikęs jam paskirtos baudžiamojo poveikio priemonės – uždraudimo juridiniam asmeniui dalyvauti viešuosiuose pirkimuose</w:t>
      </w:r>
      <w:r>
        <w:rPr>
          <w:iCs/>
        </w:rPr>
        <w:t>.</w:t>
      </w:r>
    </w:p>
    <w:p w14:paraId="53A3295F" w14:textId="18069C48" w:rsidR="00A240CF" w:rsidRPr="00A240CF" w:rsidRDefault="00A240CF" w:rsidP="00A240CF">
      <w:pPr>
        <w:pStyle w:val="ListParagraph"/>
        <w:numPr>
          <w:ilvl w:val="2"/>
          <w:numId w:val="46"/>
        </w:numPr>
        <w:tabs>
          <w:tab w:val="left" w:pos="993"/>
        </w:tabs>
        <w:ind w:left="0" w:firstLine="698"/>
        <w:jc w:val="both"/>
        <w:rPr>
          <w:iCs/>
        </w:rPr>
      </w:pPr>
      <w:r>
        <w:rPr>
          <w:iCs/>
        </w:rPr>
        <w:lastRenderedPageBreak/>
        <w:t>.</w:t>
      </w:r>
      <w:r w:rsidRPr="00A240CF">
        <w:rPr>
          <w:iCs/>
        </w:rPr>
        <w:t>Pateikdamas atitikimą kvalifikaciniams reikalavim</w:t>
      </w:r>
      <w:r>
        <w:rPr>
          <w:iCs/>
        </w:rPr>
        <w:t xml:space="preserve">ams patvirtinančius dokumentus, </w:t>
      </w:r>
      <w:r w:rsidRPr="00A240CF">
        <w:rPr>
          <w:iCs/>
        </w:rPr>
        <w:t>tiekėjas pateikia suklastotus dokumentus arba tiekėjo pateikta melaginga informacija įrodoma priemonėmis, kurias perkančioji organizacija gali pagrįsti, arba iš viso nepateikia tokių dokumentų.</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6616ADA9"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4C03E0">
        <w:rPr>
          <w:b/>
          <w:iCs/>
          <w:szCs w:val="24"/>
        </w:rPr>
        <w:t>su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w:t>
      </w:r>
      <w:r w:rsidRPr="0063141E">
        <w:rPr>
          <w:color w:val="000000"/>
          <w:spacing w:val="-4"/>
        </w:rPr>
        <w:lastRenderedPageBreak/>
        <w:t xml:space="preserve">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75DDF7D0" w14:textId="77777777" w:rsidR="002D618B" w:rsidRDefault="00CD73C4" w:rsidP="002D618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5C2AED49" w:rsidR="0021693C" w:rsidRPr="002D618B" w:rsidRDefault="002D618B" w:rsidP="002D618B">
      <w:pPr>
        <w:numPr>
          <w:ilvl w:val="1"/>
          <w:numId w:val="7"/>
        </w:numPr>
        <w:tabs>
          <w:tab w:val="clear" w:pos="938"/>
          <w:tab w:val="num" w:pos="710"/>
          <w:tab w:val="left" w:pos="1276"/>
        </w:tabs>
        <w:ind w:left="0" w:firstLine="720"/>
        <w:jc w:val="both"/>
        <w:rPr>
          <w:color w:val="000000"/>
        </w:rPr>
      </w:pPr>
      <w:r w:rsidRPr="002D618B">
        <w:rPr>
          <w:color w:val="000000"/>
        </w:rPr>
        <w:t>Kursas turi įvykti: 2026 m. I-III ketvirtį pagal su užsakovu suderintą grafiką.</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ir</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ir</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1CE826AE" w:rsidR="004F1511" w:rsidRPr="004F1511" w:rsidRDefault="0077085F" w:rsidP="00160613">
      <w:pPr>
        <w:pStyle w:val="BodyText"/>
        <w:numPr>
          <w:ilvl w:val="1"/>
          <w:numId w:val="9"/>
        </w:numPr>
        <w:tabs>
          <w:tab w:val="left" w:pos="993"/>
        </w:tabs>
        <w:spacing w:after="0"/>
        <w:ind w:left="0" w:firstLine="720"/>
        <w:jc w:val="both"/>
        <w:rPr>
          <w:color w:val="000000"/>
          <w:szCs w:val="24"/>
        </w:rPr>
      </w:pPr>
      <w:r w:rsidRPr="00573E4D">
        <w:rPr>
          <w:color w:val="000000"/>
        </w:rPr>
        <w:t xml:space="preserve">Sutartis galioja </w:t>
      </w:r>
      <w:r w:rsidR="002D618B">
        <w:rPr>
          <w:color w:val="000000"/>
        </w:rPr>
        <w:t>iki 2026-11</w:t>
      </w:r>
      <w:r w:rsidR="00573E4D" w:rsidRPr="00573E4D">
        <w:rPr>
          <w:color w:val="000000"/>
        </w:rPr>
        <w:t>-01</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6138F696" w14:textId="113BED5E" w:rsidR="00160613" w:rsidRDefault="00160613" w:rsidP="00CD73C4">
      <w:pPr>
        <w:jc w:val="both"/>
      </w:pPr>
    </w:p>
    <w:p w14:paraId="342D7083" w14:textId="77777777" w:rsidR="00160613" w:rsidRPr="004F7CE1" w:rsidRDefault="00160613" w:rsidP="00CD73C4">
      <w:pPr>
        <w:jc w:val="both"/>
      </w:pPr>
    </w:p>
    <w:p w14:paraId="174691CB" w14:textId="1978D01A" w:rsidR="00CD73C4" w:rsidRPr="0063141E" w:rsidRDefault="00CD73C4" w:rsidP="00CD73C4">
      <w:pPr>
        <w:tabs>
          <w:tab w:val="left" w:pos="6480"/>
          <w:tab w:val="left" w:pos="7230"/>
        </w:tabs>
        <w:jc w:val="both"/>
      </w:pPr>
      <w:r>
        <w:t xml:space="preserve">Pirkimų organizatorius </w:t>
      </w:r>
      <w:r>
        <w:tab/>
        <w:t xml:space="preserve">         </w:t>
      </w:r>
      <w:r w:rsidR="002D618B">
        <w:t xml:space="preserve">    </w:t>
      </w:r>
      <w:r w:rsidR="00160613">
        <w:t xml:space="preserve"> </w:t>
      </w:r>
      <w:r w:rsidR="002D618B">
        <w:t xml:space="preserve">vyr. </w:t>
      </w:r>
      <w:r w:rsidR="00201A2D">
        <w:t xml:space="preserve">eil. </w:t>
      </w:r>
      <w:r w:rsidR="002D618B">
        <w:t>Matas Petrauskas</w:t>
      </w:r>
    </w:p>
    <w:p w14:paraId="0953DA50" w14:textId="16699AB6" w:rsidR="00CD73C4" w:rsidRDefault="00CD73C4" w:rsidP="00CD73C4">
      <w:pPr>
        <w:jc w:val="both"/>
      </w:pPr>
    </w:p>
    <w:p w14:paraId="6C60E6B8" w14:textId="481BFD93" w:rsidR="00056D13" w:rsidRDefault="00056D13" w:rsidP="00CD73C4">
      <w:pPr>
        <w:jc w:val="both"/>
      </w:pPr>
    </w:p>
    <w:p w14:paraId="441B739C" w14:textId="7FC06D54" w:rsidR="00056D13" w:rsidRDefault="00056D13" w:rsidP="00CD73C4">
      <w:pPr>
        <w:jc w:val="both"/>
      </w:pPr>
    </w:p>
    <w:p w14:paraId="142F2B60" w14:textId="77777777" w:rsidR="009C791F" w:rsidRDefault="009C791F"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14F1491A" w14:textId="596746F5" w:rsidR="00192B78" w:rsidRDefault="00192B78" w:rsidP="007F0B5B">
      <w:pPr>
        <w:jc w:val="center"/>
        <w:rPr>
          <w:b/>
          <w:iCs/>
          <w:caps/>
          <w:u w:val="single"/>
        </w:rPr>
      </w:pPr>
      <w:r w:rsidRPr="00192B78">
        <w:rPr>
          <w:b/>
          <w:iCs/>
          <w:caps/>
          <w:u w:val="single"/>
        </w:rPr>
        <w:t>ITIL 4 FOUNDATION KURS</w:t>
      </w:r>
      <w:r>
        <w:rPr>
          <w:b/>
          <w:iCs/>
          <w:caps/>
          <w:u w:val="single"/>
        </w:rPr>
        <w:t>as</w:t>
      </w:r>
    </w:p>
    <w:p w14:paraId="53CE9A7D" w14:textId="1B4DDBAD"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0B4DF9" w:rsidRDefault="000B4DF9"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0B4DF9" w:rsidRDefault="000B4DF9"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434363C7" w:rsidR="00023319" w:rsidRPr="0063141E" w:rsidRDefault="00023319" w:rsidP="00627DBD">
            <w:pPr>
              <w:jc w:val="center"/>
            </w:pPr>
            <w:r>
              <w:t>(</w:t>
            </w:r>
            <w:r w:rsidR="00192B78">
              <w:t>vnt</w:t>
            </w:r>
            <w: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7ABE45CF" w:rsidR="00023319" w:rsidRPr="00B0353B" w:rsidRDefault="00192B78" w:rsidP="00615DC4">
            <w:pPr>
              <w:rPr>
                <w:color w:val="000000"/>
              </w:rPr>
            </w:pPr>
            <w:r w:rsidRPr="00192B78">
              <w:rPr>
                <w:color w:val="000000"/>
              </w:rPr>
              <w:t>ITIL 4 FOUNDATION KURS</w:t>
            </w:r>
            <w:r>
              <w:rPr>
                <w:color w:val="000000"/>
              </w:rPr>
              <w:t>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58E1762E" w:rsidR="00023319" w:rsidRDefault="00192B78" w:rsidP="00752CBE">
            <w:pPr>
              <w:jc w:val="center"/>
              <w:rPr>
                <w:color w:val="000000"/>
              </w:rPr>
            </w:pPr>
            <w:r>
              <w:rPr>
                <w:color w:val="000000"/>
              </w:rPr>
              <w:t>5</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EA43293" w14:textId="402ABD87" w:rsidR="00D71E09" w:rsidRDefault="000D58AB" w:rsidP="00A07824">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6C5E22FD" w14:textId="77777777" w:rsidR="00A07824" w:rsidRPr="00A07824" w:rsidRDefault="00A07824" w:rsidP="00A07824">
      <w:pPr>
        <w:jc w:val="both"/>
      </w:pPr>
    </w:p>
    <w:p w14:paraId="026CEF10" w14:textId="77777777" w:rsidR="00052F1C" w:rsidRDefault="00052F1C" w:rsidP="000A24D5">
      <w:pPr>
        <w:ind w:left="6480" w:right="282" w:firstLine="720"/>
      </w:pPr>
    </w:p>
    <w:p w14:paraId="00F1F552" w14:textId="77777777" w:rsidR="00052F1C" w:rsidRDefault="00052F1C"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9C791F">
      <w:pPr>
        <w:jc w:val="center"/>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9C791F">
      <w:pPr>
        <w:tabs>
          <w:tab w:val="center" w:pos="2520"/>
        </w:tabs>
        <w:jc w:val="center"/>
        <w:rPr>
          <w:color w:val="000000"/>
          <w:sz w:val="20"/>
          <w:szCs w:val="20"/>
        </w:rPr>
      </w:pPr>
      <w:r w:rsidRPr="0063141E">
        <w:rPr>
          <w:color w:val="000000"/>
          <w:sz w:val="20"/>
          <w:szCs w:val="20"/>
        </w:rPr>
        <w:t>(adresatas (perkančiosios organizacijos pavadinimas)</w:t>
      </w:r>
    </w:p>
    <w:p w14:paraId="7963F48A" w14:textId="57EDBBF2" w:rsidR="000A24D5" w:rsidRDefault="000A24D5" w:rsidP="000A24D5">
      <w:pPr>
        <w:shd w:val="clear" w:color="auto" w:fill="FFFFFF"/>
        <w:rPr>
          <w:bCs/>
          <w:color w:val="000000"/>
        </w:rPr>
      </w:pPr>
    </w:p>
    <w:p w14:paraId="5A59372E" w14:textId="5E5780FD" w:rsidR="009C791F" w:rsidRDefault="009C791F" w:rsidP="000A24D5">
      <w:pPr>
        <w:shd w:val="clear" w:color="auto" w:fill="FFFFFF"/>
        <w:rPr>
          <w:bCs/>
          <w:color w:val="000000"/>
        </w:rPr>
      </w:pPr>
    </w:p>
    <w:p w14:paraId="3C50A390" w14:textId="77777777" w:rsidR="009C791F" w:rsidRPr="0063141E" w:rsidRDefault="009C791F"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w:t>
            </w:r>
            <w:r w:rsidR="000A24D5" w:rsidRPr="00FB03E1">
              <w:rPr>
                <w:bCs/>
                <w:color w:val="000000"/>
              </w:rPr>
              <w:lastRenderedPageBreak/>
              <w:t>apie pajamas, pelną ar turtą pateikimą, deklaracijos, ataskaitos ar kito dokumento nepateikimą, nusikalstamu būdu gauto turto įgijimą ar 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6C76849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29EE3332" w14:textId="7468DE08" w:rsidR="00854156" w:rsidRDefault="00854156" w:rsidP="0049779A">
      <w:pPr>
        <w:rPr>
          <w:b/>
        </w:rPr>
      </w:pPr>
    </w:p>
    <w:p w14:paraId="761AD283" w14:textId="2D2C46AC" w:rsidR="009C791F" w:rsidRDefault="009C791F" w:rsidP="0049779A">
      <w:pPr>
        <w:rPr>
          <w:b/>
        </w:rPr>
      </w:pPr>
    </w:p>
    <w:p w14:paraId="169FEE42" w14:textId="6518D200" w:rsidR="009C791F" w:rsidRDefault="009C791F" w:rsidP="0049779A">
      <w:pPr>
        <w:rPr>
          <w:b/>
        </w:rPr>
      </w:pPr>
    </w:p>
    <w:p w14:paraId="043D305C" w14:textId="69C9BF14" w:rsidR="009C791F" w:rsidRDefault="009C791F" w:rsidP="0049779A">
      <w:pPr>
        <w:rPr>
          <w:b/>
        </w:rPr>
      </w:pPr>
    </w:p>
    <w:p w14:paraId="7BB458B9" w14:textId="110EA5EA" w:rsidR="009C791F" w:rsidRDefault="009C791F" w:rsidP="0049779A">
      <w:pPr>
        <w:rPr>
          <w:b/>
        </w:rPr>
      </w:pPr>
    </w:p>
    <w:p w14:paraId="79FFB435" w14:textId="2D25CD2F" w:rsidR="009C791F" w:rsidRDefault="009C791F" w:rsidP="0049779A">
      <w:pPr>
        <w:rPr>
          <w:b/>
        </w:rPr>
      </w:pPr>
    </w:p>
    <w:p w14:paraId="1E3D42DE" w14:textId="77777777" w:rsidR="009C791F" w:rsidRDefault="009C791F" w:rsidP="0049779A">
      <w:pPr>
        <w:rPr>
          <w:b/>
        </w:rPr>
      </w:pPr>
    </w:p>
    <w:p w14:paraId="153CF356" w14:textId="77777777" w:rsidR="00854156" w:rsidRDefault="00854156" w:rsidP="0049779A">
      <w:pPr>
        <w:rPr>
          <w:b/>
        </w:rPr>
      </w:pPr>
    </w:p>
    <w:tbl>
      <w:tblPr>
        <w:tblW w:w="0" w:type="auto"/>
        <w:jc w:val="center"/>
        <w:tblLook w:val="0000" w:firstRow="0" w:lastRow="0" w:firstColumn="0" w:lastColumn="0" w:noHBand="0" w:noVBand="0"/>
      </w:tblPr>
      <w:tblGrid>
        <w:gridCol w:w="7371"/>
      </w:tblGrid>
      <w:tr w:rsidR="00627DBD" w:rsidRPr="00627DBD" w14:paraId="13152790" w14:textId="77777777" w:rsidTr="000B4DF9">
        <w:trPr>
          <w:trHeight w:val="429"/>
          <w:jc w:val="center"/>
        </w:trPr>
        <w:tc>
          <w:tcPr>
            <w:tcW w:w="7371" w:type="dxa"/>
          </w:tcPr>
          <w:p w14:paraId="3BAF3985" w14:textId="77777777" w:rsidR="00627DBD" w:rsidRPr="00627DBD" w:rsidRDefault="00627DBD" w:rsidP="00627DBD">
            <w:pPr>
              <w:jc w:val="center"/>
              <w:rPr>
                <w:rFonts w:eastAsia="Calibri"/>
                <w:b/>
              </w:rPr>
            </w:pPr>
          </w:p>
          <w:p w14:paraId="4C3E74D7" w14:textId="77777777" w:rsidR="00627DBD" w:rsidRPr="00627DBD" w:rsidRDefault="00627DBD" w:rsidP="00627DBD">
            <w:pPr>
              <w:jc w:val="center"/>
              <w:rPr>
                <w:rFonts w:eastAsia="Calibri"/>
                <w:b/>
              </w:rPr>
            </w:pPr>
            <w:r w:rsidRPr="00627DBD">
              <w:rPr>
                <w:rFonts w:eastAsia="Calibri"/>
                <w:b/>
              </w:rPr>
              <w:lastRenderedPageBreak/>
              <w:t>SUPAPRASTINTA PASLAUGŲ VIEŠOJO PIRKIMO–PARDAVIMO SUTARTIS</w:t>
            </w:r>
          </w:p>
        </w:tc>
      </w:tr>
    </w:tbl>
    <w:p w14:paraId="2D9B6F6B" w14:textId="7F78F3D7" w:rsidR="00627DBD" w:rsidRPr="00627DBD" w:rsidRDefault="00192B78" w:rsidP="00627DBD">
      <w:pPr>
        <w:jc w:val="center"/>
        <w:rPr>
          <w:rFonts w:eastAsia="Calibri"/>
        </w:rPr>
      </w:pPr>
      <w:r>
        <w:rPr>
          <w:rFonts w:eastAsia="Calibri"/>
        </w:rPr>
        <w:lastRenderedPageBreak/>
        <w:t>2026</w:t>
      </w:r>
      <w:r w:rsidR="00627DBD" w:rsidRPr="00627DBD">
        <w:rPr>
          <w:rFonts w:eastAsia="Calibri"/>
        </w:rPr>
        <w:t xml:space="preserve"> m.                         d.</w:t>
      </w:r>
    </w:p>
    <w:p w14:paraId="3F0E26E0" w14:textId="77777777" w:rsidR="00627DBD" w:rsidRPr="00627DBD" w:rsidRDefault="00627DBD" w:rsidP="00627DBD">
      <w:pPr>
        <w:jc w:val="center"/>
        <w:rPr>
          <w:rFonts w:eastAsia="Calibri"/>
        </w:rPr>
      </w:pPr>
      <w:r w:rsidRPr="00627DBD">
        <w:rPr>
          <w:rFonts w:eastAsia="Calibri"/>
        </w:rPr>
        <w:t>PS-</w:t>
      </w:r>
    </w:p>
    <w:p w14:paraId="1CF63266" w14:textId="77777777" w:rsidR="00627DBD" w:rsidRPr="00627DBD" w:rsidRDefault="00627DBD" w:rsidP="00627DBD">
      <w:pPr>
        <w:jc w:val="center"/>
        <w:rPr>
          <w:rFonts w:eastAsia="Calibri"/>
        </w:rPr>
      </w:pPr>
      <w:r w:rsidRPr="00627DBD">
        <w:rPr>
          <w:rFonts w:eastAsia="Calibri"/>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069"/>
        <w:gridCol w:w="11"/>
      </w:tblGrid>
      <w:tr w:rsidR="00627DBD" w:rsidRPr="00627DBD" w14:paraId="6B667001" w14:textId="77777777" w:rsidTr="000B4DF9">
        <w:trPr>
          <w:trHeight w:val="194"/>
        </w:trPr>
        <w:tc>
          <w:tcPr>
            <w:tcW w:w="9766" w:type="dxa"/>
            <w:gridSpan w:val="3"/>
          </w:tcPr>
          <w:p w14:paraId="2BF8306C" w14:textId="77777777" w:rsidR="00627DBD" w:rsidRPr="00627DBD" w:rsidRDefault="00627DBD" w:rsidP="00627DBD">
            <w:pPr>
              <w:numPr>
                <w:ilvl w:val="0"/>
                <w:numId w:val="45"/>
              </w:numPr>
              <w:ind w:left="421" w:hanging="425"/>
              <w:contextualSpacing/>
              <w:jc w:val="both"/>
              <w:rPr>
                <w:rFonts w:eastAsia="Calibri"/>
                <w:b/>
              </w:rPr>
            </w:pPr>
            <w:r w:rsidRPr="00627DBD">
              <w:rPr>
                <w:b/>
              </w:rPr>
              <w:t xml:space="preserve">Pirkėjas – </w:t>
            </w:r>
            <w:r w:rsidRPr="00627DBD">
              <w:t xml:space="preserve">Lietuvos kariuomenės </w:t>
            </w:r>
            <w:r w:rsidRPr="00627DBD">
              <w:rPr>
                <w:rFonts w:eastAsia="PMingLiU"/>
              </w:rPr>
              <w:t>Lietuvos kariuomenės Lietuvos didžiojo etmono Kristupo Radvilos Perkūno ryšių ir informacinių sistemų</w:t>
            </w:r>
            <w:r w:rsidRPr="00627DBD">
              <w:t xml:space="preserve"> batalionas, Įmonės kodas </w:t>
            </w:r>
            <w:r w:rsidRPr="00627DBD">
              <w:rPr>
                <w:color w:val="000000"/>
                <w:shd w:val="clear" w:color="auto" w:fill="FAFAFA"/>
              </w:rPr>
              <w:t>304980697</w:t>
            </w:r>
            <w:r w:rsidRPr="00627DBD">
              <w:t>, J. Kairiūkščio g. 14, Vilnius.</w:t>
            </w:r>
          </w:p>
        </w:tc>
      </w:tr>
      <w:tr w:rsidR="00627DBD" w:rsidRPr="00627DBD" w14:paraId="65919718" w14:textId="77777777" w:rsidTr="000B4DF9">
        <w:trPr>
          <w:trHeight w:val="351"/>
        </w:trPr>
        <w:tc>
          <w:tcPr>
            <w:tcW w:w="9766" w:type="dxa"/>
            <w:gridSpan w:val="3"/>
          </w:tcPr>
          <w:p w14:paraId="53E3CF39" w14:textId="77777777" w:rsidR="00627DBD" w:rsidRPr="00627DBD" w:rsidRDefault="00627DBD" w:rsidP="00627DBD">
            <w:pPr>
              <w:numPr>
                <w:ilvl w:val="0"/>
                <w:numId w:val="45"/>
              </w:numPr>
              <w:ind w:left="421" w:hanging="425"/>
              <w:contextualSpacing/>
              <w:jc w:val="both"/>
              <w:rPr>
                <w:rFonts w:eastAsia="Calibri"/>
                <w:b/>
              </w:rPr>
            </w:pPr>
            <w:r w:rsidRPr="00627DBD">
              <w:rPr>
                <w:rFonts w:eastAsia="Calibri"/>
                <w:b/>
              </w:rPr>
              <w:t>Mokėtojas</w:t>
            </w:r>
            <w:r w:rsidRPr="00627DBD">
              <w:rPr>
                <w:rFonts w:eastAsia="Calibri"/>
              </w:rPr>
              <w:t xml:space="preserve"> </w:t>
            </w:r>
            <w:r w:rsidRPr="00627DBD">
              <w:t>Lietuvos kariuomenė, Įmonės kodas: 188732677, PVM mokėtojo kodas LT887326716; Adresas: Šv. Ignoto 8/29, LT-01120, Vilnius AB bankas „Swedbank“; a/s LT48 7300 0100 0246 0179</w:t>
            </w:r>
          </w:p>
        </w:tc>
      </w:tr>
      <w:tr w:rsidR="00627DBD" w:rsidRPr="00627DBD" w14:paraId="49D46A74" w14:textId="77777777" w:rsidTr="000B4DF9">
        <w:trPr>
          <w:trHeight w:val="56"/>
        </w:trPr>
        <w:tc>
          <w:tcPr>
            <w:tcW w:w="9766" w:type="dxa"/>
            <w:gridSpan w:val="3"/>
          </w:tcPr>
          <w:p w14:paraId="1D5E684F" w14:textId="77777777" w:rsidR="00627DBD" w:rsidRPr="00627DBD" w:rsidRDefault="00627DBD" w:rsidP="00627DBD">
            <w:pPr>
              <w:numPr>
                <w:ilvl w:val="0"/>
                <w:numId w:val="45"/>
              </w:numPr>
              <w:ind w:left="421" w:hanging="425"/>
              <w:contextualSpacing/>
              <w:jc w:val="both"/>
              <w:rPr>
                <w:rFonts w:eastAsia="Calibri"/>
              </w:rPr>
            </w:pPr>
            <w:r w:rsidRPr="00627DBD">
              <w:rPr>
                <w:rFonts w:eastAsia="Calibri"/>
              </w:rPr>
              <w:t xml:space="preserve">Teikėjas – </w:t>
            </w:r>
            <w:r w:rsidRPr="00627DBD">
              <w:t>UAB „................“, Įmonės kodas: .................; Adresas: ................. g...., LT-........ Miestas.</w:t>
            </w:r>
          </w:p>
        </w:tc>
      </w:tr>
      <w:tr w:rsidR="00627DBD" w:rsidRPr="00627DBD" w14:paraId="3FAE80B4" w14:textId="77777777" w:rsidTr="000B4DF9">
        <w:trPr>
          <w:trHeight w:val="1819"/>
        </w:trPr>
        <w:tc>
          <w:tcPr>
            <w:tcW w:w="9766" w:type="dxa"/>
            <w:gridSpan w:val="3"/>
          </w:tcPr>
          <w:p w14:paraId="7504B01D" w14:textId="77777777" w:rsidR="00627DBD" w:rsidRPr="00627DBD" w:rsidRDefault="00627DBD" w:rsidP="00627DBD">
            <w:pPr>
              <w:numPr>
                <w:ilvl w:val="0"/>
                <w:numId w:val="45"/>
              </w:numPr>
              <w:ind w:left="421" w:hanging="425"/>
              <w:contextualSpacing/>
              <w:jc w:val="both"/>
              <w:rPr>
                <w:rFonts w:eastAsia="Calibri"/>
                <w:b/>
              </w:rPr>
            </w:pPr>
            <w:r w:rsidRPr="00627DBD">
              <w:rPr>
                <w:rFonts w:eastAsia="Calibri"/>
                <w:b/>
              </w:rPr>
              <w:t>Pirkimo objektas:</w:t>
            </w:r>
          </w:p>
          <w:p w14:paraId="4FE54FC8" w14:textId="7F2B7151" w:rsidR="00627DBD" w:rsidRPr="00627DBD" w:rsidRDefault="00627DBD" w:rsidP="00627DBD">
            <w:pPr>
              <w:numPr>
                <w:ilvl w:val="1"/>
                <w:numId w:val="45"/>
              </w:numPr>
              <w:ind w:left="430" w:hanging="426"/>
              <w:contextualSpacing/>
              <w:jc w:val="both"/>
              <w:rPr>
                <w:rFonts w:eastAsia="Calibri"/>
              </w:rPr>
            </w:pPr>
            <w:r w:rsidRPr="00627DBD">
              <w:rPr>
                <w:rFonts w:eastAsia="Calibri"/>
              </w:rPr>
              <w:t>Pirkimo objektas –</w:t>
            </w:r>
            <w:r w:rsidR="00192B78">
              <w:rPr>
                <w:rFonts w:eastAsia="Calibri"/>
              </w:rPr>
              <w:t xml:space="preserve">ITIL 4 </w:t>
            </w:r>
            <w:proofErr w:type="spellStart"/>
            <w:r w:rsidR="00192B78">
              <w:rPr>
                <w:rFonts w:eastAsia="Calibri"/>
              </w:rPr>
              <w:t>Foundation</w:t>
            </w:r>
            <w:proofErr w:type="spellEnd"/>
            <w:r w:rsidR="00192B78">
              <w:rPr>
                <w:rFonts w:eastAsia="Calibri"/>
              </w:rPr>
              <w:t xml:space="preserve"> kursas</w:t>
            </w:r>
            <w:r>
              <w:rPr>
                <w:rFonts w:eastAsia="Calibri"/>
              </w:rPr>
              <w:t>.</w:t>
            </w:r>
            <w:r w:rsidRPr="00627DBD">
              <w:rPr>
                <w:rFonts w:eastAsia="Calibri"/>
              </w:rPr>
              <w:t xml:space="preserve"> (toliau – Paslaugos)</w:t>
            </w:r>
            <w:r w:rsidRPr="00627DBD">
              <w:rPr>
                <w:rFonts w:eastAsia="Calibri"/>
                <w:i/>
              </w:rPr>
              <w:t>.</w:t>
            </w:r>
          </w:p>
          <w:p w14:paraId="2B328040" w14:textId="2EFC7BF4" w:rsidR="00627DBD" w:rsidRPr="00627DBD" w:rsidRDefault="00627DBD" w:rsidP="00627DBD">
            <w:pPr>
              <w:numPr>
                <w:ilvl w:val="1"/>
                <w:numId w:val="45"/>
              </w:numPr>
              <w:ind w:left="455" w:hanging="455"/>
              <w:contextualSpacing/>
              <w:jc w:val="both"/>
              <w:rPr>
                <w:rFonts w:eastAsia="Calibri"/>
              </w:rPr>
            </w:pPr>
            <w:r w:rsidRPr="00627DBD">
              <w:rPr>
                <w:rFonts w:eastAsia="Calibri"/>
              </w:rPr>
              <w:t>Pirkėjas įsipareigoja priimti 4.1 papunktyje nurodytas Paslaugas ir sumokėti už Sutarties reikalavi</w:t>
            </w:r>
            <w:r w:rsidR="0044514A">
              <w:rPr>
                <w:rFonts w:eastAsia="Calibri"/>
              </w:rPr>
              <w:t xml:space="preserve">mus atitinkančias Paslaugas 5.2 ir 5.3 </w:t>
            </w:r>
            <w:r w:rsidRPr="00627DBD">
              <w:rPr>
                <w:rFonts w:eastAsia="Calibri"/>
              </w:rPr>
              <w:t>punkt</w:t>
            </w:r>
            <w:r w:rsidR="0044514A">
              <w:rPr>
                <w:rFonts w:eastAsia="Calibri"/>
              </w:rPr>
              <w:t>uose</w:t>
            </w:r>
            <w:r w:rsidRPr="00627DBD">
              <w:rPr>
                <w:rFonts w:eastAsia="Calibri"/>
              </w:rPr>
              <w:t xml:space="preserve"> nurodytą kainą. </w:t>
            </w:r>
          </w:p>
          <w:p w14:paraId="4B6EF3DC" w14:textId="77777777" w:rsidR="00627DBD" w:rsidRPr="00627DBD" w:rsidRDefault="00627DBD" w:rsidP="00627DBD">
            <w:pPr>
              <w:numPr>
                <w:ilvl w:val="1"/>
                <w:numId w:val="45"/>
              </w:numPr>
              <w:ind w:left="455" w:hanging="455"/>
              <w:contextualSpacing/>
              <w:jc w:val="both"/>
              <w:rPr>
                <w:rFonts w:eastAsia="Calibri"/>
              </w:rPr>
            </w:pPr>
            <w:r w:rsidRPr="00627DBD">
              <w:rPr>
                <w:rFonts w:eastAsia="Calibri"/>
              </w:rPr>
              <w:t xml:space="preserve">Pardavėjas už Sutarties vykdymą jokių papildomų mokėjimų negauna. </w:t>
            </w:r>
          </w:p>
          <w:p w14:paraId="3B4420E3" w14:textId="77777777" w:rsidR="00627DBD" w:rsidRPr="00627DBD" w:rsidRDefault="00627DBD" w:rsidP="00627DBD">
            <w:pPr>
              <w:numPr>
                <w:ilvl w:val="1"/>
                <w:numId w:val="45"/>
              </w:numPr>
              <w:ind w:left="455" w:hanging="455"/>
              <w:contextualSpacing/>
              <w:jc w:val="both"/>
              <w:rPr>
                <w:rFonts w:eastAsia="Calibri"/>
                <w:b/>
              </w:rPr>
            </w:pPr>
            <w:r w:rsidRPr="00627DBD">
              <w:rPr>
                <w:rFonts w:eastAsia="Calibri"/>
              </w:rPr>
              <w:t>Reikalavimai Paslaugoms nustatyti šios Sutarties 1 priede.</w:t>
            </w:r>
          </w:p>
        </w:tc>
      </w:tr>
      <w:tr w:rsidR="00627DBD" w:rsidRPr="00627DBD" w14:paraId="34148A9E" w14:textId="77777777" w:rsidTr="000B4DF9">
        <w:trPr>
          <w:trHeight w:val="76"/>
        </w:trPr>
        <w:tc>
          <w:tcPr>
            <w:tcW w:w="9766" w:type="dxa"/>
            <w:gridSpan w:val="3"/>
          </w:tcPr>
          <w:p w14:paraId="248C43DF" w14:textId="77777777" w:rsidR="00627DBD" w:rsidRPr="00627DBD" w:rsidRDefault="00627DBD" w:rsidP="00627DBD">
            <w:pPr>
              <w:numPr>
                <w:ilvl w:val="0"/>
                <w:numId w:val="45"/>
              </w:numPr>
              <w:ind w:left="387" w:hanging="425"/>
              <w:contextualSpacing/>
              <w:jc w:val="both"/>
              <w:rPr>
                <w:rFonts w:eastAsia="Calibri"/>
                <w:b/>
              </w:rPr>
            </w:pPr>
            <w:r w:rsidRPr="00627DBD">
              <w:rPr>
                <w:rFonts w:eastAsia="Calibri"/>
                <w:b/>
              </w:rPr>
              <w:t>Kainodaros taisyklės:</w:t>
            </w:r>
          </w:p>
        </w:tc>
      </w:tr>
      <w:tr w:rsidR="00627DBD" w:rsidRPr="00627DBD" w14:paraId="2A748839" w14:textId="77777777" w:rsidTr="000B4DF9">
        <w:trPr>
          <w:trHeight w:val="281"/>
        </w:trPr>
        <w:tc>
          <w:tcPr>
            <w:tcW w:w="3686" w:type="dxa"/>
          </w:tcPr>
          <w:p w14:paraId="1316A99D" w14:textId="77777777" w:rsidR="00627DBD" w:rsidRPr="00627DBD" w:rsidRDefault="00627DBD" w:rsidP="00627DBD">
            <w:pPr>
              <w:numPr>
                <w:ilvl w:val="1"/>
                <w:numId w:val="45"/>
              </w:numPr>
              <w:ind w:left="455" w:hanging="455"/>
              <w:contextualSpacing/>
              <w:jc w:val="both"/>
              <w:rPr>
                <w:rFonts w:eastAsia="Calibri"/>
              </w:rPr>
            </w:pPr>
            <w:r w:rsidRPr="00627DBD">
              <w:rPr>
                <w:rFonts w:eastAsia="Calibri"/>
              </w:rPr>
              <w:t xml:space="preserve"> Fiksuota kaina </w:t>
            </w:r>
          </w:p>
        </w:tc>
        <w:tc>
          <w:tcPr>
            <w:tcW w:w="6080" w:type="dxa"/>
            <w:gridSpan w:val="2"/>
          </w:tcPr>
          <w:p w14:paraId="36AAB440" w14:textId="77777777" w:rsidR="00627DBD" w:rsidRDefault="00627DBD" w:rsidP="00627DBD">
            <w:pPr>
              <w:jc w:val="both"/>
            </w:pPr>
            <w:r w:rsidRPr="00627DBD">
              <w:rPr>
                <w:rFonts w:eastAsia="Calibri"/>
              </w:rPr>
              <w:t>5.2. Sutarties kaina – ............... EUR be PVM,</w:t>
            </w:r>
            <w:r w:rsidRPr="00627DBD">
              <w:t xml:space="preserve">  ................. EUR su PVM.</w:t>
            </w:r>
          </w:p>
          <w:p w14:paraId="6775BA2F" w14:textId="03282676" w:rsidR="0044514A" w:rsidRPr="00627DBD" w:rsidRDefault="0044514A" w:rsidP="00627DBD">
            <w:pPr>
              <w:jc w:val="both"/>
              <w:rPr>
                <w:rFonts w:eastAsia="Calibri"/>
              </w:rPr>
            </w:pPr>
            <w:r>
              <w:t xml:space="preserve">5.3. Paslaugos valandinė kaina - ......... EUR be PVM, ............. EUR su PVM. </w:t>
            </w:r>
          </w:p>
        </w:tc>
      </w:tr>
      <w:tr w:rsidR="00627DBD" w:rsidRPr="00627DBD" w14:paraId="73303957" w14:textId="77777777" w:rsidTr="000B4DF9">
        <w:trPr>
          <w:trHeight w:val="257"/>
        </w:trPr>
        <w:tc>
          <w:tcPr>
            <w:tcW w:w="9766" w:type="dxa"/>
            <w:gridSpan w:val="3"/>
            <w:tcBorders>
              <w:top w:val="single" w:sz="4" w:space="0" w:color="auto"/>
              <w:left w:val="single" w:sz="4" w:space="0" w:color="auto"/>
              <w:right w:val="single" w:sz="4" w:space="0" w:color="auto"/>
            </w:tcBorders>
          </w:tcPr>
          <w:p w14:paraId="539AC2CE" w14:textId="77777777" w:rsidR="00627DBD" w:rsidRPr="00627DBD" w:rsidRDefault="00627DBD" w:rsidP="00627DBD">
            <w:pPr>
              <w:numPr>
                <w:ilvl w:val="0"/>
                <w:numId w:val="45"/>
              </w:numPr>
              <w:ind w:left="387" w:hanging="425"/>
              <w:contextualSpacing/>
              <w:jc w:val="both"/>
              <w:rPr>
                <w:rFonts w:eastAsia="Calibri"/>
                <w:b/>
              </w:rPr>
            </w:pPr>
            <w:r w:rsidRPr="00627DBD">
              <w:rPr>
                <w:rFonts w:eastAsia="Calibri"/>
                <w:b/>
              </w:rPr>
              <w:t>Kainos peržiūra:</w:t>
            </w:r>
          </w:p>
        </w:tc>
      </w:tr>
      <w:tr w:rsidR="00627DBD" w:rsidRPr="00627DBD" w14:paraId="62A3E00C" w14:textId="77777777" w:rsidTr="000B4DF9">
        <w:trPr>
          <w:trHeight w:val="553"/>
        </w:trPr>
        <w:tc>
          <w:tcPr>
            <w:tcW w:w="9766" w:type="dxa"/>
            <w:gridSpan w:val="3"/>
            <w:tcBorders>
              <w:top w:val="single" w:sz="4" w:space="0" w:color="auto"/>
              <w:left w:val="single" w:sz="4" w:space="0" w:color="auto"/>
              <w:right w:val="single" w:sz="4" w:space="0" w:color="auto"/>
            </w:tcBorders>
          </w:tcPr>
          <w:p w14:paraId="1C14BD03" w14:textId="77777777" w:rsidR="00627DBD" w:rsidRPr="00627DBD" w:rsidRDefault="00627DBD" w:rsidP="00627DBD">
            <w:pPr>
              <w:jc w:val="both"/>
              <w:rPr>
                <w:rFonts w:eastAsia="Calibri"/>
              </w:rPr>
            </w:pPr>
            <w:r w:rsidRPr="00627DBD">
              <w:rPr>
                <w:rFonts w:eastAsia="Calibri"/>
              </w:rPr>
              <w:t>6.1. Sutarties kaina ar įkainis nėra peržiūrimi visą Sutarties galiojimo laikotarpį, išskyrus atvejus, kai pasikeičia Paslaugoms taikomas PVM tarifas.</w:t>
            </w:r>
          </w:p>
        </w:tc>
      </w:tr>
      <w:tr w:rsidR="00627DBD" w:rsidRPr="00627DBD" w14:paraId="0EA51F43" w14:textId="77777777" w:rsidTr="000B4DF9">
        <w:trPr>
          <w:trHeight w:val="416"/>
        </w:trPr>
        <w:tc>
          <w:tcPr>
            <w:tcW w:w="9766" w:type="dxa"/>
            <w:gridSpan w:val="3"/>
            <w:tcBorders>
              <w:top w:val="single" w:sz="4" w:space="0" w:color="auto"/>
              <w:left w:val="single" w:sz="4" w:space="0" w:color="auto"/>
              <w:right w:val="single" w:sz="4" w:space="0" w:color="auto"/>
            </w:tcBorders>
          </w:tcPr>
          <w:p w14:paraId="43D722E5" w14:textId="77777777" w:rsidR="00627DBD" w:rsidRPr="00627DBD" w:rsidRDefault="00627DBD" w:rsidP="00627DBD">
            <w:pPr>
              <w:numPr>
                <w:ilvl w:val="0"/>
                <w:numId w:val="45"/>
              </w:numPr>
              <w:ind w:left="313" w:hanging="283"/>
              <w:contextualSpacing/>
              <w:jc w:val="both"/>
              <w:rPr>
                <w:rFonts w:eastAsia="Calibri"/>
              </w:rPr>
            </w:pPr>
            <w:r w:rsidRPr="00627DBD">
              <w:rPr>
                <w:rFonts w:eastAsia="Calibri"/>
                <w:b/>
              </w:rPr>
              <w:t>Paslaugų teikimo vieta ir sąlygos</w:t>
            </w:r>
            <w:r w:rsidRPr="00627DBD">
              <w:rPr>
                <w:rFonts w:eastAsia="Calibri"/>
              </w:rPr>
              <w:t>:</w:t>
            </w:r>
          </w:p>
          <w:p w14:paraId="620AAC4F" w14:textId="77777777" w:rsidR="002B63AA" w:rsidRDefault="00627DBD" w:rsidP="002B63AA">
            <w:pPr>
              <w:numPr>
                <w:ilvl w:val="1"/>
                <w:numId w:val="45"/>
              </w:numPr>
              <w:ind w:left="456" w:hanging="456"/>
              <w:contextualSpacing/>
              <w:jc w:val="both"/>
              <w:rPr>
                <w:rFonts w:eastAsia="Calibri"/>
              </w:rPr>
            </w:pPr>
            <w:r w:rsidRPr="00627DBD">
              <w:rPr>
                <w:rFonts w:eastAsia="Calibri"/>
              </w:rPr>
              <w:t>Paslaugos yra teikiamos šiame punkte nurodytais terminais:</w:t>
            </w:r>
          </w:p>
          <w:p w14:paraId="48BBF70E" w14:textId="77777777" w:rsidR="002B63AA" w:rsidRDefault="00627DBD" w:rsidP="002B63AA">
            <w:pPr>
              <w:numPr>
                <w:ilvl w:val="1"/>
                <w:numId w:val="45"/>
              </w:numPr>
              <w:ind w:left="456" w:hanging="456"/>
              <w:contextualSpacing/>
              <w:jc w:val="both"/>
              <w:rPr>
                <w:rFonts w:eastAsia="Calibri"/>
              </w:rPr>
            </w:pPr>
            <w:r w:rsidRPr="002B63AA">
              <w:rPr>
                <w:rFonts w:eastAsia="Calibri"/>
              </w:rPr>
              <w:t xml:space="preserve">Paslaugos yra suteikiamos nuo </w:t>
            </w:r>
            <w:r w:rsidR="0044514A" w:rsidRPr="002B63AA">
              <w:rPr>
                <w:rFonts w:eastAsia="Calibri"/>
              </w:rPr>
              <w:t>sutarties sudarymo dienos</w:t>
            </w:r>
            <w:r w:rsidRPr="002B63AA">
              <w:rPr>
                <w:rFonts w:eastAsia="Calibri"/>
              </w:rPr>
              <w:t xml:space="preserve"> iki </w:t>
            </w:r>
            <w:r w:rsidR="00192B78" w:rsidRPr="002B63AA">
              <w:rPr>
                <w:rFonts w:eastAsia="Calibri"/>
              </w:rPr>
              <w:t>2026</w:t>
            </w:r>
            <w:r w:rsidRPr="002B63AA">
              <w:rPr>
                <w:rFonts w:eastAsia="Calibri"/>
              </w:rPr>
              <w:t xml:space="preserve"> m. </w:t>
            </w:r>
            <w:r w:rsidR="00192B78" w:rsidRPr="002B63AA">
              <w:rPr>
                <w:rFonts w:eastAsia="Calibri"/>
              </w:rPr>
              <w:t>rugsėjo 30</w:t>
            </w:r>
            <w:r w:rsidR="0044514A" w:rsidRPr="002B63AA">
              <w:rPr>
                <w:rFonts w:eastAsia="Calibri"/>
              </w:rPr>
              <w:t xml:space="preserve"> d</w:t>
            </w:r>
            <w:r w:rsidRPr="002B63AA">
              <w:rPr>
                <w:rFonts w:eastAsia="Calibri"/>
              </w:rPr>
              <w:t xml:space="preserve">. </w:t>
            </w:r>
          </w:p>
          <w:p w14:paraId="18E119BD" w14:textId="72C11FDF" w:rsidR="00627DBD" w:rsidRPr="002B63AA" w:rsidRDefault="002B63AA" w:rsidP="002B63AA">
            <w:pPr>
              <w:numPr>
                <w:ilvl w:val="1"/>
                <w:numId w:val="45"/>
              </w:numPr>
              <w:ind w:left="456" w:hanging="456"/>
              <w:contextualSpacing/>
              <w:jc w:val="both"/>
              <w:rPr>
                <w:rFonts w:eastAsia="Calibri"/>
              </w:rPr>
            </w:pPr>
            <w:r w:rsidRPr="002B63AA">
              <w:rPr>
                <w:rFonts w:eastAsia="Calibri"/>
              </w:rPr>
              <w:t>Kursas turi būti pravestas auditorijoje (Vilniaus mieste) arba nuotoliniu būdu, anglų kalba</w:t>
            </w:r>
            <w:r>
              <w:rPr>
                <w:rFonts w:eastAsia="Calibri"/>
              </w:rPr>
              <w:t>.</w:t>
            </w:r>
          </w:p>
        </w:tc>
      </w:tr>
      <w:tr w:rsidR="00627DBD" w:rsidRPr="00627DBD" w14:paraId="59BD7257" w14:textId="77777777" w:rsidTr="000B4DF9">
        <w:trPr>
          <w:trHeight w:val="551"/>
        </w:trPr>
        <w:tc>
          <w:tcPr>
            <w:tcW w:w="9766" w:type="dxa"/>
            <w:gridSpan w:val="3"/>
          </w:tcPr>
          <w:p w14:paraId="6FACF845" w14:textId="3B697B0C" w:rsidR="00627DBD" w:rsidRPr="00627DBD" w:rsidRDefault="00627DBD" w:rsidP="00CF3C9A">
            <w:pPr>
              <w:numPr>
                <w:ilvl w:val="0"/>
                <w:numId w:val="45"/>
              </w:numPr>
              <w:ind w:left="456" w:hanging="426"/>
              <w:contextualSpacing/>
              <w:jc w:val="both"/>
              <w:rPr>
                <w:rFonts w:eastAsia="Calibri"/>
              </w:rPr>
            </w:pPr>
            <w:r w:rsidRPr="00627DBD">
              <w:rPr>
                <w:rFonts w:eastAsia="Calibri"/>
                <w:b/>
              </w:rPr>
              <w:t>Mokėjimas</w:t>
            </w:r>
            <w:r w:rsidRPr="00627DBD">
              <w:rPr>
                <w:rFonts w:eastAsia="Calibri"/>
              </w:rPr>
              <w:t xml:space="preserve"> – už suteiktas Sutarties ir jos prieduose nurodytus reikalavimus atitinkančias Paslaugas Pirkėjas</w:t>
            </w:r>
            <w:r w:rsidRPr="00627DBD">
              <w:rPr>
                <w:rFonts w:eastAsia="Calibri"/>
                <w:b/>
              </w:rPr>
              <w:t xml:space="preserve"> </w:t>
            </w:r>
            <w:r w:rsidRPr="00627DBD">
              <w:rPr>
                <w:rFonts w:eastAsia="Calibri"/>
              </w:rPr>
              <w:t>sumoka per 30 dienų. Pirkėjas sumoka už Paslaugas tik tuo atveju, jei sąskaita yra pateikiama naudojantis „</w:t>
            </w:r>
            <w:r w:rsidR="00CF3C9A">
              <w:rPr>
                <w:rFonts w:eastAsia="Calibri"/>
              </w:rPr>
              <w:t>SABIS</w:t>
            </w:r>
            <w:r w:rsidRPr="00627DBD">
              <w:rPr>
                <w:rFonts w:eastAsia="Calibri"/>
              </w:rPr>
              <w:t xml:space="preserve">“ priemonėmis. </w:t>
            </w:r>
          </w:p>
        </w:tc>
      </w:tr>
      <w:tr w:rsidR="00627DBD" w:rsidRPr="00627DBD" w14:paraId="2D78D091" w14:textId="77777777" w:rsidTr="000B4DF9">
        <w:trPr>
          <w:trHeight w:val="571"/>
        </w:trPr>
        <w:tc>
          <w:tcPr>
            <w:tcW w:w="9766" w:type="dxa"/>
            <w:gridSpan w:val="3"/>
          </w:tcPr>
          <w:p w14:paraId="53D8566F" w14:textId="6A1F61E6" w:rsidR="00627DBD" w:rsidRPr="00627DBD" w:rsidRDefault="00627DBD" w:rsidP="002B63AA">
            <w:pPr>
              <w:numPr>
                <w:ilvl w:val="0"/>
                <w:numId w:val="45"/>
              </w:numPr>
              <w:ind w:left="456" w:hanging="426"/>
              <w:contextualSpacing/>
              <w:jc w:val="both"/>
              <w:rPr>
                <w:rFonts w:eastAsia="Calibri"/>
              </w:rPr>
            </w:pPr>
            <w:r w:rsidRPr="00627DBD">
              <w:rPr>
                <w:rFonts w:eastAsia="Calibri"/>
              </w:rPr>
              <w:t>Sutar</w:t>
            </w:r>
            <w:r w:rsidR="002B63AA">
              <w:rPr>
                <w:rFonts w:eastAsia="Calibri"/>
              </w:rPr>
              <w:t>ties vykdymo metu atsiradusius p</w:t>
            </w:r>
            <w:r w:rsidRPr="00627DBD">
              <w:rPr>
                <w:rFonts w:eastAsia="Calibri"/>
              </w:rPr>
              <w:t>aslaugų trūkumus</w:t>
            </w:r>
            <w:r w:rsidR="002B63AA">
              <w:rPr>
                <w:rFonts w:eastAsia="Calibri"/>
              </w:rPr>
              <w:t>, p</w:t>
            </w:r>
            <w:r w:rsidRPr="00627DBD">
              <w:rPr>
                <w:rFonts w:eastAsia="Calibri"/>
              </w:rPr>
              <w:t>ardavėjas turi ištaisyti ne vėliau kaip per 7 darbo dienas nuo pranešimo apie trūkumus.</w:t>
            </w:r>
          </w:p>
        </w:tc>
      </w:tr>
      <w:tr w:rsidR="00627DBD" w:rsidRPr="00627DBD" w14:paraId="2EA36729" w14:textId="77777777" w:rsidTr="000B4DF9">
        <w:trPr>
          <w:trHeight w:val="829"/>
        </w:trPr>
        <w:tc>
          <w:tcPr>
            <w:tcW w:w="9766" w:type="dxa"/>
            <w:gridSpan w:val="3"/>
          </w:tcPr>
          <w:p w14:paraId="0EE62844" w14:textId="5AA3C289" w:rsidR="00627DBD" w:rsidRPr="00627DBD" w:rsidRDefault="00627DBD" w:rsidP="002B63AA">
            <w:pPr>
              <w:numPr>
                <w:ilvl w:val="0"/>
                <w:numId w:val="45"/>
              </w:numPr>
              <w:ind w:left="456" w:hanging="426"/>
              <w:contextualSpacing/>
              <w:jc w:val="both"/>
              <w:rPr>
                <w:rFonts w:eastAsia="Calibri"/>
              </w:rPr>
            </w:pPr>
            <w:r w:rsidRPr="00627DBD">
              <w:rPr>
                <w:rFonts w:eastAsia="Calibri"/>
                <w:b/>
              </w:rPr>
              <w:t>Garantijos terminas</w:t>
            </w:r>
            <w:r w:rsidRPr="00627DBD">
              <w:rPr>
                <w:rFonts w:eastAsia="Calibri"/>
              </w:rPr>
              <w:t xml:space="preserve"> </w:t>
            </w:r>
            <w:r w:rsidRPr="00627DBD">
              <w:t xml:space="preserve">Garantijos terminas </w:t>
            </w:r>
            <w:r w:rsidR="00573E4D" w:rsidRPr="00573E4D">
              <w:t xml:space="preserve">įsigalioja nuo </w:t>
            </w:r>
            <w:r w:rsidR="00573E4D">
              <w:t>Sutarties</w:t>
            </w:r>
            <w:r w:rsidR="002B63AA">
              <w:t xml:space="preserve"> pasirašymo momento iki 2026</w:t>
            </w:r>
            <w:r w:rsidR="00573E4D" w:rsidRPr="00573E4D">
              <w:t>-1</w:t>
            </w:r>
            <w:r w:rsidR="002B63AA">
              <w:t>1</w:t>
            </w:r>
            <w:r w:rsidR="00573E4D" w:rsidRPr="00573E4D">
              <w:t>-01  arba iki visiško finansinių įsipareigojimų įvykdymo.</w:t>
            </w:r>
            <w:r w:rsidR="00573E4D">
              <w:t xml:space="preserve"> </w:t>
            </w:r>
            <w:r w:rsidRPr="00627DBD">
              <w:t>Per garantijos terminą atsiradusius trūkumus Pardavėjas turi ištaisyti arba pakeisti daiktus naujais ne vėliau kaip per 7 dienas nuo pranešimo apie trūkumus.</w:t>
            </w:r>
          </w:p>
        </w:tc>
      </w:tr>
      <w:tr w:rsidR="00627DBD" w:rsidRPr="00627DBD" w14:paraId="2018F349" w14:textId="77777777" w:rsidTr="002B63AA">
        <w:trPr>
          <w:trHeight w:val="1266"/>
        </w:trPr>
        <w:tc>
          <w:tcPr>
            <w:tcW w:w="9766" w:type="dxa"/>
            <w:gridSpan w:val="3"/>
          </w:tcPr>
          <w:p w14:paraId="4DB95B0C"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t>Netesybos:</w:t>
            </w:r>
          </w:p>
          <w:p w14:paraId="5AE6BC51" w14:textId="77777777" w:rsidR="00627DBD" w:rsidRPr="00627DBD" w:rsidRDefault="00627DBD" w:rsidP="00627DBD">
            <w:pPr>
              <w:numPr>
                <w:ilvl w:val="1"/>
                <w:numId w:val="45"/>
              </w:numPr>
              <w:ind w:left="597" w:hanging="567"/>
              <w:contextualSpacing/>
              <w:jc w:val="both"/>
              <w:rPr>
                <w:rFonts w:eastAsia="Calibri"/>
              </w:rPr>
            </w:pPr>
            <w:r w:rsidRPr="00627DBD">
              <w:rPr>
                <w:rFonts w:eastAsia="Calibri"/>
              </w:rPr>
              <w:t xml:space="preserve"> Už vėlavimą suteikti Paslaugas – 0,1 proc. per dieną nuo nepristatytų Paslaugų vertės.</w:t>
            </w:r>
          </w:p>
          <w:p w14:paraId="60D34AE9" w14:textId="77777777" w:rsidR="00627DBD" w:rsidRPr="00627DBD" w:rsidRDefault="00627DBD" w:rsidP="00627DBD">
            <w:pPr>
              <w:numPr>
                <w:ilvl w:val="1"/>
                <w:numId w:val="45"/>
              </w:numPr>
              <w:ind w:left="597" w:hanging="567"/>
              <w:contextualSpacing/>
              <w:jc w:val="both"/>
              <w:rPr>
                <w:rFonts w:eastAsia="Calibri"/>
              </w:rPr>
            </w:pPr>
            <w:r w:rsidRPr="00627DBD">
              <w:rPr>
                <w:rFonts w:eastAsia="Calibri"/>
              </w:rPr>
              <w:t xml:space="preserve"> Už pavėluotą kokybės trūkumų ištaisymą – 0,1 proc. per dieną nuo Paslaugų, kurių trūkumai neištaisyti, vertės.</w:t>
            </w:r>
          </w:p>
          <w:p w14:paraId="24EDC488"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 xml:space="preserve"> Už Sutarties nutraukimą dėl Pardavėjo</w:t>
            </w:r>
            <w:r w:rsidRPr="00627DBD">
              <w:rPr>
                <w:rFonts w:eastAsia="Calibri"/>
                <w:b/>
              </w:rPr>
              <w:t xml:space="preserve"> </w:t>
            </w:r>
            <w:r w:rsidRPr="00627DBD">
              <w:rPr>
                <w:rFonts w:eastAsia="Calibri"/>
              </w:rPr>
              <w:t>kaltės – 7 proc. maksimalios Sutarties kainos be PVM (išskyrus, kai Sutartis yra nutraukiama pagal 12.1.3 papunktį).</w:t>
            </w:r>
          </w:p>
          <w:p w14:paraId="509960DC"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 xml:space="preserve"> Už pavėluotą atsiskaitymą už Paslaugas – palūkanos pagal Lietuvos Respublikos mokėjimų, atliekamų pagal komercines sutartis, vėlavimo prevencijos įstatymą. </w:t>
            </w:r>
          </w:p>
          <w:p w14:paraId="2725AE64"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Nutraukus Sutartį 12.1.3 papunkčio pagrindu – 15 proc. maksimalios Sutarties kainos be PVM.</w:t>
            </w:r>
          </w:p>
          <w:p w14:paraId="6B9FFD54"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lastRenderedPageBreak/>
              <w:t>Pažeidus 12.1 papunktį – 10 proc. dydžio maksimalios Sutarties vertės ar pasiūlymo kainos be PVM.</w:t>
            </w:r>
          </w:p>
          <w:p w14:paraId="73C678E6"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Šalis nėra laikoma atsakinga už įsipareigojimų nevykdymą, jei įrodo, kad tai įvyko dėl nenugalimos jėgos aplinkybių.</w:t>
            </w:r>
          </w:p>
        </w:tc>
      </w:tr>
      <w:tr w:rsidR="00627DBD" w:rsidRPr="00627DBD" w14:paraId="2E39B04D" w14:textId="77777777" w:rsidTr="000B4DF9">
        <w:trPr>
          <w:trHeight w:val="408"/>
        </w:trPr>
        <w:tc>
          <w:tcPr>
            <w:tcW w:w="9766" w:type="dxa"/>
            <w:gridSpan w:val="3"/>
          </w:tcPr>
          <w:p w14:paraId="783A085D"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lastRenderedPageBreak/>
              <w:t>Sutarties nutraukimas:</w:t>
            </w:r>
          </w:p>
          <w:p w14:paraId="655FD79C" w14:textId="77777777" w:rsidR="00627DBD" w:rsidRPr="00627DBD" w:rsidRDefault="00627DBD" w:rsidP="00627DBD">
            <w:pPr>
              <w:ind w:left="459" w:hanging="429"/>
              <w:contextualSpacing/>
              <w:jc w:val="both"/>
              <w:rPr>
                <w:rFonts w:eastAsia="Calibri"/>
              </w:rPr>
            </w:pPr>
            <w:r w:rsidRPr="00627DBD">
              <w:rPr>
                <w:rFonts w:eastAsia="Calibri"/>
              </w:rPr>
              <w:t>12.1. Informavęs prieš 7 dienas Pirkėjas gali Sutartį nutraukti vienašališkai dėl Pardavėjo kaltės, kai:</w:t>
            </w:r>
          </w:p>
          <w:p w14:paraId="28DF7761" w14:textId="77777777" w:rsidR="00627DBD" w:rsidRPr="00627DBD" w:rsidRDefault="00627DBD" w:rsidP="00627DBD">
            <w:pPr>
              <w:ind w:left="739" w:hanging="709"/>
              <w:contextualSpacing/>
              <w:jc w:val="both"/>
              <w:rPr>
                <w:rFonts w:eastAsia="Calibri"/>
              </w:rPr>
            </w:pPr>
            <w:r w:rsidRPr="00627DBD">
              <w:rPr>
                <w:rFonts w:eastAsia="Calibri"/>
              </w:rPr>
              <w:t>12.1.1. Pardavėjas vėluoja suteikti Sutarties ar 1 priedo reikalavimus atitinkančias Paslaugas 5 d. d. nuo sutartos kursų datos arba informuoja, kad Paslaugų neteiks.</w:t>
            </w:r>
          </w:p>
          <w:p w14:paraId="1FF399CF" w14:textId="77777777" w:rsidR="00627DBD" w:rsidRPr="00627DBD" w:rsidRDefault="00627DBD" w:rsidP="00627DBD">
            <w:pPr>
              <w:ind w:left="739" w:hanging="709"/>
              <w:contextualSpacing/>
              <w:jc w:val="both"/>
              <w:rPr>
                <w:rFonts w:eastAsia="Calibri"/>
              </w:rPr>
            </w:pPr>
            <w:r w:rsidRPr="00627DBD">
              <w:rPr>
                <w:rFonts w:eastAsia="Calibri"/>
              </w:rPr>
              <w:t>12.1.2. Pardavėjas netinkamai vykdo ar nevykdo garantinių įsipareigojimų.</w:t>
            </w:r>
          </w:p>
          <w:p w14:paraId="5F605E4F" w14:textId="77777777" w:rsidR="00627DBD" w:rsidRPr="00627DBD" w:rsidRDefault="00627DBD" w:rsidP="00627DBD">
            <w:pPr>
              <w:ind w:left="739" w:hanging="709"/>
              <w:contextualSpacing/>
              <w:jc w:val="both"/>
              <w:rPr>
                <w:rFonts w:eastAsia="Calibri"/>
              </w:rPr>
            </w:pPr>
            <w:r w:rsidRPr="00627DBD">
              <w:rPr>
                <w:rFonts w:eastAsia="Calibri"/>
              </w:rPr>
              <w:t>12.1.3.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F0EDAD0" w14:textId="77777777" w:rsidR="00627DBD" w:rsidRPr="00627DBD" w:rsidRDefault="00627DBD" w:rsidP="00627DBD">
            <w:pPr>
              <w:ind w:left="739" w:hanging="709"/>
              <w:contextualSpacing/>
              <w:jc w:val="both"/>
              <w:rPr>
                <w:rFonts w:eastAsia="Calibri"/>
              </w:rPr>
            </w:pPr>
            <w:r w:rsidRPr="00627DBD">
              <w:rPr>
                <w:rFonts w:eastAsia="Calibri"/>
              </w:rPr>
              <w:t>12.1.4. Pardavėjas yra įtraukiamas į Nepatikimų ar Melagingą informaciją pateikusių tiekėjų sąrašus arba Pardavėjas ar jo teikiamos Paslaugos ar tiekiami daiktai kelia grėsmę nacionaliniam saugumui.</w:t>
            </w:r>
          </w:p>
          <w:p w14:paraId="47ED166F" w14:textId="77777777" w:rsidR="00627DBD" w:rsidRPr="00627DBD" w:rsidRDefault="00627DBD" w:rsidP="00627DBD">
            <w:pPr>
              <w:ind w:left="739" w:hanging="709"/>
              <w:contextualSpacing/>
              <w:jc w:val="both"/>
              <w:rPr>
                <w:rFonts w:eastAsia="Calibri"/>
              </w:rPr>
            </w:pPr>
            <w:r w:rsidRPr="00627DBD">
              <w:rPr>
                <w:rFonts w:eastAsia="Calibri"/>
              </w:rPr>
              <w:t>12.1.5. Pirkėjui dėl objektyvių priežasčių Paslaugos tampa nebereikalingos.</w:t>
            </w:r>
          </w:p>
          <w:p w14:paraId="6D8274FE" w14:textId="77777777" w:rsidR="00627DBD" w:rsidRPr="00627DBD" w:rsidRDefault="00627DBD" w:rsidP="00627DBD">
            <w:pPr>
              <w:ind w:left="739" w:hanging="709"/>
              <w:contextualSpacing/>
              <w:jc w:val="both"/>
              <w:rPr>
                <w:rFonts w:eastAsia="Calibri"/>
              </w:rPr>
            </w:pPr>
            <w:r w:rsidRPr="00627DBD">
              <w:rPr>
                <w:rFonts w:eastAsia="Calibri"/>
              </w:rPr>
              <w:t>12.1.6. Pardavėjo atžvilgiu yra pradedama likvidavimo, restruktūrizavimo arba bankroto procedūra.</w:t>
            </w:r>
          </w:p>
          <w:p w14:paraId="40CF17DA" w14:textId="77777777" w:rsidR="00627DBD" w:rsidRPr="00627DBD" w:rsidRDefault="00627DBD" w:rsidP="00627DBD">
            <w:pPr>
              <w:ind w:left="739" w:hanging="709"/>
              <w:contextualSpacing/>
              <w:jc w:val="both"/>
              <w:rPr>
                <w:rFonts w:eastAsia="Calibri"/>
              </w:rPr>
            </w:pPr>
            <w:r w:rsidRPr="00627DBD">
              <w:rPr>
                <w:rFonts w:eastAsia="Calibri"/>
              </w:rPr>
              <w:t>12.2. Sutartis taip pat gali būti nutraukta raštišku Šalių sutarimu.</w:t>
            </w:r>
          </w:p>
          <w:p w14:paraId="63D2EF78" w14:textId="77777777" w:rsidR="00627DBD" w:rsidRPr="00627DBD" w:rsidRDefault="00627DBD" w:rsidP="00627DBD">
            <w:pPr>
              <w:ind w:left="739" w:hanging="709"/>
              <w:contextualSpacing/>
              <w:jc w:val="both"/>
              <w:rPr>
                <w:rFonts w:eastAsia="Calibri"/>
              </w:rPr>
            </w:pPr>
            <w:r w:rsidRPr="00627DBD">
              <w:rPr>
                <w:rFonts w:eastAsia="Calibri"/>
              </w:rPr>
              <w:t>12.3. Bet kuri Sutarties šalis vienašališkai gali nutraukti Sutartį, jei nenugalimos jėgos aplinkybės trunka ilgiau nei 30 d.</w:t>
            </w:r>
          </w:p>
        </w:tc>
      </w:tr>
      <w:tr w:rsidR="00627DBD" w:rsidRPr="00627DBD" w14:paraId="44D7BB0C" w14:textId="77777777" w:rsidTr="000B4DF9">
        <w:trPr>
          <w:trHeight w:val="408"/>
        </w:trPr>
        <w:tc>
          <w:tcPr>
            <w:tcW w:w="9766" w:type="dxa"/>
            <w:gridSpan w:val="3"/>
          </w:tcPr>
          <w:p w14:paraId="762D4E6A"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t>Kitos sąlygos:</w:t>
            </w:r>
          </w:p>
          <w:p w14:paraId="43262D8C" w14:textId="77777777" w:rsidR="00627DBD" w:rsidRPr="00627DBD" w:rsidRDefault="00627DBD" w:rsidP="00627DBD">
            <w:pPr>
              <w:ind w:left="459" w:hanging="429"/>
              <w:contextualSpacing/>
              <w:jc w:val="both"/>
              <w:rPr>
                <w:rFonts w:eastAsia="Calibri"/>
              </w:rPr>
            </w:pPr>
            <w:r w:rsidRPr="00627DBD">
              <w:rPr>
                <w:rFonts w:eastAsia="Calibri"/>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AAE2336" w14:textId="77777777" w:rsidR="00627DBD" w:rsidRPr="00627DBD" w:rsidRDefault="00627DBD" w:rsidP="00627DBD">
            <w:pPr>
              <w:ind w:left="459" w:hanging="429"/>
              <w:contextualSpacing/>
              <w:jc w:val="both"/>
              <w:rPr>
                <w:rFonts w:eastAsia="Calibri"/>
              </w:rPr>
            </w:pPr>
            <w:r w:rsidRPr="00627DBD">
              <w:rPr>
                <w:rFonts w:eastAsia="Calibri"/>
              </w:rPr>
              <w:t>13.2. Pirkėjas turi teisę bet kuriuo metu pareikalauti Pardavėjo per 10 dienų pateikti pagrindžiančius dokumentus, nurodytus Viešųjų pirkimų įstatymo 51 straipsnio 12 dalyje, kad nėra sąlygų, numatytų Viešųjų pirkimų įstatymo 45 straipsnio 2</w:t>
            </w:r>
            <w:r w:rsidRPr="00627DBD">
              <w:rPr>
                <w:rFonts w:eastAsia="Calibri"/>
                <w:vertAlign w:val="superscript"/>
              </w:rPr>
              <w:t>1</w:t>
            </w:r>
            <w:r w:rsidRPr="00627DBD">
              <w:rPr>
                <w:rFonts w:eastAsia="Calibri"/>
              </w:rPr>
              <w:t xml:space="preserve"> dalyje ar Viešųjų pirkimų, atliekamų gynybos ir saugumo srityje, įstatymo 33 straipsnio 9 dalyje. </w:t>
            </w:r>
          </w:p>
          <w:p w14:paraId="75898FCD" w14:textId="77777777" w:rsidR="00627DBD" w:rsidRPr="00627DBD" w:rsidRDefault="00627DBD" w:rsidP="00627DBD">
            <w:pPr>
              <w:ind w:left="430" w:hanging="429"/>
              <w:contextualSpacing/>
              <w:jc w:val="both"/>
              <w:rPr>
                <w:rFonts w:eastAsia="Calibri"/>
              </w:rPr>
            </w:pPr>
            <w:r w:rsidRPr="00627DBD">
              <w:rPr>
                <w:rFonts w:eastAsia="Calibri"/>
              </w:rPr>
              <w:t xml:space="preserve">13.3. </w:t>
            </w:r>
            <w:r w:rsidRPr="00627DBD">
              <w:rPr>
                <w:rFonts w:eastAsia="Calibri"/>
                <w:bCs/>
              </w:rPr>
              <w:t>Pirkėjui</w:t>
            </w:r>
            <w:r w:rsidRPr="00627DBD">
              <w:rPr>
                <w:rFonts w:eastAsia="Calibri"/>
              </w:rPr>
              <w:t xml:space="preserve"> pareikalavus, </w:t>
            </w:r>
            <w:r w:rsidRPr="00627DBD">
              <w:rPr>
                <w:rFonts w:eastAsia="Calibri"/>
                <w:bCs/>
              </w:rPr>
              <w:t>Pardavėjas</w:t>
            </w:r>
            <w:r w:rsidRPr="00627DBD">
              <w:rPr>
                <w:rFonts w:eastAsia="Calibri"/>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395EACBA" w14:textId="77777777" w:rsidR="00627DBD" w:rsidRPr="00627DBD" w:rsidRDefault="00627DBD" w:rsidP="00627DBD">
            <w:pPr>
              <w:ind w:left="459" w:hanging="429"/>
              <w:contextualSpacing/>
              <w:jc w:val="both"/>
              <w:rPr>
                <w:rFonts w:eastAsia="Calibri"/>
              </w:rPr>
            </w:pPr>
            <w:r w:rsidRPr="00627DBD">
              <w:rPr>
                <w:rFonts w:eastAsia="Calibri"/>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0151BCA" w14:textId="3CD00186" w:rsidR="00627DBD" w:rsidRPr="00627DBD" w:rsidRDefault="00627DBD" w:rsidP="0044514A">
            <w:pPr>
              <w:ind w:left="459" w:hanging="429"/>
              <w:contextualSpacing/>
              <w:jc w:val="both"/>
              <w:rPr>
                <w:rFonts w:eastAsia="Calibri"/>
              </w:rPr>
            </w:pPr>
            <w:r w:rsidRPr="00627DBD">
              <w:rPr>
                <w:rFonts w:eastAsia="Calibri"/>
              </w:rPr>
              <w:t>13.5. Sutartis įsigalio</w:t>
            </w:r>
            <w:r w:rsidR="0044514A" w:rsidRPr="0044514A">
              <w:rPr>
                <w:rFonts w:eastAsia="Calibri"/>
              </w:rPr>
              <w:t>ja nuo jos pasirašymo momento iki</w:t>
            </w:r>
            <w:r w:rsidRPr="00627DBD">
              <w:rPr>
                <w:rFonts w:eastAsia="Calibri"/>
              </w:rPr>
              <w:t xml:space="preserve"> </w:t>
            </w:r>
            <w:r w:rsidR="002B63AA">
              <w:rPr>
                <w:rFonts w:eastAsia="Calibri"/>
              </w:rPr>
              <w:t>2026-11</w:t>
            </w:r>
            <w:r w:rsidR="0044514A" w:rsidRPr="0044514A">
              <w:rPr>
                <w:rFonts w:eastAsia="Calibri"/>
              </w:rPr>
              <w:t>-01</w:t>
            </w:r>
            <w:r w:rsidRPr="00627DBD">
              <w:rPr>
                <w:rFonts w:eastAsia="Calibri"/>
              </w:rPr>
              <w:t xml:space="preserve">  arba iki visiško finansinių įsipareigojimų įvykdymo.</w:t>
            </w:r>
          </w:p>
        </w:tc>
      </w:tr>
      <w:tr w:rsidR="00627DBD" w:rsidRPr="00627DBD" w14:paraId="28076963" w14:textId="77777777" w:rsidTr="000B4DF9">
        <w:trPr>
          <w:trHeight w:val="273"/>
        </w:trPr>
        <w:tc>
          <w:tcPr>
            <w:tcW w:w="9766" w:type="dxa"/>
            <w:gridSpan w:val="3"/>
          </w:tcPr>
          <w:p w14:paraId="232F8AB6" w14:textId="77777777" w:rsidR="00627DBD" w:rsidRPr="00627DBD" w:rsidRDefault="00627DBD" w:rsidP="00627DBD">
            <w:pPr>
              <w:numPr>
                <w:ilvl w:val="0"/>
                <w:numId w:val="45"/>
              </w:numPr>
              <w:ind w:left="318" w:hanging="318"/>
              <w:contextualSpacing/>
              <w:jc w:val="both"/>
              <w:rPr>
                <w:rFonts w:eastAsia="Calibri"/>
                <w:b/>
              </w:rPr>
            </w:pPr>
            <w:r w:rsidRPr="00627DBD">
              <w:rPr>
                <w:rFonts w:eastAsia="Calibri"/>
              </w:rPr>
              <w:t xml:space="preserve"> </w:t>
            </w:r>
            <w:r w:rsidRPr="00627DBD">
              <w:rPr>
                <w:rFonts w:eastAsia="Calibri"/>
                <w:b/>
              </w:rPr>
              <w:t>Kontaktiniai asmenys, kurie atsakingi už susirašinėjimą tarp Šalių ir Sutarties vykdymą:</w:t>
            </w:r>
          </w:p>
          <w:p w14:paraId="71E936F0" w14:textId="77777777" w:rsidR="00627DBD" w:rsidRPr="00627DBD" w:rsidRDefault="00627DBD" w:rsidP="00627DBD">
            <w:pPr>
              <w:numPr>
                <w:ilvl w:val="1"/>
                <w:numId w:val="45"/>
              </w:numPr>
              <w:ind w:hanging="717"/>
              <w:contextualSpacing/>
              <w:jc w:val="both"/>
              <w:rPr>
                <w:rFonts w:eastAsia="Calibri"/>
              </w:rPr>
            </w:pPr>
            <w:r w:rsidRPr="00627DBD">
              <w:rPr>
                <w:rFonts w:eastAsia="Calibri"/>
                <w:b/>
              </w:rPr>
              <w:t>Pirkėjo</w:t>
            </w:r>
            <w:r w:rsidRPr="00627DBD">
              <w:rPr>
                <w:rFonts w:eastAsia="Calibri"/>
              </w:rPr>
              <w:t xml:space="preserve">  –    atstovas              el. p. ..............................   . Tel. +370 .......................</w:t>
            </w:r>
          </w:p>
          <w:p w14:paraId="1AED98B0" w14:textId="77777777" w:rsidR="00627DBD" w:rsidRPr="00627DBD" w:rsidRDefault="00627DBD" w:rsidP="00627DBD">
            <w:pPr>
              <w:numPr>
                <w:ilvl w:val="1"/>
                <w:numId w:val="45"/>
              </w:numPr>
              <w:ind w:hanging="717"/>
              <w:contextualSpacing/>
              <w:jc w:val="both"/>
              <w:rPr>
                <w:rFonts w:eastAsia="Calibri"/>
              </w:rPr>
            </w:pPr>
            <w:r w:rsidRPr="00627DBD">
              <w:rPr>
                <w:rFonts w:eastAsia="Calibri"/>
                <w:b/>
              </w:rPr>
              <w:t xml:space="preserve">Pardavėjo </w:t>
            </w:r>
            <w:r w:rsidRPr="00627DBD">
              <w:rPr>
                <w:rFonts w:eastAsia="Calibri"/>
              </w:rPr>
              <w:t>–  atstovas              el. p. ..............................   . Tel. +370 .......................</w:t>
            </w:r>
          </w:p>
        </w:tc>
      </w:tr>
      <w:tr w:rsidR="00627DBD" w:rsidRPr="00627DBD" w14:paraId="18D7D5C8" w14:textId="77777777" w:rsidTr="000B4DF9">
        <w:trPr>
          <w:trHeight w:val="56"/>
        </w:trPr>
        <w:tc>
          <w:tcPr>
            <w:tcW w:w="9766" w:type="dxa"/>
            <w:gridSpan w:val="3"/>
          </w:tcPr>
          <w:p w14:paraId="3F62BF73" w14:textId="77777777" w:rsidR="00627DBD" w:rsidRPr="00627DBD" w:rsidRDefault="00627DBD" w:rsidP="00627DBD">
            <w:pPr>
              <w:numPr>
                <w:ilvl w:val="0"/>
                <w:numId w:val="45"/>
              </w:numPr>
              <w:ind w:left="315" w:hanging="285"/>
              <w:contextualSpacing/>
              <w:jc w:val="both"/>
              <w:rPr>
                <w:rFonts w:eastAsia="Calibri"/>
                <w:b/>
              </w:rPr>
            </w:pPr>
            <w:r w:rsidRPr="00627DBD">
              <w:rPr>
                <w:rFonts w:eastAsia="Calibri"/>
                <w:b/>
              </w:rPr>
              <w:t>Sutarties priedai:</w:t>
            </w:r>
          </w:p>
          <w:p w14:paraId="4A57795E" w14:textId="77777777" w:rsidR="00627DBD" w:rsidRPr="00627DBD" w:rsidRDefault="00627DBD" w:rsidP="00627DBD">
            <w:pPr>
              <w:numPr>
                <w:ilvl w:val="1"/>
                <w:numId w:val="45"/>
              </w:numPr>
              <w:tabs>
                <w:tab w:val="left" w:pos="599"/>
              </w:tabs>
              <w:ind w:left="430"/>
              <w:contextualSpacing/>
              <w:jc w:val="both"/>
              <w:rPr>
                <w:rFonts w:eastAsia="Calibri"/>
              </w:rPr>
            </w:pPr>
            <w:r w:rsidRPr="00627DBD">
              <w:rPr>
                <w:szCs w:val="28"/>
              </w:rPr>
              <w:t>Supaprastintos paslaugų viešojo pirkimo–pardavimo sutarties 1 priedas</w:t>
            </w:r>
          </w:p>
        </w:tc>
      </w:tr>
      <w:tr w:rsidR="00627DBD" w:rsidRPr="00627DBD" w14:paraId="442511D4" w14:textId="77777777" w:rsidTr="000B4DF9">
        <w:trPr>
          <w:gridAfter w:val="1"/>
          <w:wAfter w:w="11" w:type="dxa"/>
          <w:trHeight w:val="1550"/>
        </w:trPr>
        <w:tc>
          <w:tcPr>
            <w:tcW w:w="9755" w:type="dxa"/>
            <w:gridSpan w:val="2"/>
          </w:tcPr>
          <w:p w14:paraId="2B3109D6" w14:textId="77777777" w:rsidR="00627DBD" w:rsidRPr="00627DBD" w:rsidRDefault="00627DBD" w:rsidP="00627DBD">
            <w:pPr>
              <w:numPr>
                <w:ilvl w:val="0"/>
                <w:numId w:val="45"/>
              </w:numPr>
              <w:tabs>
                <w:tab w:val="left" w:pos="457"/>
              </w:tabs>
              <w:ind w:left="32" w:hanging="2"/>
              <w:contextualSpacing/>
              <w:jc w:val="both"/>
              <w:rPr>
                <w:rFonts w:eastAsia="Calibri"/>
                <w:b/>
              </w:rPr>
            </w:pPr>
            <w:r w:rsidRPr="00627DBD">
              <w:rPr>
                <w:rFonts w:eastAsia="Calibri"/>
                <w:b/>
              </w:rPr>
              <w:t>Sutarties Šalių parašai ir rekvizitai:</w:t>
            </w:r>
          </w:p>
          <w:p w14:paraId="135328B7" w14:textId="77777777" w:rsidR="00627DBD" w:rsidRPr="00627DBD" w:rsidRDefault="00627DBD" w:rsidP="00627DBD">
            <w:pPr>
              <w:jc w:val="both"/>
              <w:rPr>
                <w:rFonts w:eastAsia="Calibri"/>
                <w:b/>
              </w:rPr>
            </w:pPr>
            <w:r w:rsidRPr="00627DBD">
              <w:rPr>
                <w:rFonts w:eastAsia="Calibri"/>
                <w:b/>
              </w:rPr>
              <w:t xml:space="preserve">16.1. Pirkėjas                                                                                   </w:t>
            </w:r>
          </w:p>
          <w:p w14:paraId="784DC360" w14:textId="77777777" w:rsidR="00627DBD" w:rsidRPr="00627DBD" w:rsidRDefault="00627DBD" w:rsidP="00627DBD">
            <w:pPr>
              <w:rPr>
                <w:b/>
              </w:rPr>
            </w:pPr>
            <w:r w:rsidRPr="00627DBD">
              <w:rPr>
                <w:rFonts w:eastAsia="Arial"/>
                <w:b/>
                <w:lang w:eastAsia="ar-SA"/>
              </w:rPr>
              <w:t xml:space="preserve">Lietuvos kariuomenės </w:t>
            </w:r>
            <w:r w:rsidRPr="00627DBD">
              <w:rPr>
                <w:rFonts w:eastAsia="PMingLiU"/>
                <w:b/>
              </w:rPr>
              <w:t xml:space="preserve">Lietuvos didžiojo etmono Kristupo Radvilos </w:t>
            </w:r>
          </w:p>
          <w:p w14:paraId="5A4D4457" w14:textId="77777777" w:rsidR="00627DBD" w:rsidRPr="00627DBD" w:rsidRDefault="00627DBD" w:rsidP="00627DBD">
            <w:pPr>
              <w:rPr>
                <w:b/>
                <w:lang w:eastAsia="lt-LT"/>
              </w:rPr>
            </w:pPr>
            <w:r w:rsidRPr="00627DBD">
              <w:rPr>
                <w:rFonts w:eastAsia="PMingLiU"/>
                <w:b/>
              </w:rPr>
              <w:t>Perkūno ryšių ir informacinių sistemų</w:t>
            </w:r>
            <w:r w:rsidRPr="00627DBD">
              <w:rPr>
                <w:b/>
                <w:lang w:eastAsia="lt-LT"/>
              </w:rPr>
              <w:t xml:space="preserve"> batalionas                                                                            </w:t>
            </w:r>
          </w:p>
          <w:p w14:paraId="6143B138" w14:textId="77777777" w:rsidR="00627DBD" w:rsidRPr="00627DBD" w:rsidRDefault="00627DBD" w:rsidP="00627DBD">
            <w:pPr>
              <w:rPr>
                <w:b/>
                <w:lang w:eastAsia="lt-LT"/>
              </w:rPr>
            </w:pPr>
            <w:r w:rsidRPr="00627DBD">
              <w:rPr>
                <w:b/>
                <w:lang w:eastAsia="lt-LT"/>
              </w:rPr>
              <w:t xml:space="preserve">J. Kairiūkščio g. 14,                                                                         </w:t>
            </w:r>
          </w:p>
          <w:p w14:paraId="7CF29598" w14:textId="77777777" w:rsidR="00627DBD" w:rsidRPr="00627DBD" w:rsidRDefault="00627DBD" w:rsidP="00627DBD">
            <w:pPr>
              <w:rPr>
                <w:lang w:eastAsia="lt-LT"/>
              </w:rPr>
            </w:pPr>
            <w:r w:rsidRPr="00627DBD">
              <w:rPr>
                <w:b/>
                <w:lang w:eastAsia="lt-LT"/>
              </w:rPr>
              <w:t xml:space="preserve">Vilnius, </w:t>
            </w:r>
            <w:r w:rsidRPr="00627DBD">
              <w:rPr>
                <w:lang w:eastAsia="lt-LT"/>
              </w:rPr>
              <w:t xml:space="preserve">LT-08409                                                                            </w:t>
            </w:r>
          </w:p>
          <w:p w14:paraId="0161E9C6" w14:textId="77777777" w:rsidR="00627DBD" w:rsidRPr="00627DBD" w:rsidRDefault="00627DBD" w:rsidP="00627DBD">
            <w:pPr>
              <w:rPr>
                <w:lang w:eastAsia="lt-LT"/>
              </w:rPr>
            </w:pPr>
            <w:r w:rsidRPr="00627DBD">
              <w:rPr>
                <w:lang w:eastAsia="lt-LT"/>
              </w:rPr>
              <w:lastRenderedPageBreak/>
              <w:t xml:space="preserve">Įmonės kodas 304980697                                                                  </w:t>
            </w:r>
          </w:p>
          <w:p w14:paraId="245206A8" w14:textId="6EFBAC6F" w:rsidR="00627DBD" w:rsidRPr="00627DBD" w:rsidRDefault="00D142BB" w:rsidP="00627DBD">
            <w:pPr>
              <w:rPr>
                <w:lang w:eastAsia="lt-LT"/>
              </w:rPr>
            </w:pPr>
            <w:r>
              <w:rPr>
                <w:lang w:eastAsia="lt-LT"/>
              </w:rPr>
              <w:t>Tel.: +370 70679948</w:t>
            </w:r>
            <w:r w:rsidR="00627DBD" w:rsidRPr="00627DBD">
              <w:rPr>
                <w:lang w:eastAsia="lt-LT"/>
              </w:rPr>
              <w:t xml:space="preserve">                                                                        </w:t>
            </w:r>
          </w:p>
          <w:p w14:paraId="79D61792" w14:textId="77777777" w:rsidR="00627DBD" w:rsidRPr="00627DBD" w:rsidRDefault="00627DBD" w:rsidP="00627DBD">
            <w:pPr>
              <w:rPr>
                <w:lang w:eastAsia="lt-LT"/>
              </w:rPr>
            </w:pPr>
            <w:r w:rsidRPr="00627DBD">
              <w:rPr>
                <w:lang w:eastAsia="lt-LT"/>
              </w:rPr>
              <w:t xml:space="preserve">                                                                                                           </w:t>
            </w:r>
          </w:p>
          <w:p w14:paraId="25533EC1" w14:textId="77777777" w:rsidR="00627DBD" w:rsidRPr="00627DBD" w:rsidRDefault="00627DBD" w:rsidP="00627DBD">
            <w:pPr>
              <w:rPr>
                <w:rFonts w:eastAsia="Calibri"/>
                <w:b/>
              </w:rPr>
            </w:pPr>
            <w:r w:rsidRPr="00627DBD">
              <w:rPr>
                <w:rFonts w:eastAsia="Calibri"/>
                <w:b/>
              </w:rPr>
              <w:t xml:space="preserve">16.2. Mokėtojas </w:t>
            </w:r>
          </w:p>
          <w:p w14:paraId="059B33FB" w14:textId="77777777" w:rsidR="00627DBD" w:rsidRPr="00627DBD" w:rsidRDefault="00627DBD" w:rsidP="00627DBD">
            <w:pPr>
              <w:rPr>
                <w:rFonts w:eastAsia="Calibri"/>
                <w:b/>
              </w:rPr>
            </w:pPr>
            <w:r w:rsidRPr="00627DBD">
              <w:rPr>
                <w:rFonts w:eastAsia="Calibri"/>
                <w:b/>
              </w:rPr>
              <w:t>Lietuvos kariuomenė</w:t>
            </w:r>
          </w:p>
          <w:p w14:paraId="2E25CAB3" w14:textId="77777777" w:rsidR="00627DBD" w:rsidRPr="00627DBD" w:rsidRDefault="00627DBD" w:rsidP="00627DBD">
            <w:pPr>
              <w:rPr>
                <w:rFonts w:eastAsia="Calibri"/>
                <w:b/>
              </w:rPr>
            </w:pPr>
            <w:r w:rsidRPr="00627DBD">
              <w:rPr>
                <w:rFonts w:eastAsia="Calibri"/>
                <w:b/>
              </w:rPr>
              <w:t xml:space="preserve">Įmonės kodas: </w:t>
            </w:r>
            <w:r w:rsidRPr="00627DBD">
              <w:rPr>
                <w:rFonts w:eastAsia="Calibri"/>
              </w:rPr>
              <w:t>188732677,</w:t>
            </w:r>
            <w:r w:rsidRPr="00627DBD">
              <w:rPr>
                <w:rFonts w:eastAsia="Calibri"/>
                <w:b/>
              </w:rPr>
              <w:t xml:space="preserve"> </w:t>
            </w:r>
          </w:p>
          <w:p w14:paraId="7ADDF670" w14:textId="77777777" w:rsidR="00627DBD" w:rsidRPr="00627DBD" w:rsidRDefault="00627DBD" w:rsidP="00627DBD">
            <w:pPr>
              <w:rPr>
                <w:rFonts w:eastAsia="Calibri"/>
                <w:b/>
              </w:rPr>
            </w:pPr>
            <w:r w:rsidRPr="00627DBD">
              <w:rPr>
                <w:rFonts w:eastAsia="Calibri"/>
                <w:b/>
              </w:rPr>
              <w:t xml:space="preserve">PVM mokėtojo kodas </w:t>
            </w:r>
            <w:r w:rsidRPr="00627DBD">
              <w:rPr>
                <w:rFonts w:eastAsia="Calibri"/>
              </w:rPr>
              <w:t>LT887326716</w:t>
            </w:r>
          </w:p>
          <w:p w14:paraId="3044167B" w14:textId="77777777" w:rsidR="00627DBD" w:rsidRPr="00627DBD" w:rsidRDefault="00627DBD" w:rsidP="00627DBD">
            <w:pPr>
              <w:rPr>
                <w:rFonts w:eastAsia="Calibri"/>
                <w:b/>
              </w:rPr>
            </w:pPr>
            <w:r w:rsidRPr="00627DBD">
              <w:rPr>
                <w:rFonts w:eastAsia="Calibri"/>
                <w:b/>
              </w:rPr>
              <w:t xml:space="preserve">Adresas: </w:t>
            </w:r>
            <w:r w:rsidRPr="00627DBD">
              <w:rPr>
                <w:rFonts w:eastAsia="Calibri"/>
              </w:rPr>
              <w:t>Šv. Ignoto 8/29, LT-01120, Vilnius</w:t>
            </w:r>
            <w:r w:rsidRPr="00627DBD">
              <w:rPr>
                <w:rFonts w:eastAsia="Calibri"/>
                <w:b/>
              </w:rPr>
              <w:t xml:space="preserve"> </w:t>
            </w:r>
          </w:p>
          <w:p w14:paraId="3F1F46D3" w14:textId="77777777" w:rsidR="00627DBD" w:rsidRPr="00627DBD" w:rsidRDefault="00627DBD" w:rsidP="00627DBD">
            <w:pPr>
              <w:rPr>
                <w:rFonts w:eastAsia="Calibri"/>
                <w:b/>
              </w:rPr>
            </w:pPr>
            <w:r w:rsidRPr="00627DBD">
              <w:rPr>
                <w:rFonts w:eastAsia="Calibri"/>
                <w:b/>
              </w:rPr>
              <w:t xml:space="preserve">AB bankas „Swedbank“ </w:t>
            </w:r>
          </w:p>
          <w:p w14:paraId="2DECD3D6" w14:textId="77777777" w:rsidR="00627DBD" w:rsidRPr="00627DBD" w:rsidRDefault="00627DBD" w:rsidP="00627DBD">
            <w:pPr>
              <w:rPr>
                <w:rFonts w:eastAsia="Calibri"/>
              </w:rPr>
            </w:pPr>
            <w:r w:rsidRPr="00627DBD">
              <w:rPr>
                <w:rFonts w:eastAsia="Calibri"/>
                <w:b/>
              </w:rPr>
              <w:t xml:space="preserve">a/s </w:t>
            </w:r>
            <w:r w:rsidRPr="00627DBD">
              <w:rPr>
                <w:rFonts w:eastAsia="Calibri"/>
              </w:rPr>
              <w:t>LT48 7300 0100 0246 0179</w:t>
            </w:r>
          </w:p>
          <w:p w14:paraId="718781A5" w14:textId="77777777" w:rsidR="00627DBD" w:rsidRPr="00627DBD" w:rsidRDefault="00627DBD" w:rsidP="00627DBD">
            <w:pPr>
              <w:rPr>
                <w:rFonts w:eastAsia="Calibri"/>
                <w:b/>
              </w:rPr>
            </w:pPr>
          </w:p>
          <w:p w14:paraId="76858D06" w14:textId="77777777" w:rsidR="00627DBD" w:rsidRPr="00627DBD" w:rsidRDefault="00627DBD" w:rsidP="00627DBD">
            <w:pPr>
              <w:rPr>
                <w:rFonts w:eastAsia="Calibri"/>
                <w:b/>
              </w:rPr>
            </w:pPr>
          </w:p>
          <w:p w14:paraId="7C802992" w14:textId="77777777" w:rsidR="00627DBD" w:rsidRPr="00627DBD" w:rsidRDefault="00627DBD" w:rsidP="00627DBD">
            <w:pPr>
              <w:tabs>
                <w:tab w:val="left" w:pos="457"/>
              </w:tabs>
              <w:rPr>
                <w:rFonts w:eastAsia="Calibri"/>
                <w:b/>
              </w:rPr>
            </w:pPr>
            <w:r w:rsidRPr="00627DBD">
              <w:rPr>
                <w:rFonts w:eastAsia="Calibri"/>
                <w:b/>
              </w:rPr>
              <w:t>16.3.</w:t>
            </w:r>
            <w:r w:rsidRPr="00627DBD">
              <w:rPr>
                <w:rFonts w:eastAsia="Calibri"/>
                <w:b/>
              </w:rPr>
              <w:tab/>
              <w:t>Pardavėjas</w:t>
            </w:r>
          </w:p>
          <w:p w14:paraId="5BC7B2C2" w14:textId="77777777" w:rsidR="00627DBD" w:rsidRPr="00627DBD" w:rsidRDefault="00627DBD" w:rsidP="00627DBD">
            <w:r w:rsidRPr="00627DBD">
              <w:t>UAB „..............“</w:t>
            </w:r>
          </w:p>
          <w:p w14:paraId="1721ABE6" w14:textId="77777777" w:rsidR="00627DBD" w:rsidRPr="00627DBD" w:rsidRDefault="00627DBD" w:rsidP="00627DBD">
            <w:r w:rsidRPr="00627DBD">
              <w:t xml:space="preserve">..................... g. ..., </w:t>
            </w:r>
          </w:p>
          <w:p w14:paraId="01CC4DDB" w14:textId="77777777" w:rsidR="00627DBD" w:rsidRPr="00627DBD" w:rsidRDefault="00627DBD" w:rsidP="00627DBD">
            <w:pPr>
              <w:rPr>
                <w:rFonts w:eastAsia="Calibri"/>
                <w:b/>
              </w:rPr>
            </w:pPr>
            <w:r w:rsidRPr="00627DBD">
              <w:t>LT-.............. (miestas)</w:t>
            </w:r>
            <w:r w:rsidRPr="00627DBD">
              <w:rPr>
                <w:rFonts w:eastAsia="Calibri"/>
                <w:b/>
              </w:rPr>
              <w:t xml:space="preserve"> </w:t>
            </w:r>
          </w:p>
          <w:p w14:paraId="15D37FFC" w14:textId="77777777" w:rsidR="00627DBD" w:rsidRPr="00627DBD" w:rsidRDefault="00627DBD" w:rsidP="00627DBD">
            <w:r w:rsidRPr="00627DBD">
              <w:rPr>
                <w:rFonts w:eastAsia="Calibri"/>
                <w:b/>
              </w:rPr>
              <w:t xml:space="preserve">Įmonės kodas </w:t>
            </w:r>
            <w:r w:rsidRPr="00627DBD">
              <w:t>...................</w:t>
            </w:r>
            <w:r w:rsidRPr="00627DBD">
              <w:rPr>
                <w:rFonts w:eastAsia="Calibri"/>
                <w:b/>
              </w:rPr>
              <w:t xml:space="preserve"> </w:t>
            </w:r>
          </w:p>
          <w:p w14:paraId="6DE1AD94" w14:textId="77777777" w:rsidR="00627DBD" w:rsidRPr="00627DBD" w:rsidRDefault="00627DBD" w:rsidP="00627DBD">
            <w:pPr>
              <w:rPr>
                <w:rFonts w:eastAsia="Calibri"/>
                <w:b/>
              </w:rPr>
            </w:pPr>
            <w:r w:rsidRPr="00627DBD">
              <w:rPr>
                <w:rFonts w:eastAsia="Calibri"/>
                <w:b/>
              </w:rPr>
              <w:t xml:space="preserve">Mokėtojo kodas </w:t>
            </w:r>
            <w:r w:rsidRPr="00627DBD">
              <w:t>LT......................</w:t>
            </w:r>
          </w:p>
          <w:p w14:paraId="05CCFF1B" w14:textId="77777777" w:rsidR="00627DBD" w:rsidRPr="00627DBD" w:rsidRDefault="00627DBD" w:rsidP="00627DBD">
            <w:pPr>
              <w:rPr>
                <w:rFonts w:eastAsia="Calibri"/>
                <w:b/>
              </w:rPr>
            </w:pPr>
            <w:r w:rsidRPr="00627DBD">
              <w:rPr>
                <w:rFonts w:eastAsia="Calibri"/>
                <w:b/>
              </w:rPr>
              <w:t xml:space="preserve">AB bankas „...............“ </w:t>
            </w:r>
          </w:p>
          <w:p w14:paraId="2463577F" w14:textId="77777777" w:rsidR="00627DBD" w:rsidRPr="00627DBD" w:rsidRDefault="00627DBD" w:rsidP="00627DBD">
            <w:r w:rsidRPr="00627DBD">
              <w:rPr>
                <w:rFonts w:eastAsia="Calibri"/>
              </w:rPr>
              <w:t xml:space="preserve">a/s </w:t>
            </w:r>
            <w:r w:rsidRPr="00627DBD">
              <w:t>LT..............................</w:t>
            </w:r>
            <w:r w:rsidRPr="00627DBD">
              <w:rPr>
                <w:rFonts w:eastAsia="Calibri"/>
              </w:rPr>
              <w:t xml:space="preserve">                                                          </w:t>
            </w:r>
          </w:p>
          <w:p w14:paraId="12206ED1" w14:textId="77777777" w:rsidR="00627DBD" w:rsidRPr="00627DBD" w:rsidRDefault="00627DBD" w:rsidP="00627DBD">
            <w:pPr>
              <w:rPr>
                <w:rFonts w:eastAsia="Calibri"/>
                <w:b/>
              </w:rPr>
            </w:pPr>
            <w:r w:rsidRPr="00627DBD">
              <w:rPr>
                <w:rFonts w:eastAsia="Calibri"/>
                <w:b/>
              </w:rPr>
              <w:t xml:space="preserve">Tel.: </w:t>
            </w:r>
            <w:r w:rsidRPr="00627DBD">
              <w:rPr>
                <w:b/>
                <w:bCs/>
              </w:rPr>
              <w:t>+370.................</w:t>
            </w:r>
          </w:p>
          <w:p w14:paraId="01480CF0" w14:textId="77777777" w:rsidR="00627DBD" w:rsidRPr="00627DBD" w:rsidRDefault="00627DBD" w:rsidP="00627DBD">
            <w:pPr>
              <w:rPr>
                <w:rFonts w:eastAsia="Calibri"/>
                <w:b/>
              </w:rPr>
            </w:pPr>
          </w:p>
        </w:tc>
      </w:tr>
    </w:tbl>
    <w:p w14:paraId="5D29C629" w14:textId="77777777" w:rsidR="00627DBD" w:rsidRPr="00627DBD" w:rsidRDefault="00627DBD" w:rsidP="00627DBD"/>
    <w:p w14:paraId="26A3F786" w14:textId="77777777" w:rsidR="00627DBD" w:rsidRPr="00627DBD" w:rsidRDefault="00627DBD" w:rsidP="00627DBD">
      <w:pPr>
        <w:ind w:left="6480"/>
      </w:pPr>
    </w:p>
    <w:p w14:paraId="53372DA6" w14:textId="77777777" w:rsidR="00CF3C9A" w:rsidRPr="006966E2" w:rsidRDefault="00CF3C9A" w:rsidP="00CF3C9A">
      <w:pPr>
        <w:snapToGrid w:val="0"/>
        <w:jc w:val="both"/>
        <w:rPr>
          <w:b/>
        </w:rPr>
      </w:pPr>
      <w:r w:rsidRPr="006966E2">
        <w:rPr>
          <w:b/>
        </w:rPr>
        <w:t>PIRKĖJAS</w:t>
      </w:r>
      <w:r w:rsidRPr="006966E2">
        <w:rPr>
          <w:b/>
        </w:rPr>
        <w:tab/>
        <w:t xml:space="preserve">                                                                                    PARDAVĖJAS</w:t>
      </w:r>
    </w:p>
    <w:p w14:paraId="06DF1120" w14:textId="77777777" w:rsidR="00CF3C9A" w:rsidRPr="00F76D1C" w:rsidRDefault="00CF3C9A" w:rsidP="00CF3C9A">
      <w:pPr>
        <w:snapToGrid w:val="0"/>
        <w:jc w:val="both"/>
      </w:pPr>
    </w:p>
    <w:p w14:paraId="36A0A79B" w14:textId="77777777" w:rsidR="00CF3C9A" w:rsidRDefault="00CF3C9A" w:rsidP="00CF3C9A">
      <w:r w:rsidRPr="00F76D1C">
        <w:t>Lietuvos kariuomenės</w:t>
      </w:r>
      <w:r w:rsidRPr="00745502">
        <w:t xml:space="preserve"> Lietuvos didžiojo </w:t>
      </w:r>
      <w:r>
        <w:t xml:space="preserve">                                          UAB „“</w:t>
      </w:r>
    </w:p>
    <w:p w14:paraId="4C4ABAE0" w14:textId="77777777" w:rsidR="00CF3C9A" w:rsidRDefault="00CF3C9A" w:rsidP="00CF3C9A">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9F00DD9" w14:textId="77777777" w:rsidR="00CF3C9A" w:rsidRDefault="00CF3C9A" w:rsidP="00CF3C9A">
      <w:r>
        <w:t xml:space="preserve">ryšių ir informacinių sistemų                                                              </w:t>
      </w:r>
    </w:p>
    <w:p w14:paraId="39501BF1" w14:textId="75FF937B" w:rsidR="00CF3C9A" w:rsidRDefault="00D142BB" w:rsidP="00CF3C9A">
      <w:r>
        <w:t>bataliono vadas</w:t>
      </w:r>
      <w:r w:rsidR="00CF3C9A">
        <w:t xml:space="preserve">                                                                                     </w:t>
      </w:r>
    </w:p>
    <w:p w14:paraId="514CCBC9" w14:textId="77777777" w:rsidR="00CF3C9A" w:rsidRDefault="00CF3C9A" w:rsidP="00CF3C9A"/>
    <w:p w14:paraId="0A32B2B1" w14:textId="77777777" w:rsidR="00CF3C9A" w:rsidRPr="00F76D1C" w:rsidRDefault="00CF3C9A" w:rsidP="00CF3C9A">
      <w:r>
        <w:t xml:space="preserve">  </w:t>
      </w:r>
      <w:r>
        <w:tab/>
      </w:r>
      <w:r>
        <w:tab/>
      </w:r>
      <w:r>
        <w:tab/>
      </w:r>
      <w:r>
        <w:tab/>
      </w:r>
      <w:r>
        <w:tab/>
      </w:r>
      <w:r>
        <w:tab/>
      </w:r>
    </w:p>
    <w:p w14:paraId="55FDED84" w14:textId="77777777" w:rsidR="00CF3C9A" w:rsidRPr="00FA660B" w:rsidRDefault="00CF3C9A" w:rsidP="00CF3C9A">
      <w:pPr>
        <w:tabs>
          <w:tab w:val="left" w:pos="5040"/>
        </w:tabs>
        <w:rPr>
          <w:szCs w:val="20"/>
        </w:rPr>
      </w:pPr>
      <w:r w:rsidRPr="00F76D1C">
        <w:t xml:space="preserve">A.V. </w:t>
      </w:r>
      <w:r w:rsidRPr="00F76D1C">
        <w:tab/>
      </w:r>
      <w:r>
        <w:tab/>
      </w:r>
      <w:r>
        <w:tab/>
      </w:r>
      <w:r w:rsidRPr="00F76D1C">
        <w:t>A.V.</w:t>
      </w:r>
    </w:p>
    <w:p w14:paraId="21C86D20" w14:textId="77777777" w:rsidR="00627DBD" w:rsidRPr="00627DBD" w:rsidRDefault="00627DBD" w:rsidP="00627DBD">
      <w:pPr>
        <w:ind w:left="6480"/>
      </w:pPr>
      <w:r w:rsidRPr="00627DBD">
        <w:br/>
      </w:r>
    </w:p>
    <w:p w14:paraId="210F24EA" w14:textId="77777777" w:rsidR="00627DBD" w:rsidRPr="00627DBD" w:rsidRDefault="00627DBD" w:rsidP="00627DBD">
      <w:r w:rsidRPr="00627DBD">
        <w:br w:type="page"/>
      </w:r>
    </w:p>
    <w:p w14:paraId="5D07F900" w14:textId="77777777" w:rsidR="00627DBD" w:rsidRPr="00627DBD" w:rsidRDefault="00627DBD" w:rsidP="00627DBD">
      <w:pPr>
        <w:ind w:left="6480"/>
      </w:pPr>
      <w:r w:rsidRPr="00627DBD">
        <w:lastRenderedPageBreak/>
        <w:t>Supaprastintos paslaugų viešojo pirkimo-pardavimo sutarties</w:t>
      </w:r>
    </w:p>
    <w:p w14:paraId="15E86698" w14:textId="4A60B50C" w:rsidR="00627DBD" w:rsidRPr="00627DBD" w:rsidRDefault="00D142BB" w:rsidP="00627DBD">
      <w:pPr>
        <w:ind w:left="6480"/>
      </w:pPr>
      <w:r>
        <w:t>2026</w:t>
      </w:r>
      <w:r w:rsidR="00627DBD" w:rsidRPr="00627DBD">
        <w:t xml:space="preserve"> m. ____________d. Nr.</w:t>
      </w:r>
    </w:p>
    <w:p w14:paraId="0FB496C9" w14:textId="59BF8E38" w:rsidR="00627DBD" w:rsidRDefault="00627DBD" w:rsidP="00627DBD">
      <w:pPr>
        <w:ind w:left="6480"/>
      </w:pPr>
      <w:r w:rsidRPr="00627DBD">
        <w:t xml:space="preserve">1 priedas </w:t>
      </w:r>
    </w:p>
    <w:p w14:paraId="6D3C22C4" w14:textId="136ABABD" w:rsidR="00CF3C9A" w:rsidRPr="00627DBD" w:rsidRDefault="00CF3C9A" w:rsidP="0044514A"/>
    <w:p w14:paraId="1E094E06" w14:textId="7DDB54C0" w:rsidR="00627DBD" w:rsidRDefault="00D142BB" w:rsidP="00627DBD">
      <w:pPr>
        <w:jc w:val="center"/>
        <w:rPr>
          <w:b/>
          <w:i/>
        </w:rPr>
      </w:pPr>
      <w:r>
        <w:rPr>
          <w:b/>
          <w:i/>
        </w:rPr>
        <w:t xml:space="preserve">ITIL 4 </w:t>
      </w:r>
      <w:proofErr w:type="spellStart"/>
      <w:r>
        <w:rPr>
          <w:b/>
          <w:i/>
        </w:rPr>
        <w:t>Foundation</w:t>
      </w:r>
      <w:proofErr w:type="spellEnd"/>
      <w:r>
        <w:rPr>
          <w:b/>
          <w:i/>
        </w:rPr>
        <w:t xml:space="preserve"> kurso </w:t>
      </w:r>
      <w:r w:rsidR="00CF3C9A">
        <w:rPr>
          <w:b/>
          <w:i/>
        </w:rPr>
        <w:t>t</w:t>
      </w:r>
      <w:r w:rsidR="00627DBD" w:rsidRPr="00627DBD">
        <w:rPr>
          <w:b/>
          <w:i/>
        </w:rPr>
        <w:t>echninė specifikacija</w:t>
      </w:r>
    </w:p>
    <w:p w14:paraId="757CB33C" w14:textId="77777777" w:rsidR="00CF3C9A" w:rsidRPr="00627DBD" w:rsidRDefault="00CF3C9A" w:rsidP="00627DBD">
      <w:pPr>
        <w:jc w:val="center"/>
        <w:rPr>
          <w:b/>
          <w:i/>
        </w:rPr>
      </w:pPr>
    </w:p>
    <w:p w14:paraId="66030E13" w14:textId="77777777" w:rsidR="00627DBD" w:rsidRPr="00627DBD" w:rsidRDefault="00627DBD" w:rsidP="00627DBD">
      <w:pPr>
        <w:jc w:val="center"/>
      </w:pPr>
      <w:r w:rsidRPr="00627DBD">
        <w:t>................................</w:t>
      </w:r>
    </w:p>
    <w:tbl>
      <w:tblPr>
        <w:tblW w:w="9683" w:type="dxa"/>
        <w:tblInd w:w="93" w:type="dxa"/>
        <w:tblLayout w:type="fixed"/>
        <w:tblLook w:val="04A0" w:firstRow="1" w:lastRow="0" w:firstColumn="1" w:lastColumn="0" w:noHBand="0" w:noVBand="1"/>
      </w:tblPr>
      <w:tblGrid>
        <w:gridCol w:w="724"/>
        <w:gridCol w:w="1701"/>
        <w:gridCol w:w="3856"/>
        <w:gridCol w:w="851"/>
        <w:gridCol w:w="850"/>
        <w:gridCol w:w="851"/>
        <w:gridCol w:w="850"/>
      </w:tblGrid>
      <w:tr w:rsidR="00627DBD" w:rsidRPr="00627DBD" w14:paraId="0C83373D" w14:textId="77777777" w:rsidTr="00D142BB">
        <w:trPr>
          <w:trHeight w:val="1620"/>
        </w:trPr>
        <w:tc>
          <w:tcPr>
            <w:tcW w:w="724" w:type="dxa"/>
            <w:tcBorders>
              <w:top w:val="single" w:sz="4" w:space="0" w:color="auto"/>
              <w:left w:val="single" w:sz="4" w:space="0" w:color="auto"/>
              <w:bottom w:val="single" w:sz="4" w:space="0" w:color="auto"/>
              <w:right w:val="single" w:sz="4" w:space="0" w:color="auto"/>
            </w:tcBorders>
            <w:vAlign w:val="center"/>
            <w:hideMark/>
          </w:tcPr>
          <w:p w14:paraId="1E3FDD33" w14:textId="77777777" w:rsidR="00627DBD" w:rsidRPr="00627DBD" w:rsidRDefault="00627DBD" w:rsidP="00627DBD">
            <w:pPr>
              <w:jc w:val="center"/>
            </w:pPr>
            <w:r w:rsidRPr="00627DBD">
              <w:t>Eil. Nr.</w:t>
            </w:r>
          </w:p>
        </w:tc>
        <w:tc>
          <w:tcPr>
            <w:tcW w:w="1701" w:type="dxa"/>
            <w:tcBorders>
              <w:top w:val="single" w:sz="4" w:space="0" w:color="auto"/>
              <w:left w:val="nil"/>
              <w:bottom w:val="single" w:sz="4" w:space="0" w:color="auto"/>
              <w:right w:val="single" w:sz="4" w:space="0" w:color="auto"/>
            </w:tcBorders>
            <w:vAlign w:val="center"/>
            <w:hideMark/>
          </w:tcPr>
          <w:p w14:paraId="1315AF64" w14:textId="77777777" w:rsidR="00627DBD" w:rsidRPr="00627DBD" w:rsidRDefault="00627DBD" w:rsidP="00627DBD">
            <w:pPr>
              <w:jc w:val="center"/>
            </w:pPr>
            <w:r w:rsidRPr="00627DBD">
              <w:t>Pavadinimas</w:t>
            </w:r>
          </w:p>
        </w:tc>
        <w:tc>
          <w:tcPr>
            <w:tcW w:w="3856" w:type="dxa"/>
            <w:tcBorders>
              <w:top w:val="single" w:sz="4" w:space="0" w:color="auto"/>
              <w:left w:val="nil"/>
              <w:bottom w:val="single" w:sz="4" w:space="0" w:color="auto"/>
              <w:right w:val="single" w:sz="4" w:space="0" w:color="auto"/>
            </w:tcBorders>
            <w:vAlign w:val="center"/>
            <w:hideMark/>
          </w:tcPr>
          <w:p w14:paraId="41F65C34" w14:textId="77777777" w:rsidR="00627DBD" w:rsidRPr="00627DBD" w:rsidRDefault="00627DBD" w:rsidP="00627DBD">
            <w:pPr>
              <w:jc w:val="center"/>
            </w:pPr>
            <w:r w:rsidRPr="00627DBD">
              <w:t>Techniniai reikalavimai</w:t>
            </w:r>
          </w:p>
        </w:tc>
        <w:tc>
          <w:tcPr>
            <w:tcW w:w="851" w:type="dxa"/>
            <w:tcBorders>
              <w:top w:val="single" w:sz="4" w:space="0" w:color="auto"/>
              <w:left w:val="nil"/>
              <w:bottom w:val="single" w:sz="4" w:space="0" w:color="auto"/>
              <w:right w:val="single" w:sz="4" w:space="0" w:color="auto"/>
            </w:tcBorders>
            <w:vAlign w:val="center"/>
            <w:hideMark/>
          </w:tcPr>
          <w:p w14:paraId="233C1EAB" w14:textId="77777777" w:rsidR="00627DBD" w:rsidRPr="00627DBD" w:rsidRDefault="00627DBD" w:rsidP="00627DBD">
            <w:pPr>
              <w:jc w:val="center"/>
            </w:pPr>
            <w:r w:rsidRPr="00627DBD">
              <w:t>Mato vnt.</w:t>
            </w:r>
          </w:p>
        </w:tc>
        <w:tc>
          <w:tcPr>
            <w:tcW w:w="850" w:type="dxa"/>
            <w:tcBorders>
              <w:top w:val="single" w:sz="4" w:space="0" w:color="auto"/>
              <w:left w:val="nil"/>
              <w:bottom w:val="single" w:sz="4" w:space="0" w:color="auto"/>
              <w:right w:val="single" w:sz="4" w:space="0" w:color="auto"/>
            </w:tcBorders>
            <w:vAlign w:val="center"/>
            <w:hideMark/>
          </w:tcPr>
          <w:p w14:paraId="54714F8D" w14:textId="77777777" w:rsidR="00627DBD" w:rsidRPr="00627DBD" w:rsidRDefault="00627DBD" w:rsidP="00627DBD">
            <w:pPr>
              <w:jc w:val="center"/>
            </w:pPr>
            <w:r w:rsidRPr="00627DBD">
              <w:t>Kaina</w:t>
            </w:r>
          </w:p>
          <w:p w14:paraId="1A05AE5D" w14:textId="18E53F75" w:rsidR="00627DBD" w:rsidRPr="00627DBD" w:rsidRDefault="00627DBD" w:rsidP="00CF3C9A">
            <w:pPr>
              <w:jc w:val="center"/>
            </w:pPr>
            <w:r w:rsidRPr="00627DBD">
              <w:t xml:space="preserve">Eurai  su PVM už </w:t>
            </w:r>
            <w:r w:rsidR="00CF3C9A">
              <w:t>val</w:t>
            </w:r>
            <w:r w:rsidRPr="00627DBD">
              <w:t>.</w:t>
            </w:r>
          </w:p>
        </w:tc>
        <w:tc>
          <w:tcPr>
            <w:tcW w:w="851" w:type="dxa"/>
            <w:tcBorders>
              <w:top w:val="single" w:sz="4" w:space="0" w:color="auto"/>
              <w:left w:val="nil"/>
              <w:bottom w:val="single" w:sz="4" w:space="0" w:color="auto"/>
              <w:right w:val="single" w:sz="4" w:space="0" w:color="auto"/>
            </w:tcBorders>
            <w:vAlign w:val="center"/>
          </w:tcPr>
          <w:p w14:paraId="66FEECF7" w14:textId="77777777" w:rsidR="00627DBD" w:rsidRPr="00627DBD" w:rsidRDefault="00627DBD" w:rsidP="00627DBD">
            <w:pPr>
              <w:jc w:val="center"/>
            </w:pPr>
            <w:r w:rsidRPr="00627DBD">
              <w:t>Kiekis</w:t>
            </w:r>
          </w:p>
        </w:tc>
        <w:tc>
          <w:tcPr>
            <w:tcW w:w="850" w:type="dxa"/>
            <w:tcBorders>
              <w:top w:val="single" w:sz="4" w:space="0" w:color="auto"/>
              <w:left w:val="nil"/>
              <w:bottom w:val="single" w:sz="4" w:space="0" w:color="auto"/>
              <w:right w:val="single" w:sz="4" w:space="0" w:color="auto"/>
            </w:tcBorders>
            <w:vAlign w:val="center"/>
            <w:hideMark/>
          </w:tcPr>
          <w:p w14:paraId="5CD5AEFF" w14:textId="77777777" w:rsidR="00627DBD" w:rsidRPr="00627DBD" w:rsidRDefault="00627DBD" w:rsidP="00627DBD">
            <w:pPr>
              <w:jc w:val="center"/>
            </w:pPr>
            <w:r w:rsidRPr="00627DBD">
              <w:t>Suma</w:t>
            </w:r>
          </w:p>
          <w:p w14:paraId="0CA762BA" w14:textId="77777777" w:rsidR="00627DBD" w:rsidRPr="00627DBD" w:rsidRDefault="00627DBD" w:rsidP="00627DBD">
            <w:pPr>
              <w:jc w:val="center"/>
            </w:pPr>
            <w:r w:rsidRPr="00627DBD">
              <w:t>Eurai su PVM</w:t>
            </w:r>
          </w:p>
        </w:tc>
      </w:tr>
      <w:tr w:rsidR="00627DBD" w:rsidRPr="00627DBD" w14:paraId="5F6E00A3" w14:textId="77777777" w:rsidTr="0044514A">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14:paraId="20EAE572" w14:textId="77777777" w:rsidR="00627DBD" w:rsidRPr="00627DBD" w:rsidRDefault="00627DBD" w:rsidP="00627DBD">
            <w:pPr>
              <w:jc w:val="center"/>
            </w:pPr>
            <w:r w:rsidRPr="00627DBD">
              <w:t>1</w:t>
            </w:r>
          </w:p>
        </w:tc>
        <w:tc>
          <w:tcPr>
            <w:tcW w:w="1701" w:type="dxa"/>
            <w:tcBorders>
              <w:top w:val="single" w:sz="4" w:space="0" w:color="auto"/>
              <w:left w:val="single" w:sz="4" w:space="0" w:color="auto"/>
              <w:bottom w:val="single" w:sz="4" w:space="0" w:color="auto"/>
              <w:right w:val="single" w:sz="4" w:space="0" w:color="auto"/>
            </w:tcBorders>
            <w:vAlign w:val="center"/>
          </w:tcPr>
          <w:p w14:paraId="6E71086C" w14:textId="70EF38F7" w:rsidR="00627DBD" w:rsidRPr="00627DBD" w:rsidRDefault="00D142BB" w:rsidP="00627DBD">
            <w:pPr>
              <w:jc w:val="center"/>
              <w:rPr>
                <w:color w:val="000000"/>
              </w:rPr>
            </w:pPr>
            <w:r w:rsidRPr="00D142BB">
              <w:t xml:space="preserve">ITIL 4 </w:t>
            </w:r>
            <w:proofErr w:type="spellStart"/>
            <w:r w:rsidRPr="00D142BB">
              <w:t>Foundation</w:t>
            </w:r>
            <w:proofErr w:type="spellEnd"/>
            <w:r w:rsidRPr="00D142BB">
              <w:t xml:space="preserve"> kursas + Egzaminas</w:t>
            </w:r>
          </w:p>
        </w:tc>
        <w:tc>
          <w:tcPr>
            <w:tcW w:w="3856" w:type="dxa"/>
            <w:tcBorders>
              <w:top w:val="single" w:sz="4" w:space="0" w:color="auto"/>
              <w:left w:val="single" w:sz="4" w:space="0" w:color="auto"/>
              <w:bottom w:val="single" w:sz="4" w:space="0" w:color="auto"/>
              <w:right w:val="single" w:sz="4" w:space="0" w:color="auto"/>
            </w:tcBorders>
            <w:vAlign w:val="center"/>
          </w:tcPr>
          <w:p w14:paraId="76C07E3B" w14:textId="77777777" w:rsidR="00D142BB" w:rsidRPr="00D142BB" w:rsidRDefault="00D142BB" w:rsidP="00D142BB">
            <w:pPr>
              <w:jc w:val="both"/>
              <w:rPr>
                <w:color w:val="000000"/>
              </w:rPr>
            </w:pPr>
            <w:r w:rsidRPr="00D142BB">
              <w:rPr>
                <w:color w:val="000000"/>
              </w:rPr>
              <w:t>1. Bendrieji kurso reikalavimai:</w:t>
            </w:r>
          </w:p>
          <w:p w14:paraId="51B7844F" w14:textId="77777777" w:rsidR="00D142BB" w:rsidRPr="00D142BB" w:rsidRDefault="00D142BB" w:rsidP="00D142BB">
            <w:pPr>
              <w:jc w:val="both"/>
              <w:rPr>
                <w:color w:val="000000"/>
              </w:rPr>
            </w:pPr>
            <w:r w:rsidRPr="00D142BB">
              <w:rPr>
                <w:color w:val="000000"/>
              </w:rPr>
              <w:t>1.1. Kursas turi būti pravestas auditorijoje (Vilniaus mieste) arba nuotoliniu būdu, anglų kalba;</w:t>
            </w:r>
          </w:p>
          <w:p w14:paraId="085BB3AD" w14:textId="77777777" w:rsidR="00D142BB" w:rsidRPr="00D142BB" w:rsidRDefault="00D142BB" w:rsidP="00D142BB">
            <w:pPr>
              <w:jc w:val="both"/>
              <w:rPr>
                <w:color w:val="000000"/>
              </w:rPr>
            </w:pPr>
            <w:r w:rsidRPr="00D142BB">
              <w:rPr>
                <w:color w:val="000000"/>
              </w:rPr>
              <w:t>1.2. Kursas privalo turėti baigiamąjį egzaminą.</w:t>
            </w:r>
          </w:p>
          <w:p w14:paraId="4108B9AE" w14:textId="77777777" w:rsidR="00D142BB" w:rsidRPr="00D142BB" w:rsidRDefault="00D142BB" w:rsidP="00D142BB">
            <w:pPr>
              <w:jc w:val="both"/>
              <w:rPr>
                <w:color w:val="000000"/>
              </w:rPr>
            </w:pPr>
            <w:r w:rsidRPr="00D142BB">
              <w:rPr>
                <w:color w:val="000000"/>
              </w:rPr>
              <w:t>1.3. Kursas turi būti ne trumpesnis kaip trijų dienų (ne mažiau 24 valandų, ne mažiau aštuonių</w:t>
            </w:r>
          </w:p>
          <w:p w14:paraId="06C82D25" w14:textId="77777777" w:rsidR="00D142BB" w:rsidRPr="00D142BB" w:rsidRDefault="00D142BB" w:rsidP="00D142BB">
            <w:pPr>
              <w:jc w:val="both"/>
              <w:rPr>
                <w:color w:val="000000"/>
              </w:rPr>
            </w:pPr>
            <w:r w:rsidRPr="00D142BB">
              <w:rPr>
                <w:color w:val="000000"/>
              </w:rPr>
              <w:t>valandų per dieną);</w:t>
            </w:r>
          </w:p>
          <w:p w14:paraId="48788B41" w14:textId="77777777" w:rsidR="00D142BB" w:rsidRPr="00D142BB" w:rsidRDefault="00D142BB" w:rsidP="00D142BB">
            <w:pPr>
              <w:jc w:val="both"/>
              <w:rPr>
                <w:color w:val="000000"/>
              </w:rPr>
            </w:pPr>
            <w:r w:rsidRPr="00D142BB">
              <w:rPr>
                <w:color w:val="000000"/>
              </w:rPr>
              <w:t>1.4. Kursą privalo pravesti laimėjusi įmonė, o ne tretieji asmenys;</w:t>
            </w:r>
          </w:p>
          <w:p w14:paraId="538319E6" w14:textId="77777777" w:rsidR="00D142BB" w:rsidRPr="00D142BB" w:rsidRDefault="00D142BB" w:rsidP="00D142BB">
            <w:pPr>
              <w:jc w:val="both"/>
              <w:rPr>
                <w:color w:val="000000"/>
              </w:rPr>
            </w:pPr>
            <w:r w:rsidRPr="00D142BB">
              <w:rPr>
                <w:color w:val="000000"/>
              </w:rPr>
              <w:t>1.5. Kurso dalyvių skaičius – 5;</w:t>
            </w:r>
          </w:p>
          <w:p w14:paraId="67856BDD" w14:textId="77777777" w:rsidR="00D142BB" w:rsidRPr="00D142BB" w:rsidRDefault="00D142BB" w:rsidP="00D142BB">
            <w:pPr>
              <w:jc w:val="both"/>
              <w:rPr>
                <w:color w:val="000000"/>
              </w:rPr>
            </w:pPr>
            <w:r w:rsidRPr="00D142BB">
              <w:rPr>
                <w:color w:val="000000"/>
              </w:rPr>
              <w:t>1.6. Kursas turi įvykti: 2026 m. I-III ketvirtį pagal su užsakovu suderintą grafiką.</w:t>
            </w:r>
          </w:p>
          <w:p w14:paraId="0487D8ED" w14:textId="77777777" w:rsidR="00D142BB" w:rsidRPr="00D142BB" w:rsidRDefault="00D142BB" w:rsidP="00D142BB">
            <w:pPr>
              <w:jc w:val="both"/>
              <w:rPr>
                <w:color w:val="000000"/>
              </w:rPr>
            </w:pPr>
            <w:r w:rsidRPr="00D142BB">
              <w:rPr>
                <w:color w:val="000000"/>
              </w:rPr>
              <w:t>2. Kurso teoriniai ir praktiniai reikalavimai:</w:t>
            </w:r>
          </w:p>
          <w:p w14:paraId="6A99B531" w14:textId="77777777" w:rsidR="00D142BB" w:rsidRPr="00D142BB" w:rsidRDefault="00D142BB" w:rsidP="00D142BB">
            <w:pPr>
              <w:jc w:val="both"/>
              <w:rPr>
                <w:color w:val="000000"/>
              </w:rPr>
            </w:pPr>
            <w:r w:rsidRPr="00D142BB">
              <w:rPr>
                <w:color w:val="000000"/>
              </w:rPr>
              <w:t>2.1. Kursas turi suteikti žinių ir įgūdžių IT paslaugų valdymui, kuris paremtas keturių dimensijų</w:t>
            </w:r>
          </w:p>
          <w:p w14:paraId="25C90260" w14:textId="77777777" w:rsidR="00D142BB" w:rsidRPr="00D142BB" w:rsidRDefault="00D142BB" w:rsidP="00D142BB">
            <w:pPr>
              <w:jc w:val="both"/>
              <w:rPr>
                <w:color w:val="000000"/>
              </w:rPr>
            </w:pPr>
            <w:r w:rsidRPr="00D142BB">
              <w:rPr>
                <w:color w:val="000000"/>
              </w:rPr>
              <w:t>modeliu: organizacija ir žmonės, informacija ir technologijos, partneriai ir tiekėjai, vertės</w:t>
            </w:r>
          </w:p>
          <w:p w14:paraId="2B6CF418" w14:textId="77777777" w:rsidR="00D142BB" w:rsidRPr="00D142BB" w:rsidRDefault="00D142BB" w:rsidP="00D142BB">
            <w:pPr>
              <w:jc w:val="both"/>
              <w:rPr>
                <w:color w:val="000000"/>
              </w:rPr>
            </w:pPr>
            <w:r w:rsidRPr="00D142BB">
              <w:rPr>
                <w:color w:val="000000"/>
              </w:rPr>
              <w:t>srautai ir procesai. Kursas supažindins su kriterijais, kurie yra svarbūs nuolatiniam paslaugų</w:t>
            </w:r>
          </w:p>
          <w:p w14:paraId="0DDD00AF" w14:textId="77777777" w:rsidR="00D142BB" w:rsidRPr="00D142BB" w:rsidRDefault="00D142BB" w:rsidP="00D142BB">
            <w:pPr>
              <w:jc w:val="both"/>
              <w:rPr>
                <w:color w:val="000000"/>
              </w:rPr>
            </w:pPr>
            <w:r w:rsidRPr="00D142BB">
              <w:rPr>
                <w:color w:val="000000"/>
              </w:rPr>
              <w:t>kokybės tobulinimui, kad jos atitiktų vartotojų poreikius. Kursai paruoš dalyvius ITIL4</w:t>
            </w:r>
          </w:p>
          <w:p w14:paraId="726FE362" w14:textId="77777777" w:rsidR="00D142BB" w:rsidRPr="00D142BB" w:rsidRDefault="00D142BB" w:rsidP="00D142BB">
            <w:pPr>
              <w:jc w:val="both"/>
              <w:rPr>
                <w:color w:val="000000"/>
              </w:rPr>
            </w:pPr>
            <w:proofErr w:type="spellStart"/>
            <w:r w:rsidRPr="00D142BB">
              <w:rPr>
                <w:color w:val="000000"/>
              </w:rPr>
              <w:t>Foundation</w:t>
            </w:r>
            <w:proofErr w:type="spellEnd"/>
            <w:r w:rsidRPr="00D142BB">
              <w:rPr>
                <w:color w:val="000000"/>
              </w:rPr>
              <w:t xml:space="preserve"> egzamino laikymui.</w:t>
            </w:r>
          </w:p>
          <w:p w14:paraId="49730E14" w14:textId="77777777" w:rsidR="00D142BB" w:rsidRPr="00D142BB" w:rsidRDefault="00D142BB" w:rsidP="00D142BB">
            <w:pPr>
              <w:jc w:val="both"/>
              <w:rPr>
                <w:color w:val="000000"/>
              </w:rPr>
            </w:pPr>
            <w:r w:rsidRPr="00D142BB">
              <w:rPr>
                <w:color w:val="000000"/>
              </w:rPr>
              <w:t xml:space="preserve">2.2. Po mokymų dalyviai įgis žinių apie: </w:t>
            </w:r>
          </w:p>
          <w:p w14:paraId="5DEFE942" w14:textId="77777777" w:rsidR="00D142BB" w:rsidRPr="00D142BB" w:rsidRDefault="00D142BB" w:rsidP="00D142BB">
            <w:pPr>
              <w:jc w:val="both"/>
              <w:rPr>
                <w:color w:val="000000"/>
              </w:rPr>
            </w:pPr>
            <w:r w:rsidRPr="00D142BB">
              <w:rPr>
                <w:color w:val="000000"/>
              </w:rPr>
              <w:t xml:space="preserve">2.2.1. pagrindines ITIL paslaugų valdymo sąvokas; </w:t>
            </w:r>
          </w:p>
          <w:p w14:paraId="57D47A91" w14:textId="77777777" w:rsidR="00D142BB" w:rsidRPr="00D142BB" w:rsidRDefault="00D142BB" w:rsidP="00D142BB">
            <w:pPr>
              <w:jc w:val="both"/>
              <w:rPr>
                <w:color w:val="000000"/>
              </w:rPr>
            </w:pPr>
            <w:r w:rsidRPr="00D142BB">
              <w:rPr>
                <w:color w:val="000000"/>
              </w:rPr>
              <w:t>2.2.2.ITIL pagrindinių principų taikymą organizacijai priimant ir pritaikant ITIL paslaugų</w:t>
            </w:r>
          </w:p>
          <w:p w14:paraId="0D6EF49B" w14:textId="77777777" w:rsidR="00D142BB" w:rsidRPr="00D142BB" w:rsidRDefault="00D142BB" w:rsidP="00D142BB">
            <w:pPr>
              <w:jc w:val="both"/>
              <w:rPr>
                <w:color w:val="000000"/>
              </w:rPr>
            </w:pPr>
            <w:r w:rsidRPr="00D142BB">
              <w:rPr>
                <w:color w:val="000000"/>
              </w:rPr>
              <w:lastRenderedPageBreak/>
              <w:t xml:space="preserve">valdymą; </w:t>
            </w:r>
          </w:p>
          <w:p w14:paraId="74AA8F4F" w14:textId="77777777" w:rsidR="00D142BB" w:rsidRPr="00D142BB" w:rsidRDefault="00D142BB" w:rsidP="00D142BB">
            <w:pPr>
              <w:jc w:val="both"/>
              <w:rPr>
                <w:color w:val="000000"/>
              </w:rPr>
            </w:pPr>
            <w:r w:rsidRPr="00D142BB">
              <w:rPr>
                <w:color w:val="000000"/>
              </w:rPr>
              <w:t xml:space="preserve">2.2.3. keturias ITIL paslaugų valdymo dimensijas; </w:t>
            </w:r>
          </w:p>
          <w:p w14:paraId="4E48C1F5" w14:textId="77777777" w:rsidR="00D142BB" w:rsidRPr="00D142BB" w:rsidRDefault="00D142BB" w:rsidP="00D142BB">
            <w:pPr>
              <w:jc w:val="both"/>
              <w:rPr>
                <w:color w:val="000000"/>
              </w:rPr>
            </w:pPr>
            <w:r w:rsidRPr="00D142BB">
              <w:rPr>
                <w:color w:val="000000"/>
              </w:rPr>
              <w:t>2.2.4.ITIL paslaugų vertės sistemos paskirtį ir komponentus, paslaugų vertės grandinės veiklą</w:t>
            </w:r>
          </w:p>
          <w:p w14:paraId="5845C25F" w14:textId="77777777" w:rsidR="00D142BB" w:rsidRPr="00D142BB" w:rsidRDefault="00D142BB" w:rsidP="00D142BB">
            <w:pPr>
              <w:jc w:val="both"/>
              <w:rPr>
                <w:color w:val="000000"/>
              </w:rPr>
            </w:pPr>
            <w:r w:rsidRPr="00D142BB">
              <w:rPr>
                <w:color w:val="000000"/>
              </w:rPr>
              <w:t xml:space="preserve">ir jų tarpusavio ryšį; </w:t>
            </w:r>
          </w:p>
          <w:p w14:paraId="073EA5B6" w14:textId="77777777" w:rsidR="00D142BB" w:rsidRPr="00D142BB" w:rsidRDefault="00D142BB" w:rsidP="00D142BB">
            <w:pPr>
              <w:jc w:val="both"/>
              <w:rPr>
                <w:color w:val="000000"/>
              </w:rPr>
            </w:pPr>
            <w:r w:rsidRPr="00D142BB">
              <w:rPr>
                <w:color w:val="000000"/>
              </w:rPr>
              <w:t xml:space="preserve">2.2.5. pagrindines nuolatinio tobulėjimo sąvokas; </w:t>
            </w:r>
          </w:p>
          <w:p w14:paraId="0967D983" w14:textId="77777777" w:rsidR="00D142BB" w:rsidRPr="00D142BB" w:rsidRDefault="00D142BB" w:rsidP="00D142BB">
            <w:pPr>
              <w:jc w:val="both"/>
              <w:rPr>
                <w:color w:val="000000"/>
              </w:rPr>
            </w:pPr>
            <w:r w:rsidRPr="00D142BB">
              <w:rPr>
                <w:color w:val="000000"/>
              </w:rPr>
              <w:t>2.2.6. įvairias ITIL praktikas ir tai, kaip jos prisideda prie vertės kūrimo.</w:t>
            </w:r>
          </w:p>
          <w:p w14:paraId="70103860" w14:textId="77777777" w:rsidR="00D142BB" w:rsidRPr="00D142BB" w:rsidRDefault="00D142BB" w:rsidP="00D142BB">
            <w:pPr>
              <w:jc w:val="both"/>
              <w:rPr>
                <w:color w:val="000000"/>
              </w:rPr>
            </w:pPr>
            <w:r w:rsidRPr="00D142BB">
              <w:rPr>
                <w:color w:val="000000"/>
              </w:rPr>
              <w:t>3. Sertifikavimas:</w:t>
            </w:r>
          </w:p>
          <w:p w14:paraId="394FA726" w14:textId="77777777" w:rsidR="00D142BB" w:rsidRPr="00D142BB" w:rsidRDefault="00D142BB" w:rsidP="00D142BB">
            <w:pPr>
              <w:jc w:val="both"/>
              <w:rPr>
                <w:color w:val="000000"/>
              </w:rPr>
            </w:pPr>
            <w:r w:rsidRPr="00D142BB">
              <w:rPr>
                <w:color w:val="000000"/>
              </w:rPr>
              <w:t>3.1. Baigus kursą turi būti išduodamas kursų baigimo pažymėjimas arba sertifikatas, įrodantis,</w:t>
            </w:r>
          </w:p>
          <w:p w14:paraId="3FCC226A" w14:textId="77777777" w:rsidR="00D142BB" w:rsidRPr="00D142BB" w:rsidRDefault="00D142BB" w:rsidP="00D142BB">
            <w:pPr>
              <w:jc w:val="both"/>
              <w:rPr>
                <w:color w:val="000000"/>
              </w:rPr>
            </w:pPr>
            <w:r w:rsidRPr="00D142BB">
              <w:rPr>
                <w:color w:val="000000"/>
              </w:rPr>
              <w:t>jog būtent šis konkretus asmuo kursą išklausė;</w:t>
            </w:r>
          </w:p>
          <w:p w14:paraId="15510C89" w14:textId="77777777" w:rsidR="00D142BB" w:rsidRPr="00D142BB" w:rsidRDefault="00D142BB" w:rsidP="00D142BB">
            <w:pPr>
              <w:jc w:val="both"/>
              <w:rPr>
                <w:color w:val="000000"/>
              </w:rPr>
            </w:pPr>
            <w:r w:rsidRPr="00D142BB">
              <w:rPr>
                <w:color w:val="000000"/>
              </w:rPr>
              <w:t xml:space="preserve">3.2. Baigus kursą turi būti sudarytos sąlygos laikyti ITIL 4 </w:t>
            </w:r>
            <w:proofErr w:type="spellStart"/>
            <w:r w:rsidRPr="00D142BB">
              <w:rPr>
                <w:color w:val="000000"/>
              </w:rPr>
              <w:t>Foundation</w:t>
            </w:r>
            <w:proofErr w:type="spellEnd"/>
            <w:r w:rsidRPr="00D142BB">
              <w:rPr>
                <w:color w:val="000000"/>
              </w:rPr>
              <w:t xml:space="preserve"> egzaminą.</w:t>
            </w:r>
          </w:p>
          <w:p w14:paraId="615A96F2" w14:textId="77777777" w:rsidR="00D142BB" w:rsidRPr="00D142BB" w:rsidRDefault="00D142BB" w:rsidP="00D142BB">
            <w:pPr>
              <w:jc w:val="both"/>
              <w:rPr>
                <w:color w:val="000000"/>
              </w:rPr>
            </w:pPr>
            <w:r w:rsidRPr="00D142BB">
              <w:rPr>
                <w:color w:val="000000"/>
              </w:rPr>
              <w:t>4. Techninė / mokomoji dokumentacija:</w:t>
            </w:r>
          </w:p>
          <w:p w14:paraId="6B5D9E13" w14:textId="77777777" w:rsidR="00D142BB" w:rsidRPr="00D142BB" w:rsidRDefault="00D142BB" w:rsidP="00D142BB">
            <w:pPr>
              <w:jc w:val="both"/>
              <w:rPr>
                <w:color w:val="000000"/>
              </w:rPr>
            </w:pPr>
            <w:r w:rsidRPr="00D142BB">
              <w:rPr>
                <w:color w:val="000000"/>
              </w:rPr>
              <w:t>4.1. Kurse turi būti pristatyta mokomoji medžiaga anglų kalba;</w:t>
            </w:r>
          </w:p>
          <w:p w14:paraId="018628C8" w14:textId="77777777" w:rsidR="00D142BB" w:rsidRPr="00D142BB" w:rsidRDefault="00D142BB" w:rsidP="00D142BB">
            <w:pPr>
              <w:jc w:val="both"/>
              <w:rPr>
                <w:color w:val="000000"/>
              </w:rPr>
            </w:pPr>
            <w:r w:rsidRPr="00D142BB">
              <w:rPr>
                <w:color w:val="000000"/>
              </w:rPr>
              <w:t>4.2. Kurso metu turi būti suteikta prieiga prie elektroninės egzaminui pasirengti reikalingos</w:t>
            </w:r>
          </w:p>
          <w:p w14:paraId="015D186A" w14:textId="12D72719" w:rsidR="00627DBD" w:rsidRPr="00627DBD" w:rsidRDefault="00D142BB" w:rsidP="00D142BB">
            <w:pPr>
              <w:jc w:val="both"/>
              <w:rPr>
                <w:color w:val="000000"/>
              </w:rPr>
            </w:pPr>
            <w:r w:rsidRPr="00D142BB">
              <w:rPr>
                <w:color w:val="000000"/>
              </w:rPr>
              <w:t>medžiagos: knygos, laboratoriniai darbai, testai.</w:t>
            </w:r>
          </w:p>
        </w:tc>
        <w:tc>
          <w:tcPr>
            <w:tcW w:w="851" w:type="dxa"/>
            <w:tcBorders>
              <w:top w:val="single" w:sz="4" w:space="0" w:color="auto"/>
              <w:left w:val="single" w:sz="4" w:space="0" w:color="auto"/>
              <w:bottom w:val="single" w:sz="4" w:space="0" w:color="auto"/>
              <w:right w:val="single" w:sz="4" w:space="0" w:color="auto"/>
            </w:tcBorders>
            <w:vAlign w:val="center"/>
          </w:tcPr>
          <w:p w14:paraId="6B7E53AD" w14:textId="25118C38" w:rsidR="00627DBD" w:rsidRPr="00627DBD" w:rsidRDefault="00627DBD" w:rsidP="00CF3C9A">
            <w:pPr>
              <w:jc w:val="center"/>
            </w:pPr>
            <w:r w:rsidRPr="00627DBD">
              <w:lastRenderedPageBreak/>
              <w:t>v</w:t>
            </w:r>
            <w:r w:rsidR="00D142BB">
              <w:t>nt</w:t>
            </w:r>
            <w:r w:rsidRPr="00627DBD">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85D0464" w14:textId="77777777" w:rsidR="00627DBD" w:rsidRPr="00627DBD" w:rsidRDefault="00627DBD" w:rsidP="00627DBD">
            <w:pPr>
              <w:jc w:val="center"/>
            </w:pPr>
          </w:p>
        </w:tc>
        <w:tc>
          <w:tcPr>
            <w:tcW w:w="851" w:type="dxa"/>
            <w:tcBorders>
              <w:top w:val="single" w:sz="4" w:space="0" w:color="auto"/>
              <w:left w:val="single" w:sz="4" w:space="0" w:color="auto"/>
              <w:bottom w:val="single" w:sz="4" w:space="0" w:color="auto"/>
              <w:right w:val="single" w:sz="4" w:space="0" w:color="auto"/>
            </w:tcBorders>
            <w:noWrap/>
            <w:vAlign w:val="center"/>
          </w:tcPr>
          <w:p w14:paraId="537E4EF6" w14:textId="3561520D" w:rsidR="00627DBD" w:rsidRPr="00627DBD" w:rsidRDefault="00D142BB" w:rsidP="00627DBD">
            <w:pPr>
              <w:jc w:val="center"/>
            </w:pPr>
            <w:r>
              <w:t>5</w:t>
            </w:r>
          </w:p>
        </w:tc>
        <w:tc>
          <w:tcPr>
            <w:tcW w:w="850" w:type="dxa"/>
            <w:tcBorders>
              <w:top w:val="single" w:sz="4" w:space="0" w:color="auto"/>
              <w:left w:val="single" w:sz="4" w:space="0" w:color="auto"/>
              <w:bottom w:val="single" w:sz="4" w:space="0" w:color="auto"/>
              <w:right w:val="single" w:sz="4" w:space="0" w:color="auto"/>
            </w:tcBorders>
            <w:noWrap/>
            <w:vAlign w:val="center"/>
          </w:tcPr>
          <w:p w14:paraId="2FA81D04" w14:textId="77777777" w:rsidR="00627DBD" w:rsidRPr="00627DBD" w:rsidRDefault="00627DBD" w:rsidP="00627DBD">
            <w:pPr>
              <w:jc w:val="center"/>
            </w:pPr>
          </w:p>
        </w:tc>
      </w:tr>
      <w:tr w:rsidR="00CF3C9A" w:rsidRPr="00627DBD" w14:paraId="689AC302" w14:textId="77777777" w:rsidTr="0044514A">
        <w:trPr>
          <w:trHeight w:val="300"/>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1A1B536B" w14:textId="77777777" w:rsidR="00CF3C9A" w:rsidRPr="00627DBD" w:rsidRDefault="00CF3C9A" w:rsidP="00627DBD">
            <w:pPr>
              <w:jc w:val="center"/>
            </w:pPr>
            <w:r w:rsidRPr="00627DBD">
              <w:t>Bendra suma eurai su PVM:</w:t>
            </w:r>
          </w:p>
        </w:tc>
        <w:tc>
          <w:tcPr>
            <w:tcW w:w="2551" w:type="dxa"/>
            <w:gridSpan w:val="3"/>
            <w:tcBorders>
              <w:top w:val="single" w:sz="4" w:space="0" w:color="auto"/>
              <w:left w:val="nil"/>
              <w:bottom w:val="single" w:sz="4" w:space="0" w:color="auto"/>
              <w:right w:val="single" w:sz="4" w:space="0" w:color="auto"/>
            </w:tcBorders>
            <w:noWrap/>
            <w:vAlign w:val="center"/>
          </w:tcPr>
          <w:p w14:paraId="00F24056" w14:textId="77777777" w:rsidR="00CF3C9A" w:rsidRPr="00627DBD" w:rsidRDefault="00CF3C9A" w:rsidP="00627DBD"/>
        </w:tc>
      </w:tr>
    </w:tbl>
    <w:p w14:paraId="14382488" w14:textId="77777777" w:rsidR="00627DBD" w:rsidRPr="00627DBD" w:rsidRDefault="00627DBD" w:rsidP="00627DBD"/>
    <w:p w14:paraId="4E45EDD9" w14:textId="77777777" w:rsidR="00CF3C9A" w:rsidRPr="006966E2" w:rsidRDefault="00CF3C9A" w:rsidP="00CF3C9A">
      <w:pPr>
        <w:snapToGrid w:val="0"/>
        <w:jc w:val="both"/>
        <w:rPr>
          <w:b/>
        </w:rPr>
      </w:pPr>
      <w:r w:rsidRPr="006966E2">
        <w:rPr>
          <w:b/>
        </w:rPr>
        <w:t>PIRKĖJAS</w:t>
      </w:r>
      <w:r w:rsidRPr="006966E2">
        <w:rPr>
          <w:b/>
        </w:rPr>
        <w:tab/>
        <w:t xml:space="preserve">                                                                                    PARDAVĖJAS</w:t>
      </w:r>
    </w:p>
    <w:p w14:paraId="6BC2830F" w14:textId="77777777" w:rsidR="00CF3C9A" w:rsidRPr="00F76D1C" w:rsidRDefault="00CF3C9A" w:rsidP="00CF3C9A">
      <w:pPr>
        <w:snapToGrid w:val="0"/>
        <w:jc w:val="both"/>
      </w:pPr>
    </w:p>
    <w:p w14:paraId="202ABF80" w14:textId="056D928C" w:rsidR="00CF3C9A" w:rsidRDefault="00CF3C9A" w:rsidP="00CF3C9A">
      <w:r w:rsidRPr="00F76D1C">
        <w:t>Lietuvos kariuomenės</w:t>
      </w:r>
      <w:r w:rsidRPr="00745502">
        <w:t xml:space="preserve"> Lietuvos didžiojo </w:t>
      </w:r>
      <w:r>
        <w:t xml:space="preserve">                                          UAB „</w:t>
      </w:r>
      <w:r w:rsidR="009C791F">
        <w:t xml:space="preserve">               </w:t>
      </w:r>
      <w:r>
        <w:t>“</w:t>
      </w:r>
    </w:p>
    <w:p w14:paraId="23015E74" w14:textId="77777777" w:rsidR="00CF3C9A" w:rsidRDefault="00CF3C9A" w:rsidP="00CF3C9A">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06915086" w14:textId="77777777" w:rsidR="00CF3C9A" w:rsidRDefault="00CF3C9A" w:rsidP="00CF3C9A">
      <w:r>
        <w:t xml:space="preserve">ryšių ir informacinių sistemų                                                              </w:t>
      </w:r>
    </w:p>
    <w:p w14:paraId="0FCAE9FE" w14:textId="5CDBB9DC" w:rsidR="00CF3C9A" w:rsidRDefault="00D142BB" w:rsidP="00CF3C9A">
      <w:r>
        <w:t>bataliono vadas</w:t>
      </w:r>
      <w:r w:rsidR="00CF3C9A">
        <w:t xml:space="preserve">                                                                                    </w:t>
      </w:r>
    </w:p>
    <w:p w14:paraId="767F696C" w14:textId="77777777" w:rsidR="00CF3C9A" w:rsidRDefault="00CF3C9A" w:rsidP="00CF3C9A"/>
    <w:p w14:paraId="10FC3E43" w14:textId="77777777" w:rsidR="00CF3C9A" w:rsidRPr="00F76D1C" w:rsidRDefault="00CF3C9A" w:rsidP="00CF3C9A">
      <w:r>
        <w:t xml:space="preserve">  </w:t>
      </w:r>
      <w:r>
        <w:tab/>
      </w:r>
      <w:r>
        <w:tab/>
      </w:r>
      <w:r>
        <w:tab/>
      </w:r>
      <w:r>
        <w:tab/>
      </w:r>
      <w:r>
        <w:tab/>
      </w:r>
      <w:r>
        <w:tab/>
      </w:r>
    </w:p>
    <w:p w14:paraId="37ED44B7" w14:textId="77777777" w:rsidR="00CF3C9A" w:rsidRPr="00FA660B" w:rsidRDefault="00CF3C9A" w:rsidP="00CF3C9A">
      <w:pPr>
        <w:tabs>
          <w:tab w:val="left" w:pos="5040"/>
        </w:tabs>
        <w:rPr>
          <w:szCs w:val="20"/>
        </w:rPr>
      </w:pPr>
      <w:r w:rsidRPr="00F76D1C">
        <w:t xml:space="preserve">A.V. </w:t>
      </w:r>
      <w:r w:rsidRPr="00F76D1C">
        <w:tab/>
      </w:r>
      <w:r>
        <w:tab/>
      </w:r>
      <w:r>
        <w:tab/>
      </w:r>
      <w:r w:rsidRPr="00F76D1C">
        <w:t>A.V.</w:t>
      </w:r>
    </w:p>
    <w:p w14:paraId="110CEE52" w14:textId="77777777" w:rsidR="00627DBD" w:rsidRPr="00627DBD" w:rsidRDefault="00627DBD" w:rsidP="00627DBD"/>
    <w:p w14:paraId="3A86E324" w14:textId="6A365DBA" w:rsidR="00F5785C" w:rsidRDefault="00F5785C">
      <w:pPr>
        <w:rPr>
          <w:rFonts w:eastAsia="PMingLiU"/>
        </w:rPr>
      </w:pPr>
    </w:p>
    <w:p w14:paraId="23D144C1" w14:textId="77777777" w:rsidR="001011F5" w:rsidRDefault="001011F5">
      <w:pPr>
        <w:rPr>
          <w:rFonts w:eastAsia="PMingLiU"/>
        </w:rPr>
      </w:pPr>
    </w:p>
    <w:p w14:paraId="024A4EED" w14:textId="77777777" w:rsidR="001011F5" w:rsidRDefault="001011F5">
      <w:pPr>
        <w:rPr>
          <w:rFonts w:eastAsia="PMingLiU"/>
        </w:rPr>
      </w:pPr>
    </w:p>
    <w:p w14:paraId="7EC6862D" w14:textId="77777777" w:rsidR="001011F5" w:rsidRDefault="001011F5">
      <w:pPr>
        <w:rPr>
          <w:rFonts w:eastAsia="PMingLiU"/>
        </w:rPr>
      </w:pPr>
    </w:p>
    <w:p w14:paraId="72A0025E" w14:textId="77777777" w:rsidR="001011F5" w:rsidRDefault="001011F5">
      <w:pPr>
        <w:rPr>
          <w:rFonts w:eastAsia="PMingLiU"/>
        </w:rPr>
      </w:pPr>
    </w:p>
    <w:p w14:paraId="1431EDD5" w14:textId="77777777" w:rsidR="001011F5" w:rsidRDefault="001011F5">
      <w:pPr>
        <w:rPr>
          <w:rFonts w:eastAsia="PMingLiU"/>
        </w:rPr>
      </w:pPr>
    </w:p>
    <w:p w14:paraId="266482D1" w14:textId="77777777" w:rsidR="001011F5" w:rsidRDefault="001011F5">
      <w:pPr>
        <w:rPr>
          <w:rFonts w:eastAsia="PMingLiU"/>
        </w:rPr>
      </w:pPr>
    </w:p>
    <w:p w14:paraId="5AF855DD" w14:textId="77777777" w:rsidR="001011F5" w:rsidRDefault="001011F5">
      <w:pPr>
        <w:rPr>
          <w:rFonts w:eastAsia="PMingLiU"/>
        </w:rPr>
      </w:pPr>
    </w:p>
    <w:p w14:paraId="7D4D66EA" w14:textId="77777777" w:rsidR="001011F5" w:rsidRDefault="001011F5">
      <w:pPr>
        <w:rPr>
          <w:rFonts w:eastAsia="PMingLiU"/>
        </w:rPr>
      </w:pPr>
    </w:p>
    <w:p w14:paraId="3B780B25" w14:textId="77777777" w:rsidR="001011F5" w:rsidRDefault="001011F5">
      <w:pPr>
        <w:rPr>
          <w:rFonts w:eastAsia="PMingLiU"/>
        </w:rPr>
      </w:pPr>
    </w:p>
    <w:p w14:paraId="309FE14A" w14:textId="77777777" w:rsidR="001011F5" w:rsidRDefault="001011F5">
      <w:pPr>
        <w:rPr>
          <w:rFonts w:eastAsia="PMingLiU"/>
        </w:rPr>
      </w:pPr>
    </w:p>
    <w:p w14:paraId="5F7D92AA" w14:textId="77777777" w:rsidR="001011F5" w:rsidRPr="0063141E" w:rsidRDefault="001011F5" w:rsidP="001011F5">
      <w:pPr>
        <w:ind w:left="6480"/>
      </w:pPr>
      <w:r w:rsidRPr="0063141E">
        <w:lastRenderedPageBreak/>
        <w:t>P</w:t>
      </w:r>
      <w:r>
        <w:t>aslaugų</w:t>
      </w:r>
      <w:r w:rsidRPr="0063141E">
        <w:t xml:space="preserve"> pirkimo</w:t>
      </w:r>
      <w:r>
        <w:t>–</w:t>
      </w:r>
      <w:r w:rsidRPr="0063141E">
        <w:t>pardavimo sutarties</w:t>
      </w:r>
      <w:r>
        <w:t xml:space="preserve"> </w:t>
      </w:r>
      <w:r w:rsidRPr="002E7DC2">
        <w:rPr>
          <w:i/>
        </w:rPr>
        <w:t>(projekto)</w:t>
      </w:r>
    </w:p>
    <w:p w14:paraId="6F706ECA" w14:textId="418CB17A" w:rsidR="001011F5" w:rsidRPr="0063141E" w:rsidRDefault="00C800C7" w:rsidP="001011F5">
      <w:pPr>
        <w:ind w:left="6480"/>
      </w:pPr>
      <w:r>
        <w:t>2026</w:t>
      </w:r>
      <w:r w:rsidR="001011F5" w:rsidRPr="0063141E">
        <w:t xml:space="preserve"> m. ____________d. Nr.</w:t>
      </w:r>
      <w:r w:rsidR="001011F5">
        <w:t xml:space="preserve"> PS-</w:t>
      </w:r>
    </w:p>
    <w:p w14:paraId="47573A9C" w14:textId="77777777" w:rsidR="001011F5" w:rsidRDefault="001011F5" w:rsidP="001011F5">
      <w:pPr>
        <w:jc w:val="center"/>
        <w:rPr>
          <w:b/>
          <w:sz w:val="20"/>
          <w:szCs w:val="20"/>
        </w:rPr>
      </w:pPr>
      <w:r>
        <w:rPr>
          <w:b/>
          <w:sz w:val="20"/>
          <w:szCs w:val="20"/>
        </w:rPr>
        <w:tab/>
      </w:r>
      <w:r>
        <w:rPr>
          <w:b/>
          <w:sz w:val="20"/>
          <w:szCs w:val="20"/>
        </w:rPr>
        <w:tab/>
      </w:r>
      <w:r>
        <w:rPr>
          <w:b/>
          <w:sz w:val="20"/>
          <w:szCs w:val="20"/>
        </w:rPr>
        <w:tab/>
      </w:r>
      <w:r>
        <w:rPr>
          <w:b/>
          <w:sz w:val="20"/>
          <w:szCs w:val="20"/>
        </w:rPr>
        <w:tab/>
        <w:t xml:space="preserve">                       </w:t>
      </w:r>
      <w:r>
        <w:t>2</w:t>
      </w:r>
      <w:r w:rsidRPr="00DA7738">
        <w:t xml:space="preserve"> priedas</w:t>
      </w:r>
    </w:p>
    <w:p w14:paraId="78705CFE" w14:textId="77777777" w:rsidR="001011F5" w:rsidRDefault="001011F5" w:rsidP="001011F5">
      <w:pPr>
        <w:jc w:val="center"/>
        <w:rPr>
          <w:b/>
          <w:caps/>
        </w:rPr>
      </w:pPr>
    </w:p>
    <w:p w14:paraId="09AC72D0" w14:textId="77777777" w:rsidR="001011F5" w:rsidRDefault="001011F5" w:rsidP="001011F5">
      <w:pPr>
        <w:jc w:val="center"/>
        <w:rPr>
          <w:b/>
          <w:caps/>
        </w:rPr>
      </w:pPr>
    </w:p>
    <w:p w14:paraId="37BD56D3" w14:textId="77777777" w:rsidR="001011F5" w:rsidRPr="000356B1" w:rsidRDefault="001011F5" w:rsidP="001011F5">
      <w:pPr>
        <w:jc w:val="center"/>
        <w:rPr>
          <w:b/>
          <w:caps/>
        </w:rPr>
      </w:pPr>
      <w:r>
        <w:rPr>
          <w:b/>
          <w:caps/>
        </w:rPr>
        <w:t xml:space="preserve">PASLAUGŲ </w:t>
      </w:r>
      <w:r w:rsidRPr="00421045">
        <w:rPr>
          <w:b/>
          <w:caps/>
        </w:rPr>
        <w:t>perdavimo – priėmimo</w:t>
      </w:r>
      <w:r>
        <w:rPr>
          <w:b/>
          <w:caps/>
        </w:rPr>
        <w:t xml:space="preserve"> </w:t>
      </w:r>
      <w:r w:rsidRPr="000356B1">
        <w:rPr>
          <w:b/>
          <w:caps/>
        </w:rPr>
        <w:t xml:space="preserve">AKTAS </w:t>
      </w:r>
    </w:p>
    <w:p w14:paraId="75B8BE81" w14:textId="77777777" w:rsidR="001011F5" w:rsidRDefault="001011F5" w:rsidP="001011F5">
      <w:pPr>
        <w:jc w:val="center"/>
      </w:pPr>
    </w:p>
    <w:p w14:paraId="4B71639B" w14:textId="4FCCE949" w:rsidR="001011F5" w:rsidRPr="008B484E" w:rsidRDefault="001011F5" w:rsidP="001011F5">
      <w:pPr>
        <w:jc w:val="center"/>
      </w:pPr>
      <w:r w:rsidRPr="008B484E">
        <w:t>20</w:t>
      </w:r>
      <w:r>
        <w:t>2</w:t>
      </w:r>
      <w:r w:rsidR="00C800C7">
        <w:t>6</w:t>
      </w:r>
      <w:r>
        <w:t xml:space="preserve"> </w:t>
      </w:r>
      <w:r w:rsidRPr="008B484E">
        <w:t>m.                  d.</w:t>
      </w:r>
    </w:p>
    <w:p w14:paraId="58071E2E" w14:textId="77777777" w:rsidR="001011F5" w:rsidRPr="000356B1" w:rsidRDefault="001011F5" w:rsidP="001011F5">
      <w:pPr>
        <w:tabs>
          <w:tab w:val="left" w:pos="2835"/>
        </w:tabs>
        <w:jc w:val="center"/>
        <w:rPr>
          <w:u w:val="single"/>
        </w:rPr>
      </w:pPr>
      <w:r>
        <w:rPr>
          <w:u w:val="single"/>
        </w:rPr>
        <w:t xml:space="preserve">                  Vilnius</w:t>
      </w:r>
      <w:r>
        <w:rPr>
          <w:u w:val="single"/>
        </w:rPr>
        <w:tab/>
      </w:r>
    </w:p>
    <w:p w14:paraId="241DA1A1" w14:textId="77777777" w:rsidR="001011F5" w:rsidRPr="000356B1" w:rsidRDefault="001011F5" w:rsidP="001011F5">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14:paraId="1FCE6BF1" w14:textId="77777777" w:rsidR="001011F5" w:rsidRDefault="001011F5" w:rsidP="001011F5">
      <w:pPr>
        <w:tabs>
          <w:tab w:val="left" w:pos="720"/>
          <w:tab w:val="left" w:pos="9540"/>
        </w:tabs>
      </w:pPr>
    </w:p>
    <w:p w14:paraId="4D0FB6D8" w14:textId="77777777" w:rsidR="001011F5" w:rsidRDefault="001011F5" w:rsidP="001011F5">
      <w:pPr>
        <w:tabs>
          <w:tab w:val="left" w:pos="720"/>
          <w:tab w:val="left" w:pos="9540"/>
        </w:tabs>
        <w:rPr>
          <w:sz w:val="16"/>
          <w:szCs w:val="16"/>
        </w:rPr>
      </w:pPr>
      <w:r>
        <w:tab/>
      </w:r>
    </w:p>
    <w:p w14:paraId="6EE66272" w14:textId="77777777" w:rsidR="001011F5" w:rsidRDefault="001011F5" w:rsidP="001011F5">
      <w:pPr>
        <w:jc w:val="center"/>
        <w:rPr>
          <w:sz w:val="16"/>
          <w:szCs w:val="16"/>
        </w:rPr>
      </w:pPr>
    </w:p>
    <w:p w14:paraId="175B916C" w14:textId="77777777" w:rsidR="001011F5" w:rsidRPr="00EC77EF" w:rsidRDefault="001011F5" w:rsidP="001011F5">
      <w:pPr>
        <w:tabs>
          <w:tab w:val="left" w:pos="9540"/>
        </w:tabs>
        <w:rPr>
          <w:sz w:val="16"/>
          <w:szCs w:val="16"/>
        </w:rPr>
      </w:pPr>
    </w:p>
    <w:p w14:paraId="2EE6A631" w14:textId="77777777" w:rsidR="001011F5" w:rsidRPr="00F254D1" w:rsidRDefault="001011F5" w:rsidP="001011F5">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76"/>
        <w:gridCol w:w="2127"/>
        <w:gridCol w:w="2835"/>
      </w:tblGrid>
      <w:tr w:rsidR="001011F5" w:rsidRPr="007D6C45" w14:paraId="55E3106E" w14:textId="77777777" w:rsidTr="003E3168">
        <w:trPr>
          <w:trHeight w:val="475"/>
        </w:trPr>
        <w:tc>
          <w:tcPr>
            <w:tcW w:w="2268" w:type="dxa"/>
            <w:tcBorders>
              <w:top w:val="nil"/>
              <w:left w:val="nil"/>
              <w:bottom w:val="nil"/>
              <w:right w:val="single" w:sz="4" w:space="0" w:color="auto"/>
            </w:tcBorders>
            <w:shd w:val="clear" w:color="auto" w:fill="auto"/>
          </w:tcPr>
          <w:p w14:paraId="618263FD" w14:textId="77777777" w:rsidR="001011F5" w:rsidRPr="001F37F7" w:rsidRDefault="001011F5" w:rsidP="003E3168">
            <w:pPr>
              <w:jc w:val="right"/>
              <w:rPr>
                <w:color w:val="000000"/>
                <w:sz w:val="22"/>
                <w:szCs w:val="22"/>
              </w:rPr>
            </w:pPr>
            <w:r w:rsidRPr="001F37F7">
              <w:rPr>
                <w:color w:val="000000"/>
                <w:sz w:val="22"/>
                <w:szCs w:val="22"/>
              </w:rPr>
              <w:t>Paslaugų pavadinimas</w:t>
            </w:r>
          </w:p>
        </w:tc>
        <w:tc>
          <w:tcPr>
            <w:tcW w:w="2376" w:type="dxa"/>
            <w:tcBorders>
              <w:top w:val="single" w:sz="4" w:space="0" w:color="auto"/>
              <w:left w:val="single" w:sz="4" w:space="0" w:color="auto"/>
              <w:right w:val="single" w:sz="4" w:space="0" w:color="auto"/>
            </w:tcBorders>
            <w:shd w:val="clear" w:color="auto" w:fill="auto"/>
          </w:tcPr>
          <w:p w14:paraId="6242D7F8" w14:textId="7476F64F" w:rsidR="001011F5" w:rsidRPr="007D6C45" w:rsidRDefault="009C791F" w:rsidP="003E3168">
            <w:pPr>
              <w:rPr>
                <w:color w:val="000000"/>
                <w:sz w:val="20"/>
                <w:szCs w:val="20"/>
              </w:rPr>
            </w:pPr>
            <w:r w:rsidRPr="009C791F">
              <w:rPr>
                <w:color w:val="000000"/>
                <w:sz w:val="20"/>
                <w:szCs w:val="20"/>
              </w:rPr>
              <w:t xml:space="preserve">ITIL 4 </w:t>
            </w:r>
            <w:proofErr w:type="spellStart"/>
            <w:r w:rsidRPr="009C791F">
              <w:rPr>
                <w:color w:val="000000"/>
                <w:sz w:val="20"/>
                <w:szCs w:val="20"/>
              </w:rPr>
              <w:t>Foundation</w:t>
            </w:r>
            <w:proofErr w:type="spellEnd"/>
            <w:r w:rsidRPr="009C791F">
              <w:rPr>
                <w:color w:val="000000"/>
                <w:sz w:val="20"/>
                <w:szCs w:val="20"/>
              </w:rPr>
              <w:t xml:space="preserve"> kursas + Egzaminas</w:t>
            </w:r>
          </w:p>
        </w:tc>
        <w:tc>
          <w:tcPr>
            <w:tcW w:w="2127" w:type="dxa"/>
            <w:tcBorders>
              <w:top w:val="nil"/>
              <w:left w:val="single" w:sz="4" w:space="0" w:color="auto"/>
              <w:bottom w:val="nil"/>
              <w:right w:val="single" w:sz="4" w:space="0" w:color="auto"/>
            </w:tcBorders>
          </w:tcPr>
          <w:p w14:paraId="396436FC" w14:textId="77777777" w:rsidR="001011F5" w:rsidRPr="001F37F7" w:rsidRDefault="001011F5" w:rsidP="003E3168">
            <w:pPr>
              <w:jc w:val="right"/>
              <w:rPr>
                <w:color w:val="000000"/>
                <w:sz w:val="22"/>
                <w:szCs w:val="22"/>
              </w:rPr>
            </w:pPr>
            <w:r w:rsidRPr="001F37F7">
              <w:rPr>
                <w:color w:val="000000"/>
                <w:sz w:val="22"/>
                <w:szCs w:val="22"/>
              </w:rPr>
              <w:t>Sutarties data, numeris</w:t>
            </w:r>
          </w:p>
        </w:tc>
        <w:tc>
          <w:tcPr>
            <w:tcW w:w="2835" w:type="dxa"/>
            <w:tcBorders>
              <w:top w:val="single" w:sz="4" w:space="0" w:color="auto"/>
              <w:left w:val="single" w:sz="4" w:space="0" w:color="auto"/>
              <w:right w:val="single" w:sz="4" w:space="0" w:color="auto"/>
            </w:tcBorders>
          </w:tcPr>
          <w:p w14:paraId="549E3EFB" w14:textId="77777777" w:rsidR="001011F5" w:rsidRPr="007D6C45" w:rsidRDefault="001011F5" w:rsidP="003E3168">
            <w:pPr>
              <w:rPr>
                <w:color w:val="000000"/>
                <w:sz w:val="20"/>
                <w:szCs w:val="20"/>
              </w:rPr>
            </w:pPr>
          </w:p>
        </w:tc>
      </w:tr>
      <w:tr w:rsidR="001011F5" w:rsidRPr="007D6C45" w14:paraId="7D200244" w14:textId="77777777" w:rsidTr="003E3168">
        <w:trPr>
          <w:trHeight w:val="470"/>
        </w:trPr>
        <w:tc>
          <w:tcPr>
            <w:tcW w:w="2268" w:type="dxa"/>
            <w:tcBorders>
              <w:top w:val="nil"/>
              <w:left w:val="nil"/>
              <w:bottom w:val="nil"/>
              <w:right w:val="single" w:sz="4" w:space="0" w:color="auto"/>
            </w:tcBorders>
            <w:shd w:val="clear" w:color="auto" w:fill="auto"/>
          </w:tcPr>
          <w:p w14:paraId="02FA1F5C" w14:textId="77777777" w:rsidR="001011F5" w:rsidRPr="001F37F7" w:rsidRDefault="001011F5" w:rsidP="003E3168">
            <w:pPr>
              <w:jc w:val="right"/>
              <w:rPr>
                <w:color w:val="000000"/>
                <w:sz w:val="22"/>
                <w:szCs w:val="22"/>
              </w:rPr>
            </w:pPr>
            <w:r w:rsidRPr="001F37F7">
              <w:rPr>
                <w:color w:val="000000"/>
                <w:sz w:val="22"/>
                <w:szCs w:val="22"/>
              </w:rPr>
              <w:t>Tiekėjas</w:t>
            </w:r>
          </w:p>
        </w:tc>
        <w:tc>
          <w:tcPr>
            <w:tcW w:w="2376" w:type="dxa"/>
            <w:tcBorders>
              <w:top w:val="single" w:sz="4" w:space="0" w:color="auto"/>
              <w:left w:val="single" w:sz="4" w:space="0" w:color="auto"/>
              <w:right w:val="single" w:sz="4" w:space="0" w:color="auto"/>
            </w:tcBorders>
            <w:shd w:val="clear" w:color="auto" w:fill="auto"/>
          </w:tcPr>
          <w:p w14:paraId="5091C644" w14:textId="77777777" w:rsidR="001011F5" w:rsidRPr="007D6C45" w:rsidRDefault="001011F5" w:rsidP="003E3168">
            <w:pPr>
              <w:rPr>
                <w:color w:val="000000"/>
                <w:sz w:val="20"/>
                <w:szCs w:val="20"/>
              </w:rPr>
            </w:pPr>
          </w:p>
        </w:tc>
        <w:tc>
          <w:tcPr>
            <w:tcW w:w="2127" w:type="dxa"/>
            <w:tcBorders>
              <w:top w:val="nil"/>
              <w:left w:val="single" w:sz="4" w:space="0" w:color="auto"/>
              <w:bottom w:val="nil"/>
              <w:right w:val="single" w:sz="4" w:space="0" w:color="auto"/>
            </w:tcBorders>
          </w:tcPr>
          <w:p w14:paraId="0370013D" w14:textId="77777777" w:rsidR="001011F5" w:rsidRPr="001F37F7" w:rsidRDefault="001011F5" w:rsidP="003E3168">
            <w:pPr>
              <w:jc w:val="right"/>
              <w:rPr>
                <w:color w:val="000000"/>
                <w:sz w:val="22"/>
                <w:szCs w:val="22"/>
              </w:rPr>
            </w:pPr>
            <w:r w:rsidRPr="001F37F7">
              <w:rPr>
                <w:color w:val="000000"/>
                <w:sz w:val="22"/>
                <w:szCs w:val="22"/>
              </w:rPr>
              <w:t xml:space="preserve">Apskaitos dokumento </w:t>
            </w:r>
          </w:p>
          <w:p w14:paraId="7AEC462A" w14:textId="77777777" w:rsidR="001011F5" w:rsidRPr="001F37F7" w:rsidRDefault="001011F5" w:rsidP="003E3168">
            <w:pPr>
              <w:jc w:val="right"/>
              <w:rPr>
                <w:color w:val="000000"/>
                <w:sz w:val="22"/>
                <w:szCs w:val="22"/>
              </w:rPr>
            </w:pPr>
            <w:r w:rsidRPr="001F37F7">
              <w:rPr>
                <w:color w:val="000000"/>
                <w:sz w:val="22"/>
                <w:szCs w:val="22"/>
              </w:rPr>
              <w:t>data, numeris</w:t>
            </w:r>
          </w:p>
        </w:tc>
        <w:tc>
          <w:tcPr>
            <w:tcW w:w="2835" w:type="dxa"/>
            <w:tcBorders>
              <w:top w:val="single" w:sz="4" w:space="0" w:color="auto"/>
              <w:left w:val="single" w:sz="4" w:space="0" w:color="auto"/>
              <w:right w:val="single" w:sz="4" w:space="0" w:color="auto"/>
            </w:tcBorders>
          </w:tcPr>
          <w:p w14:paraId="554CC4A0" w14:textId="77777777" w:rsidR="001011F5" w:rsidRPr="007D6C45" w:rsidRDefault="001011F5" w:rsidP="003E3168">
            <w:pPr>
              <w:rPr>
                <w:color w:val="000000"/>
                <w:sz w:val="20"/>
                <w:szCs w:val="20"/>
              </w:rPr>
            </w:pPr>
          </w:p>
        </w:tc>
      </w:tr>
    </w:tbl>
    <w:p w14:paraId="5003EA3B" w14:textId="77777777" w:rsidR="001011F5" w:rsidRDefault="001011F5" w:rsidP="001011F5">
      <w:pPr>
        <w:jc w:val="both"/>
        <w:rPr>
          <w:sz w:val="16"/>
          <w:szCs w:val="16"/>
        </w:rPr>
      </w:pPr>
    </w:p>
    <w:p w14:paraId="413DB944" w14:textId="77777777" w:rsidR="001011F5" w:rsidRPr="003B2C2A" w:rsidRDefault="001011F5" w:rsidP="001011F5">
      <w:pPr>
        <w:tabs>
          <w:tab w:val="left" w:pos="9540"/>
        </w:tabs>
        <w:rPr>
          <w:sz w:val="22"/>
          <w:szCs w:val="22"/>
        </w:rPr>
      </w:pPr>
      <w:r w:rsidRPr="000F0C6B">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94"/>
        <w:gridCol w:w="1389"/>
        <w:gridCol w:w="1163"/>
        <w:gridCol w:w="2126"/>
        <w:gridCol w:w="2346"/>
      </w:tblGrid>
      <w:tr w:rsidR="001011F5" w:rsidRPr="00C26255" w14:paraId="19F7140C" w14:textId="77777777" w:rsidTr="003E3168">
        <w:trPr>
          <w:trHeight w:val="910"/>
        </w:trPr>
        <w:tc>
          <w:tcPr>
            <w:tcW w:w="536" w:type="dxa"/>
            <w:shd w:val="clear" w:color="auto" w:fill="auto"/>
            <w:vAlign w:val="center"/>
          </w:tcPr>
          <w:p w14:paraId="77F94BC1" w14:textId="77777777" w:rsidR="001011F5" w:rsidRPr="008B6A27" w:rsidRDefault="001011F5" w:rsidP="003E3168">
            <w:pPr>
              <w:jc w:val="center"/>
              <w:rPr>
                <w:b/>
                <w:sz w:val="20"/>
              </w:rPr>
            </w:pPr>
            <w:r w:rsidRPr="008B6A27">
              <w:rPr>
                <w:b/>
                <w:sz w:val="20"/>
              </w:rPr>
              <w:t>Eil. Nr.</w:t>
            </w:r>
          </w:p>
        </w:tc>
        <w:tc>
          <w:tcPr>
            <w:tcW w:w="2294" w:type="dxa"/>
            <w:vAlign w:val="center"/>
          </w:tcPr>
          <w:p w14:paraId="31DC1417" w14:textId="77777777" w:rsidR="001011F5" w:rsidRPr="008B6A27" w:rsidRDefault="001011F5" w:rsidP="003E3168">
            <w:pPr>
              <w:rPr>
                <w:b/>
                <w:sz w:val="20"/>
              </w:rPr>
            </w:pPr>
          </w:p>
          <w:p w14:paraId="62FB7C43" w14:textId="77777777" w:rsidR="001011F5" w:rsidRPr="008B6A27" w:rsidRDefault="001011F5" w:rsidP="003E3168">
            <w:pPr>
              <w:jc w:val="center"/>
              <w:rPr>
                <w:b/>
                <w:sz w:val="20"/>
              </w:rPr>
            </w:pPr>
            <w:r w:rsidRPr="008B6A27">
              <w:rPr>
                <w:b/>
                <w:sz w:val="20"/>
              </w:rPr>
              <w:t>Paslaugų pavadinimas</w:t>
            </w:r>
          </w:p>
        </w:tc>
        <w:tc>
          <w:tcPr>
            <w:tcW w:w="1389" w:type="dxa"/>
            <w:shd w:val="clear" w:color="auto" w:fill="auto"/>
            <w:vAlign w:val="center"/>
          </w:tcPr>
          <w:p w14:paraId="64DB023C" w14:textId="77777777" w:rsidR="001011F5" w:rsidRPr="008B6A27" w:rsidRDefault="001011F5" w:rsidP="003E3168">
            <w:pPr>
              <w:jc w:val="center"/>
              <w:rPr>
                <w:b/>
                <w:sz w:val="20"/>
              </w:rPr>
            </w:pPr>
            <w:r>
              <w:rPr>
                <w:b/>
                <w:sz w:val="20"/>
              </w:rPr>
              <w:t>Mat. vienetas</w:t>
            </w:r>
          </w:p>
        </w:tc>
        <w:tc>
          <w:tcPr>
            <w:tcW w:w="1163" w:type="dxa"/>
            <w:shd w:val="clear" w:color="auto" w:fill="auto"/>
            <w:vAlign w:val="center"/>
          </w:tcPr>
          <w:p w14:paraId="40F1A737" w14:textId="77777777" w:rsidR="001011F5" w:rsidRPr="008B6A27" w:rsidRDefault="001011F5" w:rsidP="003E3168">
            <w:pPr>
              <w:jc w:val="center"/>
              <w:rPr>
                <w:sz w:val="20"/>
                <w:szCs w:val="20"/>
              </w:rPr>
            </w:pPr>
            <w:r>
              <w:rPr>
                <w:b/>
                <w:sz w:val="20"/>
              </w:rPr>
              <w:t>Kiekis</w:t>
            </w:r>
          </w:p>
        </w:tc>
        <w:tc>
          <w:tcPr>
            <w:tcW w:w="2126" w:type="dxa"/>
            <w:shd w:val="clear" w:color="auto" w:fill="auto"/>
            <w:vAlign w:val="center"/>
          </w:tcPr>
          <w:p w14:paraId="11A8C6A5" w14:textId="77777777" w:rsidR="001011F5" w:rsidRPr="008B6A27" w:rsidRDefault="001011F5" w:rsidP="003E3168">
            <w:pPr>
              <w:jc w:val="center"/>
              <w:rPr>
                <w:sz w:val="20"/>
              </w:rPr>
            </w:pPr>
            <w:r>
              <w:rPr>
                <w:b/>
                <w:sz w:val="20"/>
              </w:rPr>
              <w:t>Kaina</w:t>
            </w:r>
          </w:p>
        </w:tc>
        <w:tc>
          <w:tcPr>
            <w:tcW w:w="2346" w:type="dxa"/>
            <w:vAlign w:val="center"/>
          </w:tcPr>
          <w:p w14:paraId="12D95D5E" w14:textId="77777777" w:rsidR="001011F5" w:rsidRDefault="001011F5" w:rsidP="003E3168">
            <w:pPr>
              <w:jc w:val="center"/>
              <w:rPr>
                <w:b/>
                <w:sz w:val="20"/>
              </w:rPr>
            </w:pPr>
          </w:p>
          <w:p w14:paraId="37DFA62E" w14:textId="77777777" w:rsidR="001011F5" w:rsidRPr="008B6A27" w:rsidRDefault="001011F5" w:rsidP="003E3168">
            <w:pPr>
              <w:jc w:val="center"/>
              <w:rPr>
                <w:b/>
                <w:sz w:val="20"/>
              </w:rPr>
            </w:pPr>
            <w:r>
              <w:rPr>
                <w:b/>
                <w:sz w:val="20"/>
              </w:rPr>
              <w:t>Suma</w:t>
            </w:r>
          </w:p>
        </w:tc>
      </w:tr>
      <w:tr w:rsidR="001011F5" w:rsidRPr="00C26255" w14:paraId="65B3445B" w14:textId="77777777" w:rsidTr="003E3168">
        <w:trPr>
          <w:trHeight w:val="356"/>
        </w:trPr>
        <w:tc>
          <w:tcPr>
            <w:tcW w:w="536" w:type="dxa"/>
            <w:shd w:val="clear" w:color="auto" w:fill="auto"/>
          </w:tcPr>
          <w:p w14:paraId="36C8C1F6" w14:textId="77777777" w:rsidR="001011F5" w:rsidRPr="00034560" w:rsidRDefault="001011F5" w:rsidP="003E3168">
            <w:pPr>
              <w:jc w:val="both"/>
              <w:rPr>
                <w:sz w:val="20"/>
                <w:szCs w:val="20"/>
              </w:rPr>
            </w:pPr>
            <w:r w:rsidRPr="00034560">
              <w:rPr>
                <w:sz w:val="20"/>
                <w:szCs w:val="20"/>
              </w:rPr>
              <w:t>1.</w:t>
            </w:r>
          </w:p>
        </w:tc>
        <w:tc>
          <w:tcPr>
            <w:tcW w:w="2294" w:type="dxa"/>
          </w:tcPr>
          <w:p w14:paraId="4EC5DDA6" w14:textId="2BAC471F" w:rsidR="001011F5" w:rsidRPr="00034560" w:rsidRDefault="009C791F" w:rsidP="003E3168">
            <w:pPr>
              <w:jc w:val="both"/>
              <w:rPr>
                <w:sz w:val="20"/>
                <w:szCs w:val="20"/>
              </w:rPr>
            </w:pPr>
            <w:r w:rsidRPr="009C791F">
              <w:rPr>
                <w:sz w:val="20"/>
                <w:szCs w:val="20"/>
              </w:rPr>
              <w:t xml:space="preserve">ITIL 4 </w:t>
            </w:r>
            <w:proofErr w:type="spellStart"/>
            <w:r w:rsidRPr="009C791F">
              <w:rPr>
                <w:sz w:val="20"/>
                <w:szCs w:val="20"/>
              </w:rPr>
              <w:t>Foundation</w:t>
            </w:r>
            <w:proofErr w:type="spellEnd"/>
            <w:r w:rsidRPr="009C791F">
              <w:rPr>
                <w:sz w:val="20"/>
                <w:szCs w:val="20"/>
              </w:rPr>
              <w:t xml:space="preserve"> kursas + Egzaminas</w:t>
            </w:r>
          </w:p>
        </w:tc>
        <w:tc>
          <w:tcPr>
            <w:tcW w:w="1389" w:type="dxa"/>
            <w:shd w:val="clear" w:color="auto" w:fill="auto"/>
            <w:vAlign w:val="center"/>
          </w:tcPr>
          <w:p w14:paraId="17D4F6A2" w14:textId="77777777" w:rsidR="001011F5" w:rsidRPr="00034560" w:rsidRDefault="001011F5" w:rsidP="003E3168">
            <w:pPr>
              <w:jc w:val="center"/>
              <w:rPr>
                <w:sz w:val="20"/>
                <w:szCs w:val="20"/>
              </w:rPr>
            </w:pPr>
            <w:r w:rsidRPr="00034560">
              <w:rPr>
                <w:sz w:val="20"/>
                <w:szCs w:val="20"/>
              </w:rPr>
              <w:t>vnt.</w:t>
            </w:r>
          </w:p>
        </w:tc>
        <w:tc>
          <w:tcPr>
            <w:tcW w:w="1163" w:type="dxa"/>
            <w:shd w:val="clear" w:color="auto" w:fill="auto"/>
            <w:vAlign w:val="center"/>
          </w:tcPr>
          <w:p w14:paraId="600669B6" w14:textId="555B2F6F" w:rsidR="001011F5" w:rsidRPr="00AF6B0E" w:rsidRDefault="009C791F" w:rsidP="003E3168">
            <w:pPr>
              <w:jc w:val="center"/>
              <w:rPr>
                <w:sz w:val="22"/>
              </w:rPr>
            </w:pPr>
            <w:r>
              <w:rPr>
                <w:sz w:val="22"/>
              </w:rPr>
              <w:t>5</w:t>
            </w:r>
          </w:p>
        </w:tc>
        <w:tc>
          <w:tcPr>
            <w:tcW w:w="2126" w:type="dxa"/>
            <w:shd w:val="clear" w:color="auto" w:fill="auto"/>
          </w:tcPr>
          <w:p w14:paraId="7112422E" w14:textId="77777777" w:rsidR="001011F5" w:rsidRPr="00AF6B0E" w:rsidRDefault="001011F5" w:rsidP="003E3168">
            <w:pPr>
              <w:jc w:val="both"/>
              <w:rPr>
                <w:sz w:val="22"/>
              </w:rPr>
            </w:pPr>
          </w:p>
        </w:tc>
        <w:tc>
          <w:tcPr>
            <w:tcW w:w="2346" w:type="dxa"/>
          </w:tcPr>
          <w:p w14:paraId="6481E175" w14:textId="77777777" w:rsidR="001011F5" w:rsidRPr="00AF6B0E" w:rsidRDefault="001011F5" w:rsidP="003E3168">
            <w:pPr>
              <w:jc w:val="both"/>
              <w:rPr>
                <w:sz w:val="22"/>
              </w:rPr>
            </w:pPr>
          </w:p>
        </w:tc>
      </w:tr>
    </w:tbl>
    <w:p w14:paraId="295244C1" w14:textId="77777777" w:rsidR="001011F5" w:rsidRPr="00F8655F" w:rsidRDefault="001011F5" w:rsidP="001011F5">
      <w:pPr>
        <w:jc w:val="both"/>
        <w:rPr>
          <w:sz w:val="16"/>
          <w:szCs w:val="16"/>
        </w:rPr>
      </w:pPr>
    </w:p>
    <w:p w14:paraId="542476F4" w14:textId="77777777" w:rsidR="001011F5" w:rsidRPr="007E7744" w:rsidRDefault="001011F5" w:rsidP="001011F5">
      <w:pPr>
        <w:jc w:val="center"/>
        <w:rPr>
          <w:sz w:val="16"/>
          <w:szCs w:val="16"/>
        </w:rPr>
      </w:pPr>
    </w:p>
    <w:p w14:paraId="15F45C7D" w14:textId="77777777" w:rsidR="001011F5" w:rsidRPr="000356B1" w:rsidRDefault="001011F5" w:rsidP="001011F5">
      <w:pPr>
        <w:jc w:val="both"/>
        <w:rPr>
          <w:sz w:val="20"/>
          <w:szCs w:val="20"/>
        </w:rPr>
      </w:pPr>
      <w:r>
        <w:rPr>
          <w:sz w:val="20"/>
          <w:szCs w:val="20"/>
        </w:rPr>
        <w:t xml:space="preserve"> </w:t>
      </w:r>
    </w:p>
    <w:p w14:paraId="5A8CE5D3" w14:textId="77777777" w:rsidR="001011F5" w:rsidRDefault="001011F5" w:rsidP="001011F5">
      <w:pPr>
        <w:tabs>
          <w:tab w:val="left" w:pos="5103"/>
        </w:tabs>
        <w:jc w:val="both"/>
        <w:rPr>
          <w:sz w:val="20"/>
          <w:szCs w:val="20"/>
        </w:rPr>
      </w:pPr>
      <w:r>
        <w:rPr>
          <w:b/>
          <w:sz w:val="20"/>
          <w:szCs w:val="20"/>
        </w:rPr>
        <w:t xml:space="preserve"> PASLAUGAS PRIĖMĖ:                                                       </w:t>
      </w:r>
      <w:r>
        <w:rPr>
          <w:b/>
          <w:sz w:val="20"/>
          <w:szCs w:val="20"/>
        </w:rPr>
        <w:tab/>
      </w:r>
      <w:r>
        <w:rPr>
          <w:b/>
          <w:sz w:val="20"/>
          <w:szCs w:val="20"/>
        </w:rPr>
        <w:tab/>
        <w:t xml:space="preserve">      PASLAUGAS SUTEIKĖ</w:t>
      </w:r>
      <w:r w:rsidRPr="00145A30">
        <w:rPr>
          <w:b/>
          <w:sz w:val="20"/>
          <w:szCs w:val="20"/>
        </w:rPr>
        <w:t>:</w:t>
      </w:r>
      <w:r>
        <w:rPr>
          <w:sz w:val="20"/>
          <w:szCs w:val="20"/>
        </w:rPr>
        <w:tab/>
        <w:t xml:space="preserve"> </w:t>
      </w:r>
    </w:p>
    <w:p w14:paraId="6A59B541" w14:textId="77777777" w:rsidR="001011F5" w:rsidRPr="001A34E5" w:rsidRDefault="001011F5" w:rsidP="001011F5">
      <w:pPr>
        <w:tabs>
          <w:tab w:val="left" w:pos="5245"/>
        </w:tabs>
        <w:jc w:val="both"/>
        <w:rPr>
          <w:i/>
          <w:sz w:val="16"/>
          <w:szCs w:val="16"/>
        </w:rPr>
      </w:pPr>
      <w:r>
        <w:rPr>
          <w:sz w:val="16"/>
          <w:szCs w:val="16"/>
        </w:rPr>
        <w:tab/>
      </w:r>
    </w:p>
    <w:tbl>
      <w:tblPr>
        <w:tblW w:w="9862" w:type="dxa"/>
        <w:tblInd w:w="-34" w:type="dxa"/>
        <w:tblLook w:val="00A0" w:firstRow="1" w:lastRow="0" w:firstColumn="1" w:lastColumn="0" w:noHBand="0" w:noVBand="0"/>
      </w:tblPr>
      <w:tblGrid>
        <w:gridCol w:w="4820"/>
        <w:gridCol w:w="5042"/>
      </w:tblGrid>
      <w:tr w:rsidR="001011F5" w:rsidRPr="00E639A6" w14:paraId="0BACFAC4" w14:textId="77777777" w:rsidTr="003E3168">
        <w:trPr>
          <w:trHeight w:val="74"/>
        </w:trPr>
        <w:tc>
          <w:tcPr>
            <w:tcW w:w="4820" w:type="dxa"/>
          </w:tcPr>
          <w:p w14:paraId="0E8B6425" w14:textId="77777777" w:rsidR="001011F5" w:rsidRDefault="001011F5" w:rsidP="003E3168">
            <w:pPr>
              <w:rPr>
                <w:b/>
                <w:bCs/>
                <w:color w:val="000000"/>
                <w:sz w:val="20"/>
                <w:szCs w:val="20"/>
              </w:rPr>
            </w:pPr>
          </w:p>
          <w:p w14:paraId="148D97A4" w14:textId="77777777" w:rsidR="001011F5" w:rsidRPr="000F09BB" w:rsidRDefault="001011F5" w:rsidP="003E3168">
            <w:pPr>
              <w:rPr>
                <w:bCs/>
                <w:color w:val="000000"/>
                <w:sz w:val="20"/>
                <w:szCs w:val="20"/>
              </w:rPr>
            </w:pPr>
            <w:r w:rsidRPr="000F09BB">
              <w:rPr>
                <w:bCs/>
                <w:color w:val="000000"/>
                <w:sz w:val="20"/>
                <w:szCs w:val="20"/>
              </w:rPr>
              <w:t xml:space="preserve">Lietuvos kariuomenės Lietuvos didžiojo etmono Kristupo Radvilos Perkūno ryšių ir informacinių sistemų batalionas </w:t>
            </w:r>
          </w:p>
          <w:p w14:paraId="16FF2AE6" w14:textId="77777777" w:rsidR="001011F5" w:rsidRPr="00E639A6" w:rsidRDefault="001011F5" w:rsidP="003E3168">
            <w:pPr>
              <w:rPr>
                <w:color w:val="000000"/>
                <w:sz w:val="20"/>
                <w:szCs w:val="20"/>
              </w:rPr>
            </w:pPr>
          </w:p>
          <w:p w14:paraId="561D757F" w14:textId="77777777" w:rsidR="001011F5" w:rsidRPr="00E639A6" w:rsidRDefault="001011F5" w:rsidP="003E3168">
            <w:pPr>
              <w:rPr>
                <w:color w:val="000000"/>
                <w:sz w:val="20"/>
                <w:szCs w:val="20"/>
              </w:rPr>
            </w:pPr>
            <w:r w:rsidRPr="00E639A6">
              <w:rPr>
                <w:color w:val="000000"/>
                <w:sz w:val="20"/>
                <w:szCs w:val="20"/>
              </w:rPr>
              <w:t xml:space="preserve">Įmonės kodas: </w:t>
            </w:r>
            <w:r w:rsidRPr="00034560">
              <w:rPr>
                <w:color w:val="000000"/>
                <w:sz w:val="20"/>
                <w:szCs w:val="20"/>
              </w:rPr>
              <w:t>304980697</w:t>
            </w:r>
          </w:p>
          <w:p w14:paraId="43316EF7" w14:textId="77777777" w:rsidR="001011F5" w:rsidRPr="00E639A6" w:rsidRDefault="001011F5" w:rsidP="003E3168">
            <w:pPr>
              <w:rPr>
                <w:color w:val="000000"/>
                <w:sz w:val="20"/>
                <w:szCs w:val="20"/>
              </w:rPr>
            </w:pPr>
            <w:r w:rsidRPr="00E639A6">
              <w:rPr>
                <w:color w:val="000000"/>
                <w:sz w:val="20"/>
                <w:szCs w:val="20"/>
              </w:rPr>
              <w:t xml:space="preserve"> </w:t>
            </w:r>
          </w:p>
          <w:p w14:paraId="5A7ACDCC" w14:textId="77777777" w:rsidR="001011F5" w:rsidRPr="00E639A6" w:rsidRDefault="001011F5" w:rsidP="003E3168">
            <w:pPr>
              <w:rPr>
                <w:color w:val="000000"/>
                <w:sz w:val="20"/>
                <w:szCs w:val="20"/>
              </w:rPr>
            </w:pPr>
            <w:r w:rsidRPr="00E639A6">
              <w:rPr>
                <w:color w:val="000000"/>
                <w:sz w:val="20"/>
                <w:szCs w:val="20"/>
              </w:rPr>
              <w:t xml:space="preserve">Adresas: </w:t>
            </w:r>
            <w:r>
              <w:rPr>
                <w:color w:val="000000"/>
                <w:sz w:val="20"/>
                <w:szCs w:val="20"/>
              </w:rPr>
              <w:t>J. Kairiūkščio g. 14, Vilnius</w:t>
            </w:r>
          </w:p>
          <w:p w14:paraId="343603AC" w14:textId="77777777" w:rsidR="001011F5" w:rsidRPr="00E639A6" w:rsidRDefault="001011F5" w:rsidP="003E3168">
            <w:pPr>
              <w:rPr>
                <w:color w:val="000000"/>
                <w:sz w:val="20"/>
                <w:szCs w:val="20"/>
              </w:rPr>
            </w:pPr>
          </w:p>
          <w:p w14:paraId="17379AEE" w14:textId="77777777" w:rsidR="001011F5" w:rsidRPr="00E639A6" w:rsidRDefault="001011F5" w:rsidP="003E3168">
            <w:pPr>
              <w:rPr>
                <w:color w:val="000000"/>
                <w:sz w:val="20"/>
                <w:szCs w:val="20"/>
              </w:rPr>
            </w:pPr>
          </w:p>
          <w:p w14:paraId="4B3F4DD7" w14:textId="77777777" w:rsidR="001011F5" w:rsidRPr="00E639A6" w:rsidRDefault="001011F5" w:rsidP="003E3168">
            <w:pPr>
              <w:rPr>
                <w:color w:val="000000"/>
                <w:sz w:val="20"/>
                <w:szCs w:val="20"/>
              </w:rPr>
            </w:pPr>
            <w:r w:rsidRPr="00E639A6">
              <w:rPr>
                <w:color w:val="000000"/>
                <w:sz w:val="20"/>
                <w:szCs w:val="20"/>
              </w:rPr>
              <w:t>_____________________________________</w:t>
            </w:r>
          </w:p>
          <w:p w14:paraId="5699FF7B" w14:textId="77777777" w:rsidR="001011F5" w:rsidRPr="00E639A6" w:rsidRDefault="001011F5" w:rsidP="003E3168">
            <w:pPr>
              <w:rPr>
                <w:color w:val="000000"/>
                <w:sz w:val="20"/>
                <w:szCs w:val="20"/>
              </w:rPr>
            </w:pPr>
            <w:r w:rsidRPr="00E639A6">
              <w:rPr>
                <w:color w:val="000000"/>
                <w:sz w:val="20"/>
                <w:szCs w:val="20"/>
              </w:rPr>
              <w:t>(vardas, pavardė)</w:t>
            </w:r>
          </w:p>
          <w:p w14:paraId="6CEAEB5F" w14:textId="77777777" w:rsidR="001011F5" w:rsidRPr="00E639A6" w:rsidRDefault="001011F5" w:rsidP="003E3168">
            <w:pPr>
              <w:rPr>
                <w:color w:val="000000"/>
                <w:sz w:val="20"/>
                <w:szCs w:val="20"/>
              </w:rPr>
            </w:pPr>
          </w:p>
          <w:p w14:paraId="0B54859D" w14:textId="77777777" w:rsidR="001011F5" w:rsidRPr="00E639A6" w:rsidRDefault="001011F5" w:rsidP="003E3168">
            <w:pPr>
              <w:rPr>
                <w:color w:val="000000"/>
                <w:sz w:val="20"/>
                <w:szCs w:val="20"/>
              </w:rPr>
            </w:pPr>
            <w:r w:rsidRPr="00E639A6">
              <w:rPr>
                <w:color w:val="000000"/>
                <w:sz w:val="20"/>
                <w:szCs w:val="20"/>
              </w:rPr>
              <w:t>Parašas</w:t>
            </w:r>
          </w:p>
          <w:p w14:paraId="4496934E" w14:textId="77777777" w:rsidR="001011F5" w:rsidRPr="00E639A6" w:rsidRDefault="001011F5" w:rsidP="003E3168">
            <w:pPr>
              <w:rPr>
                <w:strike/>
                <w:color w:val="000000"/>
                <w:sz w:val="20"/>
                <w:szCs w:val="20"/>
              </w:rPr>
            </w:pPr>
          </w:p>
          <w:p w14:paraId="5F9DE4CF" w14:textId="77777777" w:rsidR="001011F5" w:rsidRPr="00E639A6" w:rsidRDefault="001011F5" w:rsidP="003E3168">
            <w:pPr>
              <w:rPr>
                <w:color w:val="000000"/>
                <w:sz w:val="20"/>
                <w:szCs w:val="20"/>
              </w:rPr>
            </w:pPr>
            <w:r w:rsidRPr="00E639A6">
              <w:rPr>
                <w:color w:val="000000"/>
                <w:sz w:val="20"/>
                <w:szCs w:val="20"/>
              </w:rPr>
              <w:t>Data:</w:t>
            </w:r>
          </w:p>
          <w:p w14:paraId="475FD25C" w14:textId="77777777" w:rsidR="001011F5" w:rsidRPr="00E639A6" w:rsidRDefault="001011F5" w:rsidP="003E3168">
            <w:pPr>
              <w:rPr>
                <w:color w:val="000000"/>
                <w:sz w:val="20"/>
                <w:szCs w:val="20"/>
              </w:rPr>
            </w:pPr>
          </w:p>
          <w:p w14:paraId="4215E23F" w14:textId="77777777" w:rsidR="001011F5" w:rsidRPr="00E639A6" w:rsidRDefault="001011F5" w:rsidP="003E3168">
            <w:pPr>
              <w:rPr>
                <w:color w:val="000000"/>
                <w:sz w:val="20"/>
                <w:szCs w:val="20"/>
              </w:rPr>
            </w:pPr>
          </w:p>
        </w:tc>
        <w:tc>
          <w:tcPr>
            <w:tcW w:w="5042" w:type="dxa"/>
          </w:tcPr>
          <w:p w14:paraId="5C956805" w14:textId="77777777" w:rsidR="001011F5" w:rsidRPr="00E639A6" w:rsidRDefault="001011F5" w:rsidP="003E3168">
            <w:pPr>
              <w:keepNext/>
              <w:snapToGrid w:val="0"/>
              <w:rPr>
                <w:sz w:val="20"/>
                <w:szCs w:val="20"/>
              </w:rPr>
            </w:pPr>
          </w:p>
          <w:p w14:paraId="6AC47F8D" w14:textId="77777777" w:rsidR="001011F5" w:rsidRPr="00E639A6" w:rsidRDefault="001011F5" w:rsidP="003E3168">
            <w:pPr>
              <w:rPr>
                <w:b/>
                <w:bCs/>
                <w:color w:val="000000"/>
                <w:sz w:val="20"/>
                <w:szCs w:val="20"/>
              </w:rPr>
            </w:pPr>
            <w:r>
              <w:rPr>
                <w:b/>
                <w:bCs/>
                <w:color w:val="000000"/>
                <w:sz w:val="20"/>
                <w:szCs w:val="20"/>
              </w:rPr>
              <w:t xml:space="preserve">                        </w:t>
            </w:r>
            <w:r w:rsidRPr="00E639A6">
              <w:rPr>
                <w:b/>
                <w:bCs/>
                <w:color w:val="000000"/>
                <w:sz w:val="20"/>
                <w:szCs w:val="20"/>
              </w:rPr>
              <w:t xml:space="preserve">____________________________________ </w:t>
            </w:r>
          </w:p>
          <w:p w14:paraId="0F5E281B" w14:textId="77777777" w:rsidR="001011F5" w:rsidRPr="00E639A6" w:rsidRDefault="001011F5" w:rsidP="003E3168">
            <w:pPr>
              <w:rPr>
                <w:color w:val="000000"/>
                <w:sz w:val="20"/>
                <w:szCs w:val="20"/>
              </w:rPr>
            </w:pPr>
            <w:r>
              <w:rPr>
                <w:color w:val="000000"/>
                <w:sz w:val="20"/>
                <w:szCs w:val="20"/>
              </w:rPr>
              <w:t xml:space="preserve">                        </w:t>
            </w:r>
            <w:r w:rsidRPr="00E639A6">
              <w:rPr>
                <w:color w:val="000000"/>
                <w:sz w:val="20"/>
                <w:szCs w:val="20"/>
              </w:rPr>
              <w:t>(pavadinimas)</w:t>
            </w:r>
          </w:p>
          <w:p w14:paraId="2A354C3B" w14:textId="77777777" w:rsidR="001011F5" w:rsidRPr="00E639A6" w:rsidRDefault="001011F5" w:rsidP="003E3168">
            <w:pPr>
              <w:rPr>
                <w:color w:val="000000"/>
                <w:sz w:val="20"/>
                <w:szCs w:val="20"/>
              </w:rPr>
            </w:pPr>
          </w:p>
          <w:p w14:paraId="59BA44A8" w14:textId="77777777" w:rsidR="001011F5" w:rsidRPr="00E639A6" w:rsidRDefault="001011F5" w:rsidP="003E3168">
            <w:pPr>
              <w:rPr>
                <w:color w:val="000000"/>
                <w:sz w:val="20"/>
                <w:szCs w:val="20"/>
              </w:rPr>
            </w:pPr>
            <w:r>
              <w:rPr>
                <w:color w:val="000000"/>
                <w:sz w:val="20"/>
                <w:szCs w:val="20"/>
              </w:rPr>
              <w:t xml:space="preserve">                        </w:t>
            </w:r>
            <w:r w:rsidRPr="00E639A6">
              <w:rPr>
                <w:color w:val="000000"/>
                <w:sz w:val="20"/>
                <w:szCs w:val="20"/>
              </w:rPr>
              <w:t xml:space="preserve">Įmonės kodas: </w:t>
            </w:r>
          </w:p>
          <w:p w14:paraId="59E8B6F9" w14:textId="77777777" w:rsidR="001011F5" w:rsidRPr="00E639A6" w:rsidRDefault="001011F5" w:rsidP="003E3168">
            <w:pPr>
              <w:rPr>
                <w:color w:val="000000"/>
                <w:sz w:val="20"/>
                <w:szCs w:val="20"/>
              </w:rPr>
            </w:pPr>
            <w:r w:rsidRPr="00E639A6">
              <w:rPr>
                <w:color w:val="000000"/>
                <w:sz w:val="20"/>
                <w:szCs w:val="20"/>
              </w:rPr>
              <w:t xml:space="preserve"> </w:t>
            </w:r>
          </w:p>
          <w:p w14:paraId="4FC05568" w14:textId="77777777" w:rsidR="001011F5" w:rsidRPr="00E639A6" w:rsidRDefault="001011F5" w:rsidP="003E3168">
            <w:pPr>
              <w:rPr>
                <w:color w:val="000000"/>
                <w:sz w:val="20"/>
                <w:szCs w:val="20"/>
              </w:rPr>
            </w:pPr>
            <w:r>
              <w:rPr>
                <w:color w:val="000000"/>
                <w:sz w:val="20"/>
                <w:szCs w:val="20"/>
              </w:rPr>
              <w:t xml:space="preserve">                        </w:t>
            </w:r>
            <w:r w:rsidRPr="00E639A6">
              <w:rPr>
                <w:color w:val="000000"/>
                <w:sz w:val="20"/>
                <w:szCs w:val="20"/>
              </w:rPr>
              <w:t xml:space="preserve">Adresas: </w:t>
            </w:r>
          </w:p>
          <w:p w14:paraId="209966A7" w14:textId="77777777" w:rsidR="001011F5" w:rsidRPr="00E639A6" w:rsidRDefault="001011F5" w:rsidP="003E3168">
            <w:pPr>
              <w:keepNext/>
              <w:snapToGrid w:val="0"/>
              <w:rPr>
                <w:sz w:val="20"/>
                <w:szCs w:val="20"/>
              </w:rPr>
            </w:pPr>
          </w:p>
          <w:p w14:paraId="3803CF6A" w14:textId="77777777" w:rsidR="001011F5" w:rsidRDefault="001011F5" w:rsidP="003E3168">
            <w:pPr>
              <w:keepNext/>
              <w:snapToGrid w:val="0"/>
              <w:rPr>
                <w:sz w:val="20"/>
                <w:szCs w:val="20"/>
              </w:rPr>
            </w:pPr>
          </w:p>
          <w:p w14:paraId="0538D893" w14:textId="77777777" w:rsidR="001011F5" w:rsidRPr="00E639A6" w:rsidRDefault="001011F5" w:rsidP="003E3168">
            <w:pPr>
              <w:keepNext/>
              <w:snapToGrid w:val="0"/>
              <w:rPr>
                <w:sz w:val="20"/>
                <w:szCs w:val="20"/>
              </w:rPr>
            </w:pPr>
          </w:p>
          <w:p w14:paraId="70D92251" w14:textId="77777777" w:rsidR="001011F5" w:rsidRPr="00E639A6" w:rsidRDefault="001011F5" w:rsidP="003E3168">
            <w:pPr>
              <w:keepNext/>
              <w:snapToGrid w:val="0"/>
              <w:rPr>
                <w:sz w:val="20"/>
                <w:szCs w:val="20"/>
              </w:rPr>
            </w:pPr>
            <w:r>
              <w:rPr>
                <w:sz w:val="20"/>
                <w:szCs w:val="20"/>
              </w:rPr>
              <w:t xml:space="preserve">                        </w:t>
            </w:r>
            <w:r w:rsidRPr="00E639A6">
              <w:rPr>
                <w:sz w:val="20"/>
                <w:szCs w:val="20"/>
              </w:rPr>
              <w:t>_____</w:t>
            </w:r>
            <w:r>
              <w:rPr>
                <w:sz w:val="20"/>
                <w:szCs w:val="20"/>
              </w:rPr>
              <w:t>_______________________________</w:t>
            </w:r>
          </w:p>
          <w:p w14:paraId="55066FFD" w14:textId="77777777" w:rsidR="001011F5" w:rsidRPr="00E639A6" w:rsidRDefault="001011F5" w:rsidP="003E3168">
            <w:pPr>
              <w:rPr>
                <w:color w:val="000000"/>
                <w:sz w:val="20"/>
                <w:szCs w:val="20"/>
              </w:rPr>
            </w:pPr>
            <w:r>
              <w:rPr>
                <w:color w:val="000000"/>
                <w:sz w:val="20"/>
                <w:szCs w:val="20"/>
              </w:rPr>
              <w:t xml:space="preserve">                        </w:t>
            </w:r>
            <w:r w:rsidRPr="00E639A6">
              <w:rPr>
                <w:color w:val="000000"/>
                <w:sz w:val="20"/>
                <w:szCs w:val="20"/>
              </w:rPr>
              <w:t>(vardas, pavardė)</w:t>
            </w:r>
          </w:p>
          <w:p w14:paraId="730332C5" w14:textId="77777777" w:rsidR="001011F5" w:rsidRPr="00E639A6" w:rsidRDefault="001011F5" w:rsidP="003E3168">
            <w:pPr>
              <w:keepNext/>
              <w:snapToGrid w:val="0"/>
              <w:rPr>
                <w:sz w:val="20"/>
                <w:szCs w:val="20"/>
              </w:rPr>
            </w:pPr>
          </w:p>
          <w:p w14:paraId="5CBFA50D" w14:textId="77777777" w:rsidR="001011F5" w:rsidRPr="00E639A6" w:rsidRDefault="001011F5" w:rsidP="003E3168">
            <w:pPr>
              <w:keepNext/>
              <w:snapToGrid w:val="0"/>
              <w:rPr>
                <w:sz w:val="20"/>
                <w:szCs w:val="20"/>
              </w:rPr>
            </w:pPr>
            <w:r>
              <w:rPr>
                <w:sz w:val="20"/>
                <w:szCs w:val="20"/>
              </w:rPr>
              <w:t xml:space="preserve">                        </w:t>
            </w:r>
            <w:r w:rsidRPr="00E639A6">
              <w:rPr>
                <w:sz w:val="20"/>
                <w:szCs w:val="20"/>
              </w:rPr>
              <w:t>Parašas</w:t>
            </w:r>
          </w:p>
          <w:p w14:paraId="3F2BDCBB" w14:textId="77777777" w:rsidR="001011F5" w:rsidRPr="00E639A6" w:rsidRDefault="001011F5" w:rsidP="003E3168">
            <w:pPr>
              <w:keepNext/>
              <w:snapToGrid w:val="0"/>
              <w:rPr>
                <w:sz w:val="20"/>
                <w:szCs w:val="20"/>
              </w:rPr>
            </w:pPr>
          </w:p>
          <w:p w14:paraId="10BFD930" w14:textId="77777777" w:rsidR="001011F5" w:rsidRPr="00E639A6" w:rsidRDefault="001011F5" w:rsidP="003E3168">
            <w:pPr>
              <w:keepNext/>
              <w:snapToGrid w:val="0"/>
              <w:rPr>
                <w:sz w:val="20"/>
                <w:szCs w:val="20"/>
              </w:rPr>
            </w:pPr>
            <w:r>
              <w:rPr>
                <w:sz w:val="20"/>
                <w:szCs w:val="20"/>
              </w:rPr>
              <w:t xml:space="preserve">                        </w:t>
            </w:r>
            <w:r w:rsidRPr="00E639A6">
              <w:rPr>
                <w:sz w:val="20"/>
                <w:szCs w:val="20"/>
              </w:rPr>
              <w:t>Data:</w:t>
            </w:r>
          </w:p>
          <w:p w14:paraId="2AFBC574" w14:textId="77777777" w:rsidR="001011F5" w:rsidRPr="00E639A6" w:rsidRDefault="001011F5" w:rsidP="003E3168">
            <w:pPr>
              <w:keepNext/>
              <w:snapToGrid w:val="0"/>
              <w:rPr>
                <w:sz w:val="20"/>
                <w:szCs w:val="20"/>
              </w:rPr>
            </w:pPr>
          </w:p>
          <w:p w14:paraId="17D2C3C4" w14:textId="77777777" w:rsidR="001011F5" w:rsidRPr="00E639A6" w:rsidRDefault="001011F5" w:rsidP="003E3168">
            <w:pPr>
              <w:keepNext/>
              <w:snapToGrid w:val="0"/>
              <w:rPr>
                <w:sz w:val="20"/>
                <w:szCs w:val="20"/>
                <w:highlight w:val="yellow"/>
              </w:rPr>
            </w:pPr>
          </w:p>
        </w:tc>
      </w:tr>
    </w:tbl>
    <w:p w14:paraId="133125A3" w14:textId="77777777" w:rsidR="001011F5" w:rsidRPr="00CF3C9A" w:rsidRDefault="001011F5">
      <w:pPr>
        <w:rPr>
          <w:rFonts w:eastAsia="PMingLiU"/>
        </w:rPr>
      </w:pPr>
    </w:p>
    <w:sectPr w:rsidR="001011F5" w:rsidRPr="00CF3C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FE956F" w16cex:dateUtc="2026-01-15T11:15:00Z"/>
  <w16cex:commentExtensible w16cex:durableId="35F265B4" w16cex:dateUtc="2026-01-15T11:19:00Z"/>
  <w16cex:commentExtensible w16cex:durableId="0057A184" w16cex:dateUtc="2026-01-15T11:26:00Z"/>
  <w16cex:commentExtensible w16cex:durableId="2564B108" w16cex:dateUtc="2026-01-15T11:26:00Z"/>
  <w16cex:commentExtensible w16cex:durableId="55F54CEF" w16cex:dateUtc="2026-01-15T11:46:00Z"/>
  <w16cex:commentExtensible w16cex:durableId="3E702E5F" w16cex:dateUtc="2026-01-15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FD39F" w16cid:durableId="041B5A1F"/>
  <w16cid:commentId w16cid:paraId="2BCE8F04" w16cid:durableId="25FE956F"/>
  <w16cid:commentId w16cid:paraId="087625EE" w16cid:durableId="35F265B4"/>
  <w16cid:commentId w16cid:paraId="646E33B6" w16cid:durableId="62747A87"/>
  <w16cid:commentId w16cid:paraId="5A3C5020" w16cid:durableId="4E5C709A"/>
  <w16cid:commentId w16cid:paraId="5858B268" w16cid:durableId="0057A184"/>
  <w16cid:commentId w16cid:paraId="18720F41" w16cid:durableId="613A8802"/>
  <w16cid:commentId w16cid:paraId="552BACFC" w16cid:durableId="2564B108"/>
  <w16cid:commentId w16cid:paraId="779F16C2" w16cid:durableId="50423DE8"/>
  <w16cid:commentId w16cid:paraId="3E8E47B1" w16cid:durableId="55F54CEF"/>
  <w16cid:commentId w16cid:paraId="3520B585" w16cid:durableId="3E702E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ABF93" w14:textId="77777777" w:rsidR="00044D53" w:rsidRDefault="00044D53">
      <w:r>
        <w:separator/>
      </w:r>
    </w:p>
  </w:endnote>
  <w:endnote w:type="continuationSeparator" w:id="0">
    <w:p w14:paraId="4AB84145" w14:textId="77777777" w:rsidR="00044D53" w:rsidRDefault="0004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BA"/>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0B4DF9" w:rsidRDefault="000B4DF9"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0B4DF9" w:rsidRDefault="000B4DF9"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0B4DF9" w:rsidRDefault="000B4DF9" w:rsidP="0066554A">
    <w:pPr>
      <w:pStyle w:val="Footer"/>
      <w:framePr w:wrap="around" w:vAnchor="text" w:hAnchor="margin" w:xAlign="right" w:y="1"/>
      <w:rPr>
        <w:rStyle w:val="PageNumber"/>
      </w:rPr>
    </w:pPr>
  </w:p>
  <w:p w14:paraId="53CE9D0C" w14:textId="77777777" w:rsidR="000B4DF9" w:rsidRDefault="000B4DF9"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2CFDE" w14:textId="77777777" w:rsidR="00044D53" w:rsidRDefault="00044D53">
      <w:r>
        <w:separator/>
      </w:r>
    </w:p>
  </w:footnote>
  <w:footnote w:type="continuationSeparator" w:id="0">
    <w:p w14:paraId="39F49FD9" w14:textId="77777777" w:rsidR="00044D53" w:rsidRDefault="0004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0B4DF9" w:rsidRDefault="000B4DF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0B4DF9" w:rsidRDefault="000B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73F7524" w:rsidR="000B4DF9" w:rsidRDefault="000B4DF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3D33">
      <w:rPr>
        <w:rStyle w:val="PageNumber"/>
        <w:noProof/>
      </w:rPr>
      <w:t>10</w:t>
    </w:r>
    <w:r>
      <w:rPr>
        <w:rStyle w:val="PageNumber"/>
      </w:rPr>
      <w:fldChar w:fldCharType="end"/>
    </w:r>
  </w:p>
  <w:p w14:paraId="53CE9D08" w14:textId="77777777" w:rsidR="000B4DF9" w:rsidRDefault="000B4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9"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513A15"/>
    <w:multiLevelType w:val="multilevel"/>
    <w:tmpl w:val="FA6CA15A"/>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4"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8"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D541824"/>
    <w:multiLevelType w:val="multilevel"/>
    <w:tmpl w:val="3AE6EB1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2"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9"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2"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2"/>
  </w:num>
  <w:num w:numId="2">
    <w:abstractNumId w:val="32"/>
  </w:num>
  <w:num w:numId="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8"/>
  </w:num>
  <w:num w:numId="13">
    <w:abstractNumId w:val="11"/>
  </w:num>
  <w:num w:numId="14">
    <w:abstractNumId w:val="23"/>
  </w:num>
  <w:num w:numId="15">
    <w:abstractNumId w:val="13"/>
  </w:num>
  <w:num w:numId="16">
    <w:abstractNumId w:val="28"/>
  </w:num>
  <w:num w:numId="17">
    <w:abstractNumId w:val="26"/>
  </w:num>
  <w:num w:numId="18">
    <w:abstractNumId w:val="22"/>
  </w:num>
  <w:num w:numId="19">
    <w:abstractNumId w:val="2"/>
  </w:num>
  <w:num w:numId="20">
    <w:abstractNumId w:val="31"/>
  </w:num>
  <w:num w:numId="21">
    <w:abstractNumId w:val="12"/>
  </w:num>
  <w:num w:numId="22">
    <w:abstractNumId w:val="18"/>
  </w:num>
  <w:num w:numId="23">
    <w:abstractNumId w:val="17"/>
  </w:num>
  <w:num w:numId="24">
    <w:abstractNumId w:val="27"/>
  </w:num>
  <w:num w:numId="25">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2"/>
  </w:num>
  <w:num w:numId="33">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4"/>
  </w:num>
  <w:num w:numId="41">
    <w:abstractNumId w:val="29"/>
  </w:num>
  <w:num w:numId="42">
    <w:abstractNumId w:val="5"/>
  </w:num>
  <w:num w:numId="43">
    <w:abstractNumId w:val="25"/>
  </w:num>
  <w:num w:numId="44">
    <w:abstractNumId w:val="9"/>
  </w:num>
  <w:num w:numId="45">
    <w:abstractNumId w:val="19"/>
  </w:num>
  <w:num w:numId="4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42D5"/>
    <w:rsid w:val="0002638C"/>
    <w:rsid w:val="000312F9"/>
    <w:rsid w:val="00034776"/>
    <w:rsid w:val="0003677C"/>
    <w:rsid w:val="0003682D"/>
    <w:rsid w:val="00040063"/>
    <w:rsid w:val="00042482"/>
    <w:rsid w:val="00044D53"/>
    <w:rsid w:val="00047E81"/>
    <w:rsid w:val="00052416"/>
    <w:rsid w:val="00052859"/>
    <w:rsid w:val="00052F1C"/>
    <w:rsid w:val="00055AA0"/>
    <w:rsid w:val="00055E09"/>
    <w:rsid w:val="000563EC"/>
    <w:rsid w:val="00056D13"/>
    <w:rsid w:val="00060618"/>
    <w:rsid w:val="000630CE"/>
    <w:rsid w:val="00070017"/>
    <w:rsid w:val="00070663"/>
    <w:rsid w:val="000745E8"/>
    <w:rsid w:val="00075FA2"/>
    <w:rsid w:val="000804BC"/>
    <w:rsid w:val="00080CF2"/>
    <w:rsid w:val="00083434"/>
    <w:rsid w:val="00083756"/>
    <w:rsid w:val="000866E3"/>
    <w:rsid w:val="0008772A"/>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4DF9"/>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1F5"/>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2B78"/>
    <w:rsid w:val="001964EC"/>
    <w:rsid w:val="001A3860"/>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1CAE"/>
    <w:rsid w:val="00212D3B"/>
    <w:rsid w:val="0021693C"/>
    <w:rsid w:val="00217F07"/>
    <w:rsid w:val="00223A58"/>
    <w:rsid w:val="00223BAA"/>
    <w:rsid w:val="00223F63"/>
    <w:rsid w:val="0022485D"/>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3E86"/>
    <w:rsid w:val="002B4975"/>
    <w:rsid w:val="002B63AA"/>
    <w:rsid w:val="002C0656"/>
    <w:rsid w:val="002C0C8C"/>
    <w:rsid w:val="002C1D5C"/>
    <w:rsid w:val="002C2285"/>
    <w:rsid w:val="002C3319"/>
    <w:rsid w:val="002C434A"/>
    <w:rsid w:val="002C5248"/>
    <w:rsid w:val="002D0FB6"/>
    <w:rsid w:val="002D24A1"/>
    <w:rsid w:val="002D4904"/>
    <w:rsid w:val="002D4AE2"/>
    <w:rsid w:val="002D5FF3"/>
    <w:rsid w:val="002D6099"/>
    <w:rsid w:val="002D618B"/>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63E5"/>
    <w:rsid w:val="00442A7B"/>
    <w:rsid w:val="0044514A"/>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F1C"/>
    <w:rsid w:val="0048373B"/>
    <w:rsid w:val="00485041"/>
    <w:rsid w:val="004856AD"/>
    <w:rsid w:val="00491677"/>
    <w:rsid w:val="00496F47"/>
    <w:rsid w:val="0049779A"/>
    <w:rsid w:val="004A2F1B"/>
    <w:rsid w:val="004A3D31"/>
    <w:rsid w:val="004A4DB8"/>
    <w:rsid w:val="004A4F5D"/>
    <w:rsid w:val="004A5785"/>
    <w:rsid w:val="004A587C"/>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678"/>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472B2"/>
    <w:rsid w:val="00551767"/>
    <w:rsid w:val="005560B4"/>
    <w:rsid w:val="00566D81"/>
    <w:rsid w:val="00566EEE"/>
    <w:rsid w:val="005708F5"/>
    <w:rsid w:val="00570EEC"/>
    <w:rsid w:val="0057146D"/>
    <w:rsid w:val="00573E4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B7F90"/>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27DBD"/>
    <w:rsid w:val="00630802"/>
    <w:rsid w:val="0063112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E80"/>
    <w:rsid w:val="006854FC"/>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37AD8"/>
    <w:rsid w:val="00740788"/>
    <w:rsid w:val="007422D2"/>
    <w:rsid w:val="00742B7F"/>
    <w:rsid w:val="00743806"/>
    <w:rsid w:val="00744729"/>
    <w:rsid w:val="00745502"/>
    <w:rsid w:val="00745891"/>
    <w:rsid w:val="00745CCD"/>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1AC2"/>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3D33"/>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C791F"/>
    <w:rsid w:val="009D13FD"/>
    <w:rsid w:val="009D1DFE"/>
    <w:rsid w:val="009D2D36"/>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3686"/>
    <w:rsid w:val="00A15B5B"/>
    <w:rsid w:val="00A16FE5"/>
    <w:rsid w:val="00A1727F"/>
    <w:rsid w:val="00A240C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38B"/>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5D67"/>
    <w:rsid w:val="00B366B7"/>
    <w:rsid w:val="00B369FE"/>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00C7"/>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3C9A"/>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42BB"/>
    <w:rsid w:val="00D151BB"/>
    <w:rsid w:val="00D16549"/>
    <w:rsid w:val="00D16D58"/>
    <w:rsid w:val="00D1737E"/>
    <w:rsid w:val="00D21D47"/>
    <w:rsid w:val="00D24100"/>
    <w:rsid w:val="00D246D6"/>
    <w:rsid w:val="00D247BA"/>
    <w:rsid w:val="00D2539C"/>
    <w:rsid w:val="00D26E09"/>
    <w:rsid w:val="00D30DE8"/>
    <w:rsid w:val="00D32666"/>
    <w:rsid w:val="00D32C97"/>
    <w:rsid w:val="00D3429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7CDD"/>
    <w:rsid w:val="00D8060A"/>
    <w:rsid w:val="00D81420"/>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2F9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6F"/>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4781119">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as.petrau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E3A4-5478-491A-A587-2D1C54EC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8287</Words>
  <Characters>47241</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55418</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Matas Petrauskas</cp:lastModifiedBy>
  <cp:revision>4</cp:revision>
  <cp:lastPrinted>2024-06-25T11:52:00Z</cp:lastPrinted>
  <dcterms:created xsi:type="dcterms:W3CDTF">2026-01-15T12:14:00Z</dcterms:created>
  <dcterms:modified xsi:type="dcterms:W3CDTF">2026-01-19T08:15:00Z</dcterms:modified>
</cp:coreProperties>
</file>