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F8D" w:rsidRDefault="00D8476E" w:rsidP="00D8476E">
      <w:pPr>
        <w:jc w:val="center"/>
      </w:pPr>
      <w:r>
        <w:t>KLAUSIMAI – ATSAKYMAI</w:t>
      </w:r>
    </w:p>
    <w:p w:rsidR="00D8476E" w:rsidRDefault="00D8476E" w:rsidP="00D8476E">
      <w:pPr>
        <w:jc w:val="center"/>
      </w:pPr>
    </w:p>
    <w:tbl>
      <w:tblPr>
        <w:tblStyle w:val="TableGrid"/>
        <w:tblW w:w="0" w:type="auto"/>
        <w:tblLook w:val="04A0" w:firstRow="1" w:lastRow="0" w:firstColumn="1" w:lastColumn="0" w:noHBand="0" w:noVBand="1"/>
      </w:tblPr>
      <w:tblGrid>
        <w:gridCol w:w="4814"/>
        <w:gridCol w:w="4814"/>
      </w:tblGrid>
      <w:tr w:rsidR="00D8476E" w:rsidTr="00D8476E">
        <w:tc>
          <w:tcPr>
            <w:tcW w:w="4814" w:type="dxa"/>
          </w:tcPr>
          <w:p w:rsidR="00D8476E" w:rsidRDefault="00D8476E" w:rsidP="00D8476E">
            <w:pPr>
              <w:jc w:val="center"/>
            </w:pPr>
            <w:r>
              <w:t>KLAUSIMAI</w:t>
            </w:r>
          </w:p>
        </w:tc>
        <w:tc>
          <w:tcPr>
            <w:tcW w:w="4814" w:type="dxa"/>
          </w:tcPr>
          <w:p w:rsidR="00D8476E" w:rsidRDefault="00D8476E" w:rsidP="00D8476E">
            <w:pPr>
              <w:jc w:val="center"/>
            </w:pPr>
            <w:r>
              <w:t>ATSAKYMAI</w:t>
            </w:r>
          </w:p>
        </w:tc>
      </w:tr>
      <w:tr w:rsidR="00D8476E" w:rsidTr="00D8476E">
        <w:tc>
          <w:tcPr>
            <w:tcW w:w="4814" w:type="dxa"/>
          </w:tcPr>
          <w:p w:rsidR="00D8476E" w:rsidRDefault="00D8476E" w:rsidP="00D8476E">
            <w:pPr>
              <w:jc w:val="both"/>
              <w:rPr>
                <w:rStyle w:val="PageNumber"/>
                <w:rFonts w:ascii="Times New Roman" w:hAnsi="Times New Roman"/>
                <w:shd w:val="clear" w:color="auto" w:fill="FFFFFF"/>
              </w:rPr>
            </w:pPr>
            <w:r>
              <w:rPr>
                <w:rStyle w:val="PageNumber"/>
                <w:rFonts w:ascii="Times New Roman" w:hAnsi="Times New Roman"/>
                <w:shd w:val="clear" w:color="auto" w:fill="FFFFFF"/>
              </w:rPr>
              <w:t>2026-01-05 d. 12.18 val.</w:t>
            </w:r>
          </w:p>
          <w:p w:rsidR="00D8476E" w:rsidRPr="00D8476E" w:rsidRDefault="00D8476E" w:rsidP="00D8476E">
            <w:pPr>
              <w:jc w:val="both"/>
              <w:rPr>
                <w:rFonts w:ascii="Times New Roman" w:hAnsi="Times New Roman"/>
                <w:shd w:val="clear" w:color="auto" w:fill="FFFFFF"/>
              </w:rPr>
            </w:pPr>
            <w:r>
              <w:rPr>
                <w:rStyle w:val="PageNumber"/>
              </w:rPr>
              <w:t>K</w:t>
            </w:r>
            <w:r w:rsidRPr="00D8476E">
              <w:rPr>
                <w:rFonts w:ascii="Times New Roman" w:eastAsia="Times New Roman" w:hAnsi="Times New Roman" w:cs="Times New Roman"/>
                <w:bCs/>
                <w:i/>
                <w:color w:val="000000"/>
                <w:kern w:val="3"/>
                <w:sz w:val="24"/>
                <w:szCs w:val="24"/>
                <w:shd w:val="clear" w:color="auto" w:fill="FFFFFF"/>
                <w:lang w:eastAsia="lt-LT" w:bidi="hi-IN"/>
              </w:rPr>
              <w:t>okiomis technologijomis realizuotos PRĮR naudotojo sąsajos ( technologija, technologijos versija, komponento pavad</w:t>
            </w:r>
            <w:r w:rsidR="00553883">
              <w:rPr>
                <w:rFonts w:ascii="Times New Roman" w:eastAsia="Times New Roman" w:hAnsi="Times New Roman" w:cs="Times New Roman"/>
                <w:bCs/>
                <w:i/>
                <w:color w:val="000000"/>
                <w:kern w:val="3"/>
                <w:sz w:val="24"/>
                <w:szCs w:val="24"/>
                <w:shd w:val="clear" w:color="auto" w:fill="FFFFFF"/>
                <w:lang w:eastAsia="lt-LT" w:bidi="hi-IN"/>
              </w:rPr>
              <w:t>inimas pagal techninę užduotį)?</w:t>
            </w:r>
          </w:p>
          <w:p w:rsidR="00D8476E" w:rsidRDefault="00D8476E" w:rsidP="00D8476E">
            <w:pPr>
              <w:jc w:val="both"/>
            </w:pPr>
          </w:p>
        </w:tc>
        <w:tc>
          <w:tcPr>
            <w:tcW w:w="4814" w:type="dxa"/>
          </w:tcPr>
          <w:p w:rsidR="00D8476E" w:rsidRPr="00D8476E" w:rsidRDefault="00D8476E" w:rsidP="00D8476E">
            <w:pPr>
              <w:suppressAutoHyphens/>
              <w:autoSpaceDN w:val="0"/>
              <w:jc w:val="both"/>
              <w:rPr>
                <w:rFonts w:ascii="Liberation Serif" w:eastAsia="NSimSun" w:hAnsi="Liberation Serif" w:cs="Arial"/>
                <w:kern w:val="3"/>
                <w:sz w:val="24"/>
                <w:szCs w:val="24"/>
                <w:lang w:eastAsia="zh-CN" w:bidi="hi-IN"/>
              </w:rPr>
            </w:pPr>
            <w:r w:rsidRPr="00D8476E">
              <w:rPr>
                <w:rFonts w:ascii="Times New Roman" w:eastAsia="Times New Roman" w:hAnsi="Times New Roman" w:cs="Times New Roman"/>
                <w:bCs/>
                <w:i/>
                <w:color w:val="000000"/>
                <w:kern w:val="3"/>
                <w:sz w:val="24"/>
                <w:szCs w:val="24"/>
                <w:shd w:val="clear" w:color="auto" w:fill="FFFFFF"/>
                <w:lang w:eastAsia="lt-LT" w:bidi="hi-IN"/>
              </w:rPr>
              <w:t xml:space="preserve">Prašoma informacija apie esamo PRĮR naudotojo sąsajos technologiją / versiją / komponentus nėra pateikiama, nes ji nėra būtina paslaugų apimčiai ir kainai įvertinti. Esant poreikiui susipažinti su esamo PRĮR dokumentacija tai galima padaryti portale </w:t>
            </w:r>
            <w:proofErr w:type="spellStart"/>
            <w:r w:rsidRPr="00D8476E">
              <w:rPr>
                <w:rFonts w:ascii="Times New Roman" w:eastAsia="Times New Roman" w:hAnsi="Times New Roman" w:cs="Times New Roman"/>
                <w:bCs/>
                <w:i/>
                <w:color w:val="000000"/>
                <w:kern w:val="3"/>
                <w:sz w:val="24"/>
                <w:szCs w:val="24"/>
                <w:shd w:val="clear" w:color="auto" w:fill="FFFFFF"/>
                <w:lang w:eastAsia="lt-LT" w:bidi="hi-IN"/>
              </w:rPr>
              <w:t>registrai.lt</w:t>
            </w:r>
            <w:proofErr w:type="spellEnd"/>
            <w:r w:rsidRPr="00D8476E">
              <w:rPr>
                <w:rFonts w:ascii="Times New Roman" w:eastAsia="Times New Roman" w:hAnsi="Times New Roman" w:cs="Times New Roman"/>
                <w:bCs/>
                <w:i/>
                <w:color w:val="000000"/>
                <w:kern w:val="3"/>
                <w:sz w:val="24"/>
                <w:szCs w:val="24"/>
                <w:shd w:val="clear" w:color="auto" w:fill="FFFFFF"/>
                <w:lang w:eastAsia="lt-LT" w:bidi="hi-IN"/>
              </w:rPr>
              <w:t xml:space="preserve">, tačiau atkreipiamas dėmesys, kad PRĮR modernizavimo metu sprendimas turi būti kuriamas pagal Techninės specifikacijos reikalavimus. </w:t>
            </w:r>
          </w:p>
          <w:p w:rsidR="00D8476E" w:rsidRPr="00D8476E" w:rsidRDefault="00D8476E" w:rsidP="00553883">
            <w:pPr>
              <w:suppressAutoHyphens/>
              <w:autoSpaceDN w:val="0"/>
              <w:ind w:firstLine="567"/>
              <w:jc w:val="both"/>
              <w:rPr>
                <w:rFonts w:ascii="Times New Roman" w:eastAsia="Times New Roman" w:hAnsi="Times New Roman" w:cs="Times New Roman"/>
                <w:bCs/>
                <w:i/>
                <w:color w:val="000000"/>
                <w:kern w:val="3"/>
                <w:sz w:val="24"/>
                <w:szCs w:val="24"/>
                <w:shd w:val="clear" w:color="auto" w:fill="FFFFFF"/>
                <w:lang w:eastAsia="lt-LT" w:bidi="hi-IN"/>
              </w:rPr>
            </w:pPr>
            <w:r w:rsidRPr="00D8476E">
              <w:rPr>
                <w:rFonts w:ascii="Times New Roman" w:eastAsia="Times New Roman" w:hAnsi="Times New Roman" w:cs="Times New Roman"/>
                <w:bCs/>
                <w:i/>
                <w:color w:val="000000"/>
                <w:kern w:val="3"/>
                <w:sz w:val="24"/>
                <w:szCs w:val="24"/>
                <w:shd w:val="clear" w:color="auto" w:fill="FFFFFF"/>
                <w:lang w:eastAsia="lt-LT" w:bidi="hi-IN"/>
              </w:rPr>
              <w:t>Techninės specifikacijos 6.4 punkte nurodyta – „PRĮR realizuotas šiuolaikiškais sistemų architektūros principais (</w:t>
            </w:r>
            <w:proofErr w:type="spellStart"/>
            <w:r w:rsidRPr="00D8476E">
              <w:rPr>
                <w:rFonts w:ascii="Times New Roman" w:eastAsia="Times New Roman" w:hAnsi="Times New Roman" w:cs="Times New Roman"/>
                <w:bCs/>
                <w:i/>
                <w:color w:val="000000"/>
                <w:kern w:val="3"/>
                <w:sz w:val="24"/>
                <w:szCs w:val="24"/>
                <w:shd w:val="clear" w:color="auto" w:fill="FFFFFF"/>
                <w:lang w:eastAsia="lt-LT" w:bidi="hi-IN"/>
              </w:rPr>
              <w:t>mikroservisais</w:t>
            </w:r>
            <w:proofErr w:type="spellEnd"/>
            <w:r w:rsidRPr="00D8476E">
              <w:rPr>
                <w:rFonts w:ascii="Times New Roman" w:eastAsia="Times New Roman" w:hAnsi="Times New Roman" w:cs="Times New Roman"/>
                <w:bCs/>
                <w:i/>
                <w:color w:val="000000"/>
                <w:kern w:val="3"/>
                <w:sz w:val="24"/>
                <w:szCs w:val="24"/>
                <w:shd w:val="clear" w:color="auto" w:fill="FFFFFF"/>
                <w:lang w:eastAsia="lt-LT" w:bidi="hi-IN"/>
              </w:rPr>
              <w:t xml:space="preserve">, EDA ir kt.)“. Techninės specifikacijos 7.2 skyriuje “PRĮR modernizavimo funkcinė </w:t>
            </w:r>
            <w:proofErr w:type="spellStart"/>
            <w:r w:rsidRPr="00D8476E">
              <w:rPr>
                <w:rFonts w:ascii="Times New Roman" w:eastAsia="Times New Roman" w:hAnsi="Times New Roman" w:cs="Times New Roman"/>
                <w:bCs/>
                <w:i/>
                <w:color w:val="000000"/>
                <w:kern w:val="3"/>
                <w:sz w:val="24"/>
                <w:szCs w:val="24"/>
                <w:shd w:val="clear" w:color="auto" w:fill="FFFFFF"/>
                <w:lang w:eastAsia="lt-LT" w:bidi="hi-IN"/>
              </w:rPr>
              <w:t>shema</w:t>
            </w:r>
            <w:proofErr w:type="spellEnd"/>
            <w:r w:rsidRPr="00D8476E">
              <w:rPr>
                <w:rFonts w:ascii="Times New Roman" w:eastAsia="Times New Roman" w:hAnsi="Times New Roman" w:cs="Times New Roman"/>
                <w:bCs/>
                <w:i/>
                <w:color w:val="000000"/>
                <w:kern w:val="3"/>
                <w:sz w:val="24"/>
                <w:szCs w:val="24"/>
                <w:shd w:val="clear" w:color="auto" w:fill="FFFFFF"/>
                <w:lang w:eastAsia="lt-LT" w:bidi="hi-IN"/>
              </w:rPr>
              <w:t xml:space="preserve">” pateikiama galima PRĮR komponentų funkcinė architektūra ir 4 punkte nurodoma  &lt;…&gt; “Detalios analizės ir projektavimo etape schemoje pateikti elementai gali būti </w:t>
            </w:r>
            <w:proofErr w:type="spellStart"/>
            <w:r w:rsidRPr="00D8476E">
              <w:rPr>
                <w:rFonts w:ascii="Times New Roman" w:eastAsia="Times New Roman" w:hAnsi="Times New Roman" w:cs="Times New Roman"/>
                <w:bCs/>
                <w:i/>
                <w:color w:val="000000"/>
                <w:kern w:val="3"/>
                <w:sz w:val="24"/>
                <w:szCs w:val="24"/>
                <w:shd w:val="clear" w:color="auto" w:fill="FFFFFF"/>
                <w:lang w:eastAsia="lt-LT" w:bidi="hi-IN"/>
              </w:rPr>
              <w:t>dekomponuojami</w:t>
            </w:r>
            <w:proofErr w:type="spellEnd"/>
            <w:r w:rsidRPr="00D8476E">
              <w:rPr>
                <w:rFonts w:ascii="Times New Roman" w:eastAsia="Times New Roman" w:hAnsi="Times New Roman" w:cs="Times New Roman"/>
                <w:bCs/>
                <w:i/>
                <w:color w:val="000000"/>
                <w:kern w:val="3"/>
                <w:sz w:val="24"/>
                <w:szCs w:val="24"/>
                <w:shd w:val="clear" w:color="auto" w:fill="FFFFFF"/>
                <w:lang w:eastAsia="lt-LT" w:bidi="hi-IN"/>
              </w:rPr>
              <w:t xml:space="preserve"> juos skaidant ar apjungiant į kitus atskirus fizinius ir loginius komponentus, užtikrinant, kad realizuojami visi specifikacijoje komponentui keliami funkciniai ir nefunkciniai reikalavimai. Galutinė architektūra, atsižvelgiant į Diegėjo siūlomą technologinį steką, turi būti tikslinama projektavimo etapuose ir turi būti suderinta su Perkančiąja organizacija.&lt;...&gt;“, Techninės specifikacijos 2 lentelės „PRĮR funkcinių architektūros komponentų aprašymas“ 6.1 papunktyje nurodyta „PRĮR turi realizuoti į naudotojų roles orientuotą naudotojo sąsają &lt;...&gt;“. Taip pat techninės specifikacijos 8 skyriuje nustatyti nefunkciniai reikalavimai, įskaitant 8.2 skyrių „Reikalavimai PRĮR architektūrai“ (aukštas prieinamumas, plečiamumas, rezervinės kopijos/atstatymas, stebėjimas, </w:t>
            </w:r>
            <w:proofErr w:type="spellStart"/>
            <w:r w:rsidRPr="00D8476E">
              <w:rPr>
                <w:rFonts w:ascii="Times New Roman" w:eastAsia="Times New Roman" w:hAnsi="Times New Roman" w:cs="Times New Roman"/>
                <w:bCs/>
                <w:i/>
                <w:color w:val="000000"/>
                <w:kern w:val="3"/>
                <w:sz w:val="24"/>
                <w:szCs w:val="24"/>
                <w:shd w:val="clear" w:color="auto" w:fill="FFFFFF"/>
                <w:lang w:eastAsia="lt-LT" w:bidi="hi-IN"/>
              </w:rPr>
              <w:t>mikroservisų</w:t>
            </w:r>
            <w:proofErr w:type="spellEnd"/>
            <w:r w:rsidRPr="00D8476E">
              <w:rPr>
                <w:rFonts w:ascii="Times New Roman" w:eastAsia="Times New Roman" w:hAnsi="Times New Roman" w:cs="Times New Roman"/>
                <w:bCs/>
                <w:i/>
                <w:color w:val="000000"/>
                <w:kern w:val="3"/>
                <w:sz w:val="24"/>
                <w:szCs w:val="24"/>
                <w:shd w:val="clear" w:color="auto" w:fill="FFFFFF"/>
                <w:lang w:eastAsia="lt-LT" w:bidi="hi-IN"/>
              </w:rPr>
              <w:t xml:space="preserve"> architektūra, duomenų modelis, standartų taikymas).</w:t>
            </w:r>
          </w:p>
          <w:p w:rsidR="00D8476E" w:rsidRPr="00D8476E" w:rsidRDefault="00D8476E" w:rsidP="00D8476E">
            <w:pPr>
              <w:suppressAutoHyphens/>
              <w:autoSpaceDN w:val="0"/>
              <w:ind w:firstLine="567"/>
              <w:jc w:val="both"/>
              <w:rPr>
                <w:rFonts w:ascii="Times New Roman" w:eastAsia="Times New Roman" w:hAnsi="Times New Roman" w:cs="Times New Roman"/>
                <w:bCs/>
                <w:i/>
                <w:color w:val="000000"/>
                <w:kern w:val="3"/>
                <w:sz w:val="24"/>
                <w:szCs w:val="24"/>
                <w:shd w:val="clear" w:color="auto" w:fill="FFFFFF"/>
                <w:lang w:eastAsia="lt-LT" w:bidi="hi-IN"/>
              </w:rPr>
            </w:pPr>
            <w:r w:rsidRPr="00D8476E">
              <w:rPr>
                <w:rFonts w:ascii="Times New Roman" w:eastAsia="Times New Roman" w:hAnsi="Times New Roman" w:cs="Times New Roman"/>
                <w:bCs/>
                <w:i/>
                <w:color w:val="000000"/>
                <w:kern w:val="3"/>
                <w:sz w:val="24"/>
                <w:szCs w:val="24"/>
                <w:shd w:val="clear" w:color="auto" w:fill="FFFFFF"/>
                <w:lang w:eastAsia="lt-LT" w:bidi="hi-IN"/>
              </w:rPr>
              <w:t xml:space="preserve">Papildomai Techninėje specifikacijoje numatyta, kad konkrečios technologijos (įskaitant naudotojo sąsają) turi būti pateiktos Diegėjo architektūros koncepcijoje, Techninės specifikacijos 415 punkte numatyta, kad „Pirmojo prieaugio įgyvendinimo metu Diegėjas turi parengti ir pateikti PRĮR </w:t>
            </w:r>
            <w:r w:rsidRPr="00D8476E">
              <w:rPr>
                <w:rFonts w:ascii="Times New Roman" w:eastAsia="Times New Roman" w:hAnsi="Times New Roman" w:cs="Times New Roman"/>
                <w:bCs/>
                <w:i/>
                <w:color w:val="000000"/>
                <w:kern w:val="3"/>
                <w:sz w:val="24"/>
                <w:szCs w:val="24"/>
                <w:shd w:val="clear" w:color="auto" w:fill="FFFFFF"/>
                <w:lang w:eastAsia="lt-LT" w:bidi="hi-IN"/>
              </w:rPr>
              <w:lastRenderedPageBreak/>
              <w:t>modernizavimo architektūros koncepciją (architektūros aprašymą), apimančią suprojektuotą sprendimą fizinių ir programinių komponentų požiūriu (dislokavimo vaizdas, funkcinis vaizdas, numatomos naudoti technologijos). Vėlesnių prieaugių metu PRĮR modernizavimo architektūra ir projektavimo dokumentai turi būti tikslinami, juos detalizuojant pagal einamojo prieaugio metu paaiškėjusią info</w:t>
            </w:r>
            <w:r w:rsidR="00553883">
              <w:rPr>
                <w:rFonts w:ascii="Times New Roman" w:eastAsia="Times New Roman" w:hAnsi="Times New Roman" w:cs="Times New Roman"/>
                <w:bCs/>
                <w:i/>
                <w:color w:val="000000"/>
                <w:kern w:val="3"/>
                <w:sz w:val="24"/>
                <w:szCs w:val="24"/>
                <w:shd w:val="clear" w:color="auto" w:fill="FFFFFF"/>
                <w:lang w:eastAsia="lt-LT" w:bidi="hi-IN"/>
              </w:rPr>
              <w:t>rmaciją ir priimtus sprendimus.</w:t>
            </w:r>
          </w:p>
          <w:p w:rsidR="00D8476E" w:rsidRDefault="00D8476E" w:rsidP="00D8476E">
            <w:pPr>
              <w:jc w:val="center"/>
            </w:pPr>
          </w:p>
        </w:tc>
      </w:tr>
      <w:tr w:rsidR="00D8476E" w:rsidTr="00D8476E">
        <w:tc>
          <w:tcPr>
            <w:tcW w:w="4814" w:type="dxa"/>
          </w:tcPr>
          <w:p w:rsidR="00D8476E" w:rsidRDefault="00357C43" w:rsidP="00357C43">
            <w:pPr>
              <w:jc w:val="both"/>
            </w:pPr>
            <w:r>
              <w:lastRenderedPageBreak/>
              <w:t xml:space="preserve">2026-01-15 d. 11.46 val. </w:t>
            </w:r>
          </w:p>
          <w:p w:rsidR="00357C43" w:rsidRDefault="00357C43" w:rsidP="00357C43">
            <w:pPr>
              <w:pStyle w:val="NoSpacing"/>
              <w:ind w:firstLine="567"/>
              <w:jc w:val="both"/>
            </w:pPr>
            <w:r>
              <w:rPr>
                <w:rStyle w:val="PageNumber"/>
                <w:rFonts w:ascii="Times New Roman" w:hAnsi="Times New Roman"/>
                <w:i/>
                <w:shd w:val="clear" w:color="auto" w:fill="FFFFFF"/>
              </w:rPr>
              <w:t>„Gerbiami Policijos departamento prie Lietuvos Respublikos vidaus reikalų ministerijos atstovai,</w:t>
            </w:r>
          </w:p>
          <w:p w:rsidR="00357C43" w:rsidRDefault="00357C43" w:rsidP="00357C43">
            <w:pPr>
              <w:pStyle w:val="NoSpacing"/>
              <w:ind w:firstLine="567"/>
              <w:jc w:val="both"/>
            </w:pPr>
            <w:r>
              <w:rPr>
                <w:rStyle w:val="PageNumber"/>
                <w:rFonts w:ascii="Times New Roman" w:hAnsi="Times New Roman"/>
                <w:i/>
                <w:shd w:val="clear" w:color="auto" w:fill="FFFFFF"/>
              </w:rPr>
              <w:t>Vadovaujantis Lietuvos Respublikos viešųjų pirkimų įstatymo 47 straipsniu bei 17 straipsnyje nustatytais viešųjų pirkimų principais (lygiateisiškumo, skaidrumo ir proporcingumo), prašome pratęsti pasiūlymų teikimo terminą pirkime POLICIJOS REGISTRUOJAMŲ ĮVYKIŲ REGISTRO (PRĮR) MODERNIZAVIMO IR DIEGIMO PASLAUGOS.</w:t>
            </w:r>
          </w:p>
          <w:p w:rsidR="00357C43" w:rsidRDefault="00357C43" w:rsidP="00357C43">
            <w:pPr>
              <w:pStyle w:val="NoSpacing"/>
              <w:ind w:firstLine="567"/>
              <w:jc w:val="both"/>
            </w:pPr>
            <w:r>
              <w:rPr>
                <w:rStyle w:val="PageNumber"/>
                <w:rFonts w:ascii="Times New Roman" w:hAnsi="Times New Roman"/>
                <w:i/>
                <w:shd w:val="clear" w:color="auto" w:fill="FFFFFF"/>
              </w:rPr>
              <w:t>Prašymas grindžiamas tuo, kad buvo atlikti pasiūlymo vertinimo dokumentų pakeitimai, kurie turi esminę įtaką pasiūlymų parengimui. Siekiant užtikrinti konkurencingų ir kokybiškų pasiūlymų pateikimą bei lygiateisišką galimybę visiems tiekėjams, esame įsitikinę, kad termino pratęsimas yra būtinas.</w:t>
            </w:r>
          </w:p>
          <w:p w:rsidR="00357C43" w:rsidRDefault="00357C43" w:rsidP="00357C43">
            <w:pPr>
              <w:pStyle w:val="NoSpacing"/>
              <w:ind w:firstLine="567"/>
              <w:jc w:val="both"/>
            </w:pPr>
            <w:r>
              <w:rPr>
                <w:rStyle w:val="PageNumber"/>
                <w:rFonts w:ascii="Times New Roman" w:hAnsi="Times New Roman"/>
                <w:i/>
                <w:shd w:val="clear" w:color="auto" w:fill="FFFFFF"/>
              </w:rPr>
              <w:t>Prašome pratęsti pasiūlymų teikimo terminą iki 2026 m. vasario 6 d.</w:t>
            </w:r>
          </w:p>
          <w:p w:rsidR="00357C43" w:rsidRDefault="00357C43" w:rsidP="00357C43">
            <w:pPr>
              <w:pStyle w:val="NoSpacing"/>
              <w:ind w:firstLine="567"/>
              <w:jc w:val="both"/>
            </w:pPr>
            <w:r>
              <w:rPr>
                <w:rStyle w:val="PageNumber"/>
                <w:rFonts w:ascii="Times New Roman" w:hAnsi="Times New Roman"/>
                <w:i/>
                <w:shd w:val="clear" w:color="auto" w:fill="FFFFFF"/>
              </w:rPr>
              <w:t>Dėkojame už supratingumą ir laukiame jūsų atsakymo.“</w:t>
            </w:r>
          </w:p>
          <w:p w:rsidR="00357C43" w:rsidRDefault="00357C43" w:rsidP="00357C43">
            <w:pPr>
              <w:jc w:val="both"/>
            </w:pPr>
          </w:p>
        </w:tc>
        <w:tc>
          <w:tcPr>
            <w:tcW w:w="4814" w:type="dxa"/>
          </w:tcPr>
          <w:p w:rsidR="00357C43" w:rsidRPr="00357C43" w:rsidRDefault="00357C43" w:rsidP="00357C43">
            <w:pPr>
              <w:pStyle w:val="NoSpacing"/>
              <w:ind w:firstLine="567"/>
              <w:jc w:val="both"/>
              <w:rPr>
                <w:rStyle w:val="PageNumber"/>
                <w:rFonts w:ascii="Times New Roman" w:hAnsi="Times New Roman"/>
                <w:shd w:val="clear" w:color="auto" w:fill="FFFFFF"/>
              </w:rPr>
            </w:pPr>
            <w:bookmarkStart w:id="0" w:name="_GoBack"/>
            <w:r w:rsidRPr="00357C43">
              <w:rPr>
                <w:rStyle w:val="PageNumber"/>
                <w:rFonts w:ascii="Times New Roman" w:hAnsi="Times New Roman"/>
                <w:shd w:val="clear" w:color="auto" w:fill="FFFFFF"/>
              </w:rPr>
              <w:t xml:space="preserve">Specialiųjų pirkimo sąlygų 7 priede “Pasiūlymų vertinimo kriterijai ir sąlygos” pasiūlymų ekonominio naudingumo vertinimo tvarkoje, pasiūlymų vertinimo kriterijai aprašyti teisingai, </w:t>
            </w:r>
            <w:proofErr w:type="spellStart"/>
            <w:r w:rsidRPr="00357C43">
              <w:rPr>
                <w:rStyle w:val="PageNumber"/>
                <w:rFonts w:ascii="Times New Roman" w:hAnsi="Times New Roman"/>
                <w:shd w:val="clear" w:color="auto" w:fill="FFFFFF"/>
              </w:rPr>
              <w:t>t.y</w:t>
            </w:r>
            <w:proofErr w:type="spellEnd"/>
            <w:r w:rsidRPr="00357C43">
              <w:rPr>
                <w:rStyle w:val="PageNumber"/>
                <w:rFonts w:ascii="Times New Roman" w:hAnsi="Times New Roman"/>
                <w:shd w:val="clear" w:color="auto" w:fill="FFFFFF"/>
              </w:rPr>
              <w:t xml:space="preserve">. 2 paslaugų kokybės parametras – “Siūlomas PRĮR modernizavimo architektūrinis sprendimas ir projekto valdymo plano (Paslaugų teikimo reglamento) projektas ir projekto rizikų valdymo koncepcija“ lyginamasis svoris nurodytas 30. </w:t>
            </w:r>
          </w:p>
          <w:p w:rsidR="00357C43" w:rsidRPr="00357C43" w:rsidRDefault="00357C43" w:rsidP="00357C43">
            <w:pPr>
              <w:pStyle w:val="NoSpacing"/>
              <w:ind w:firstLine="567"/>
              <w:jc w:val="both"/>
              <w:rPr>
                <w:rStyle w:val="PageNumber"/>
                <w:rFonts w:ascii="Times New Roman" w:hAnsi="Times New Roman"/>
                <w:shd w:val="clear" w:color="auto" w:fill="FFFFFF"/>
              </w:rPr>
            </w:pPr>
            <w:r w:rsidRPr="00357C43">
              <w:rPr>
                <w:rStyle w:val="PageNumber"/>
                <w:rFonts w:ascii="Times New Roman" w:hAnsi="Times New Roman"/>
                <w:shd w:val="clear" w:color="auto" w:fill="FFFFFF"/>
              </w:rPr>
              <w:t xml:space="preserve">Todėl „Ekonominio naudingumo skaičiuoklė“ </w:t>
            </w:r>
            <w:proofErr w:type="spellStart"/>
            <w:r w:rsidRPr="00357C43">
              <w:rPr>
                <w:rStyle w:val="PageNumber"/>
                <w:rFonts w:ascii="Times New Roman" w:hAnsi="Times New Roman"/>
                <w:shd w:val="clear" w:color="auto" w:fill="FFFFFF"/>
              </w:rPr>
              <w:t>exel</w:t>
            </w:r>
            <w:proofErr w:type="spellEnd"/>
            <w:r w:rsidRPr="00357C43">
              <w:rPr>
                <w:rStyle w:val="PageNumber"/>
                <w:rFonts w:ascii="Times New Roman" w:hAnsi="Times New Roman"/>
                <w:shd w:val="clear" w:color="auto" w:fill="FFFFFF"/>
              </w:rPr>
              <w:t xml:space="preserve"> formatu atlikta korekcija nėra laikoma esminiu pasiūlymo vertinimo dokumentų pakeitimu, o tik skaičiuoklės techninės klaidos ištaisymu. </w:t>
            </w:r>
          </w:p>
          <w:p w:rsidR="00357C43" w:rsidRDefault="00357C43" w:rsidP="00357C43">
            <w:pPr>
              <w:pStyle w:val="NoSpacing"/>
              <w:ind w:firstLine="567"/>
              <w:jc w:val="both"/>
              <w:rPr>
                <w:rStyle w:val="PageNumber"/>
                <w:rFonts w:ascii="Times New Roman" w:hAnsi="Times New Roman"/>
                <w:shd w:val="clear" w:color="auto" w:fill="FFFFFF"/>
              </w:rPr>
            </w:pPr>
            <w:r w:rsidRPr="00357C43">
              <w:rPr>
                <w:rStyle w:val="PageNumber"/>
                <w:rFonts w:ascii="Times New Roman" w:hAnsi="Times New Roman"/>
                <w:shd w:val="clear" w:color="auto" w:fill="FFFFFF"/>
              </w:rPr>
              <w:t xml:space="preserve">Kadangi perkančiosios organizacijos „Ekonominio naudingumo skaičiuoklė“ </w:t>
            </w:r>
            <w:proofErr w:type="spellStart"/>
            <w:r w:rsidRPr="00357C43">
              <w:rPr>
                <w:rStyle w:val="PageNumber"/>
                <w:rFonts w:ascii="Times New Roman" w:hAnsi="Times New Roman"/>
                <w:shd w:val="clear" w:color="auto" w:fill="FFFFFF"/>
              </w:rPr>
              <w:t>exel</w:t>
            </w:r>
            <w:proofErr w:type="spellEnd"/>
            <w:r w:rsidRPr="00357C43">
              <w:rPr>
                <w:rStyle w:val="PageNumber"/>
                <w:rFonts w:ascii="Times New Roman" w:hAnsi="Times New Roman"/>
                <w:shd w:val="clear" w:color="auto" w:fill="FFFFFF"/>
              </w:rPr>
              <w:t xml:space="preserve"> formatu atliktas patikslinimas (techninės klaidos ištaisymas) pateiktas laiku, vadovaujantis VPĮ 36 straipsnio 6 dalies ir Specialiųjų pirkimo sąlygų 1 priedas „Terminai“ nurodytais terminais bei sąlygomis, </w:t>
            </w:r>
            <w:r>
              <w:rPr>
                <w:rStyle w:val="PageNumber"/>
                <w:rFonts w:ascii="Times New Roman" w:hAnsi="Times New Roman"/>
                <w:shd w:val="clear" w:color="auto" w:fill="FFFFFF"/>
              </w:rPr>
              <w:t>p</w:t>
            </w:r>
            <w:r>
              <w:rPr>
                <w:rStyle w:val="PageNumber"/>
                <w:rFonts w:ascii="Times New Roman" w:hAnsi="Times New Roman"/>
                <w:shd w:val="clear" w:color="auto" w:fill="FFFFFF"/>
              </w:rPr>
              <w:t>rašymas dėl pasiūlymų pateikimo termino pratęsimo yra nepagrįstas todėl yra netenkinamas.</w:t>
            </w:r>
          </w:p>
          <w:p w:rsidR="00357C43" w:rsidRPr="00357C43" w:rsidRDefault="00357C43" w:rsidP="00357C43">
            <w:pPr>
              <w:pStyle w:val="NoSpacing"/>
              <w:ind w:firstLine="567"/>
              <w:jc w:val="both"/>
              <w:rPr>
                <w:rFonts w:ascii="Times New Roman" w:hAnsi="Times New Roman"/>
                <w:shd w:val="clear" w:color="auto" w:fill="FFFFFF"/>
              </w:rPr>
            </w:pPr>
            <w:r>
              <w:rPr>
                <w:rStyle w:val="PageNumber"/>
              </w:rPr>
              <w:t xml:space="preserve">Paliekamas galioja pirminis pasiūlymų pateikimo terminas, </w:t>
            </w:r>
            <w:proofErr w:type="spellStart"/>
            <w:r>
              <w:rPr>
                <w:rStyle w:val="PageNumber"/>
              </w:rPr>
              <w:t>t.y</w:t>
            </w:r>
            <w:proofErr w:type="spellEnd"/>
            <w:r>
              <w:rPr>
                <w:rStyle w:val="PageNumber"/>
              </w:rPr>
              <w:t xml:space="preserve">. 2026-01-30 10.00 val. </w:t>
            </w:r>
          </w:p>
          <w:bookmarkEnd w:id="0"/>
          <w:p w:rsidR="00D8476E" w:rsidRDefault="00D8476E" w:rsidP="00357C43">
            <w:pPr>
              <w:jc w:val="both"/>
            </w:pPr>
          </w:p>
        </w:tc>
      </w:tr>
      <w:tr w:rsidR="00D8476E" w:rsidTr="00D8476E">
        <w:tc>
          <w:tcPr>
            <w:tcW w:w="4814" w:type="dxa"/>
          </w:tcPr>
          <w:p w:rsidR="00D8476E" w:rsidRDefault="00D8476E" w:rsidP="00D8476E">
            <w:pPr>
              <w:jc w:val="center"/>
            </w:pPr>
          </w:p>
        </w:tc>
        <w:tc>
          <w:tcPr>
            <w:tcW w:w="4814" w:type="dxa"/>
          </w:tcPr>
          <w:p w:rsidR="00D8476E" w:rsidRDefault="00D8476E" w:rsidP="00D8476E">
            <w:pPr>
              <w:jc w:val="center"/>
            </w:pPr>
          </w:p>
        </w:tc>
      </w:tr>
    </w:tbl>
    <w:p w:rsidR="00D8476E" w:rsidRDefault="00D8476E" w:rsidP="00D8476E">
      <w:pPr>
        <w:jc w:val="center"/>
      </w:pPr>
    </w:p>
    <w:sectPr w:rsidR="00D847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BB"/>
    <w:rsid w:val="00357C43"/>
    <w:rsid w:val="00553883"/>
    <w:rsid w:val="00C46F8D"/>
    <w:rsid w:val="00D272BB"/>
    <w:rsid w:val="00D847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128B9"/>
  <w15:chartTrackingRefBased/>
  <w15:docId w15:val="{BFFD1241-C1C5-4CAE-83C3-AA249C16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4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8476E"/>
  </w:style>
  <w:style w:type="paragraph" w:styleId="NoSpacing">
    <w:name w:val="No Spacing"/>
    <w:rsid w:val="00357C43"/>
    <w:pPr>
      <w:suppressAutoHyphens/>
      <w:autoSpaceDN w:val="0"/>
      <w:spacing w:after="0" w:line="240" w:lineRule="auto"/>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2851</Words>
  <Characters>1626</Characters>
  <Application>Microsoft Office Word</Application>
  <DocSecurity>0</DocSecurity>
  <Lines>13</Lines>
  <Paragraphs>8</Paragraphs>
  <ScaleCrop>false</ScaleCrop>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Džiužaitė</dc:creator>
  <cp:keywords/>
  <dc:description/>
  <cp:lastModifiedBy>Lina Džiužaitė</cp:lastModifiedBy>
  <cp:revision>4</cp:revision>
  <dcterms:created xsi:type="dcterms:W3CDTF">2026-01-07T20:33:00Z</dcterms:created>
  <dcterms:modified xsi:type="dcterms:W3CDTF">2026-01-19T10:38:00Z</dcterms:modified>
</cp:coreProperties>
</file>