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>Įsipareigojimų dalis (procentais), kuriai ketinama pasitelkti subteikėją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A128021" w:rsidR="00BD71EB" w:rsidRPr="00D468FA" w:rsidRDefault="006805B5" w:rsidP="00DE0516">
            <w:pPr>
              <w:jc w:val="center"/>
            </w:pPr>
            <w:r>
              <w:rPr>
                <w:szCs w:val="20"/>
              </w:rPr>
              <w:t>Vidaus kiemo</w:t>
            </w:r>
            <w:r w:rsidR="00DD3C6A">
              <w:rPr>
                <w:szCs w:val="20"/>
              </w:rPr>
              <w:t xml:space="preserve">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07B9ABAA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1B7A02DF" w14:textId="23376B32" w:rsidR="00FB095C" w:rsidRPr="00A20FCD" w:rsidRDefault="00FB095C" w:rsidP="00A20FCD">
      <w:pPr>
        <w:rPr>
          <w:b/>
        </w:rPr>
      </w:pPr>
    </w:p>
    <w:sectPr w:rsidR="00FB095C" w:rsidRPr="00A20FC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61D14" w14:textId="77777777" w:rsidR="00470B8E" w:rsidRDefault="00470B8E" w:rsidP="005D5E19">
      <w:r>
        <w:separator/>
      </w:r>
    </w:p>
  </w:endnote>
  <w:endnote w:type="continuationSeparator" w:id="0">
    <w:p w14:paraId="3112ED99" w14:textId="77777777" w:rsidR="00470B8E" w:rsidRDefault="00470B8E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F48C9" w14:textId="77777777" w:rsidR="00470B8E" w:rsidRDefault="00470B8E" w:rsidP="005D5E19">
      <w:r>
        <w:separator/>
      </w:r>
    </w:p>
  </w:footnote>
  <w:footnote w:type="continuationSeparator" w:id="0">
    <w:p w14:paraId="3F2C4130" w14:textId="77777777" w:rsidR="00470B8E" w:rsidRDefault="00470B8E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470B8E" w:rsidRDefault="00470B8E">
        <w:pPr>
          <w:pStyle w:val="Header"/>
          <w:jc w:val="center"/>
        </w:pPr>
      </w:p>
      <w:p w14:paraId="519CDCF7" w14:textId="1AA5228D" w:rsidR="00470B8E" w:rsidRDefault="00470B8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3D3" w:rsidRPr="007D03D3">
          <w:rPr>
            <w:noProof/>
            <w:lang w:val="lt-LT"/>
          </w:rPr>
          <w:t>6</w:t>
        </w:r>
        <w:r>
          <w:fldChar w:fldCharType="end"/>
        </w:r>
      </w:p>
    </w:sdtContent>
  </w:sdt>
  <w:p w14:paraId="67C38392" w14:textId="77777777" w:rsidR="00470B8E" w:rsidRDefault="00470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38264">
    <w:abstractNumId w:val="0"/>
  </w:num>
  <w:num w:numId="2" w16cid:durableId="358166334">
    <w:abstractNumId w:val="11"/>
  </w:num>
  <w:num w:numId="3" w16cid:durableId="1150486485">
    <w:abstractNumId w:val="4"/>
  </w:num>
  <w:num w:numId="4" w16cid:durableId="4926443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87215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92269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523675">
    <w:abstractNumId w:val="13"/>
  </w:num>
  <w:num w:numId="8" w16cid:durableId="1369258643">
    <w:abstractNumId w:val="7"/>
  </w:num>
  <w:num w:numId="9" w16cid:durableId="1971282795">
    <w:abstractNumId w:val="6"/>
  </w:num>
  <w:num w:numId="10" w16cid:durableId="1335186326">
    <w:abstractNumId w:val="2"/>
  </w:num>
  <w:num w:numId="11" w16cid:durableId="552230616">
    <w:abstractNumId w:val="1"/>
  </w:num>
  <w:num w:numId="12" w16cid:durableId="434445045">
    <w:abstractNumId w:val="8"/>
  </w:num>
  <w:num w:numId="13" w16cid:durableId="1696345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195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2033221">
    <w:abstractNumId w:val="3"/>
  </w:num>
  <w:num w:numId="16" w16cid:durableId="1488785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6090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994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779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3311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05B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03D3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60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3D1F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060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1651E"/>
    <w:rsid w:val="00A20FCD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0E2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266-0E20-44FD-A88B-A9C22EA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Gedvaldas Zenevičius</cp:lastModifiedBy>
  <cp:revision>2</cp:revision>
  <cp:lastPrinted>2026-01-19T11:46:00Z</cp:lastPrinted>
  <dcterms:created xsi:type="dcterms:W3CDTF">2026-01-19T11:47:00Z</dcterms:created>
  <dcterms:modified xsi:type="dcterms:W3CDTF">2026-01-19T11:47:00Z</dcterms:modified>
</cp:coreProperties>
</file>