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B3898" w14:textId="5578EB77" w:rsidR="003969E1" w:rsidRPr="006C74A2" w:rsidRDefault="007D2C2F" w:rsidP="007D2C2F">
      <w:pPr>
        <w:shd w:val="clear" w:color="auto" w:fill="FFFFFF"/>
        <w:jc w:val="right"/>
        <w:rPr>
          <w:i/>
          <w:sz w:val="20"/>
        </w:rPr>
      </w:pPr>
      <w:r w:rsidRPr="006C74A2">
        <w:rPr>
          <w:bCs/>
          <w:i/>
          <w:color w:val="000000" w:themeColor="text1"/>
          <w:sz w:val="20"/>
        </w:rPr>
        <w:t>2 SPS priedas</w:t>
      </w:r>
    </w:p>
    <w:p w14:paraId="0DF472CB" w14:textId="19EFBC6C"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r w:rsidR="00646D84" w:rsidRPr="006C74A2">
        <w:rPr>
          <w:caps/>
          <w:color w:val="FF0000"/>
          <w:szCs w:val="24"/>
        </w:rPr>
        <w:t>(projektas)</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41BA35DB" w:rsidR="00EE3697" w:rsidRPr="006C74A2" w:rsidRDefault="00587A9E" w:rsidP="00EF2BB2">
            <w:pPr>
              <w:jc w:val="center"/>
              <w:rPr>
                <w:b/>
                <w:kern w:val="2"/>
                <w:szCs w:val="24"/>
              </w:rPr>
            </w:pPr>
            <w:r w:rsidRPr="00587A9E">
              <w:rPr>
                <w:b/>
                <w:kern w:val="2"/>
                <w:szCs w:val="24"/>
              </w:rPr>
              <w:t>„Vienkartinės medicinos pagalbos priemonės Vaisingumo centre atliekamoms procedūroms (2) 9406“</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053B50AE" w:rsidR="00EE3697" w:rsidRPr="006C74A2" w:rsidRDefault="00EE3697" w:rsidP="00EE3697">
            <w:pPr>
              <w:jc w:val="center"/>
              <w:rPr>
                <w:kern w:val="2"/>
                <w:szCs w:val="24"/>
              </w:rPr>
            </w:pPr>
            <w:r w:rsidRPr="006C74A2">
              <w:rPr>
                <w:szCs w:val="24"/>
              </w:rPr>
              <w:t>Santariškių g. 2, LT-</w:t>
            </w:r>
            <w:r w:rsidR="00A001BF" w:rsidRPr="006C74A2">
              <w:rPr>
                <w:szCs w:val="24"/>
              </w:rPr>
              <w:t>08</w:t>
            </w:r>
            <w:r w:rsidR="00A001BF">
              <w:rPr>
                <w:szCs w:val="24"/>
              </w:rPr>
              <w:t>406</w:t>
            </w:r>
            <w:r w:rsidR="00A001BF" w:rsidRPr="006C74A2">
              <w:rPr>
                <w:szCs w:val="24"/>
              </w:rPr>
              <w:t xml:space="preserve"> </w:t>
            </w:r>
            <w:r w:rsidRPr="006C74A2">
              <w:rPr>
                <w:szCs w:val="24"/>
              </w:rPr>
              <w:t>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4B689BD7" w:rsidR="00EE3697" w:rsidRPr="006C74A2" w:rsidRDefault="0030492F" w:rsidP="00EE3697">
            <w:pPr>
              <w:jc w:val="center"/>
              <w:rPr>
                <w:kern w:val="2"/>
                <w:szCs w:val="24"/>
              </w:rPr>
            </w:pPr>
            <w:r w:rsidRPr="006C74A2">
              <w:rPr>
                <w:iCs/>
              </w:rPr>
              <w:t xml:space="preserve">+370 </w:t>
            </w:r>
            <w:r w:rsidR="00EE3697" w:rsidRPr="006C74A2">
              <w:rPr>
                <w:szCs w:val="24"/>
              </w:rPr>
              <w:t xml:space="preserve"> 5 236 5000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401327" w:rsidRPr="006C74A2" w14:paraId="2B72571A" w14:textId="77777777" w:rsidTr="00401327">
        <w:tc>
          <w:tcPr>
            <w:tcW w:w="2775" w:type="dxa"/>
            <w:vMerge w:val="restart"/>
            <w:tcBorders>
              <w:right w:val="single" w:sz="4" w:space="0" w:color="auto"/>
            </w:tcBorders>
          </w:tcPr>
          <w:p w14:paraId="7370AF42" w14:textId="77777777" w:rsidR="00401327" w:rsidRPr="006C74A2" w:rsidRDefault="00401327" w:rsidP="00401327">
            <w:pPr>
              <w:rPr>
                <w:b/>
                <w:bCs/>
                <w:kern w:val="2"/>
                <w:szCs w:val="24"/>
              </w:rPr>
            </w:pPr>
          </w:p>
          <w:p w14:paraId="450071B6" w14:textId="77777777" w:rsidR="00401327" w:rsidRPr="006C74A2" w:rsidRDefault="00401327" w:rsidP="00401327">
            <w:pPr>
              <w:rPr>
                <w:b/>
                <w:bCs/>
                <w:kern w:val="2"/>
                <w:szCs w:val="24"/>
              </w:rPr>
            </w:pPr>
          </w:p>
          <w:p w14:paraId="3D171AF9" w14:textId="77777777" w:rsidR="00401327" w:rsidRPr="006C74A2" w:rsidRDefault="00401327" w:rsidP="00401327">
            <w:pPr>
              <w:rPr>
                <w:b/>
                <w:bCs/>
                <w:kern w:val="2"/>
                <w:szCs w:val="24"/>
              </w:rPr>
            </w:pPr>
          </w:p>
          <w:p w14:paraId="3A72A3B7" w14:textId="77777777" w:rsidR="00401327" w:rsidRPr="006C74A2" w:rsidRDefault="00401327" w:rsidP="00401327">
            <w:pPr>
              <w:rPr>
                <w:b/>
                <w:bCs/>
                <w:kern w:val="2"/>
                <w:szCs w:val="24"/>
              </w:rPr>
            </w:pPr>
            <w:r w:rsidRPr="006C74A2">
              <w:rPr>
                <w:b/>
                <w:bCs/>
                <w:kern w:val="2"/>
                <w:szCs w:val="24"/>
              </w:rPr>
              <w:t>1.2. Tiekėjas</w:t>
            </w:r>
          </w:p>
          <w:p w14:paraId="152453B9"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6C74A2" w:rsidRDefault="00401327" w:rsidP="00401327">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6C74A2" w:rsidRDefault="00401327" w:rsidP="00401327">
            <w:pPr>
              <w:jc w:val="center"/>
              <w:rPr>
                <w:kern w:val="2"/>
                <w:szCs w:val="24"/>
              </w:rPr>
            </w:pPr>
            <w:r w:rsidRPr="006C74A2">
              <w:rPr>
                <w:color w:val="C00000"/>
                <w:szCs w:val="24"/>
              </w:rPr>
              <w:t>[įrašyti]</w:t>
            </w:r>
          </w:p>
        </w:tc>
      </w:tr>
      <w:tr w:rsidR="00401327" w:rsidRPr="006C74A2" w14:paraId="7F25D8D9" w14:textId="77777777" w:rsidTr="00401327">
        <w:tc>
          <w:tcPr>
            <w:tcW w:w="2775" w:type="dxa"/>
            <w:vMerge/>
            <w:tcBorders>
              <w:right w:val="single" w:sz="4" w:space="0" w:color="auto"/>
            </w:tcBorders>
          </w:tcPr>
          <w:p w14:paraId="5C845AF5"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6C74A2" w:rsidRDefault="00401327" w:rsidP="00401327">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6C74A2" w:rsidRDefault="00401327" w:rsidP="00401327">
            <w:pPr>
              <w:jc w:val="center"/>
              <w:rPr>
                <w:kern w:val="2"/>
                <w:szCs w:val="24"/>
              </w:rPr>
            </w:pPr>
            <w:r w:rsidRPr="006C74A2">
              <w:rPr>
                <w:color w:val="C00000"/>
                <w:szCs w:val="24"/>
              </w:rPr>
              <w:t>[įrašyti]</w:t>
            </w:r>
          </w:p>
        </w:tc>
      </w:tr>
      <w:tr w:rsidR="00401327" w:rsidRPr="006C74A2" w14:paraId="41B530B4" w14:textId="77777777" w:rsidTr="00401327">
        <w:tc>
          <w:tcPr>
            <w:tcW w:w="2775" w:type="dxa"/>
            <w:vMerge/>
            <w:tcBorders>
              <w:right w:val="single" w:sz="4" w:space="0" w:color="auto"/>
            </w:tcBorders>
          </w:tcPr>
          <w:p w14:paraId="69FCF59D"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6C74A2" w:rsidRDefault="00401327" w:rsidP="00401327">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6C74A2" w:rsidRDefault="00401327" w:rsidP="00401327">
            <w:pPr>
              <w:jc w:val="center"/>
              <w:rPr>
                <w:kern w:val="2"/>
                <w:szCs w:val="24"/>
              </w:rPr>
            </w:pPr>
            <w:r w:rsidRPr="006C74A2">
              <w:rPr>
                <w:color w:val="C00000"/>
                <w:szCs w:val="24"/>
              </w:rPr>
              <w:t>[įrašyti]</w:t>
            </w:r>
          </w:p>
        </w:tc>
      </w:tr>
      <w:tr w:rsidR="00401327" w:rsidRPr="006C74A2" w14:paraId="0C36D6C3" w14:textId="77777777" w:rsidTr="00401327">
        <w:tc>
          <w:tcPr>
            <w:tcW w:w="2775" w:type="dxa"/>
            <w:vMerge/>
            <w:tcBorders>
              <w:right w:val="single" w:sz="4" w:space="0" w:color="auto"/>
            </w:tcBorders>
          </w:tcPr>
          <w:p w14:paraId="5F1A3883"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6C74A2" w:rsidRDefault="00401327" w:rsidP="00401327">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6C74A2" w:rsidRDefault="00401327" w:rsidP="00401327">
            <w:pPr>
              <w:jc w:val="center"/>
              <w:rPr>
                <w:kern w:val="2"/>
                <w:szCs w:val="24"/>
              </w:rPr>
            </w:pPr>
            <w:r w:rsidRPr="006C74A2">
              <w:rPr>
                <w:color w:val="C00000"/>
                <w:szCs w:val="24"/>
              </w:rPr>
              <w:t>[įrašyti]</w:t>
            </w:r>
          </w:p>
        </w:tc>
      </w:tr>
      <w:tr w:rsidR="00401327" w:rsidRPr="006C74A2" w14:paraId="64954E64" w14:textId="77777777" w:rsidTr="00401327">
        <w:tc>
          <w:tcPr>
            <w:tcW w:w="2775" w:type="dxa"/>
            <w:vMerge/>
            <w:tcBorders>
              <w:right w:val="single" w:sz="4" w:space="0" w:color="auto"/>
            </w:tcBorders>
          </w:tcPr>
          <w:p w14:paraId="2ED9A11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6C74A2" w:rsidRDefault="00401327" w:rsidP="00401327">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6C74A2" w:rsidRDefault="00401327" w:rsidP="00401327">
            <w:pPr>
              <w:jc w:val="center"/>
              <w:rPr>
                <w:kern w:val="2"/>
                <w:szCs w:val="24"/>
              </w:rPr>
            </w:pPr>
            <w:r w:rsidRPr="006C74A2">
              <w:rPr>
                <w:color w:val="C00000"/>
                <w:szCs w:val="24"/>
              </w:rPr>
              <w:t>[įrašyti]</w:t>
            </w:r>
          </w:p>
        </w:tc>
      </w:tr>
      <w:tr w:rsidR="00401327" w:rsidRPr="006C74A2" w14:paraId="7EE00E85" w14:textId="77777777" w:rsidTr="00401327">
        <w:tc>
          <w:tcPr>
            <w:tcW w:w="2775" w:type="dxa"/>
            <w:vMerge/>
            <w:tcBorders>
              <w:right w:val="single" w:sz="4" w:space="0" w:color="auto"/>
            </w:tcBorders>
          </w:tcPr>
          <w:p w14:paraId="4EED3742"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6C74A2" w:rsidRDefault="00401327" w:rsidP="00401327">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6C74A2" w:rsidRDefault="00401327" w:rsidP="00401327">
            <w:pPr>
              <w:jc w:val="center"/>
              <w:rPr>
                <w:kern w:val="2"/>
                <w:szCs w:val="24"/>
              </w:rPr>
            </w:pPr>
            <w:r w:rsidRPr="006C74A2">
              <w:rPr>
                <w:color w:val="C00000"/>
                <w:szCs w:val="24"/>
              </w:rPr>
              <w:t>[įrašyti]</w:t>
            </w:r>
          </w:p>
        </w:tc>
      </w:tr>
      <w:tr w:rsidR="00401327" w:rsidRPr="006C74A2" w14:paraId="59CC7BE2" w14:textId="77777777" w:rsidTr="00401327">
        <w:tc>
          <w:tcPr>
            <w:tcW w:w="2775" w:type="dxa"/>
            <w:vMerge/>
            <w:tcBorders>
              <w:right w:val="single" w:sz="4" w:space="0" w:color="auto"/>
            </w:tcBorders>
          </w:tcPr>
          <w:p w14:paraId="749A0D5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6C74A2" w:rsidRDefault="00401327" w:rsidP="00401327">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6C74A2" w:rsidRDefault="00401327" w:rsidP="00401327">
            <w:pPr>
              <w:jc w:val="center"/>
              <w:rPr>
                <w:kern w:val="2"/>
                <w:szCs w:val="24"/>
              </w:rPr>
            </w:pPr>
            <w:r w:rsidRPr="006C74A2">
              <w:rPr>
                <w:color w:val="C00000"/>
                <w:szCs w:val="24"/>
              </w:rPr>
              <w:t>[įrašyti]</w:t>
            </w:r>
          </w:p>
        </w:tc>
      </w:tr>
      <w:tr w:rsidR="00401327" w:rsidRPr="006C74A2" w14:paraId="5E2C4F4D" w14:textId="77777777" w:rsidTr="00401327">
        <w:tc>
          <w:tcPr>
            <w:tcW w:w="2775" w:type="dxa"/>
            <w:vMerge/>
            <w:tcBorders>
              <w:right w:val="single" w:sz="4" w:space="0" w:color="auto"/>
            </w:tcBorders>
          </w:tcPr>
          <w:p w14:paraId="14B981EB"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6C74A2" w:rsidRDefault="00401327" w:rsidP="00401327">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6C74A2" w:rsidRDefault="00401327" w:rsidP="00401327">
            <w:pPr>
              <w:jc w:val="center"/>
              <w:rPr>
                <w:kern w:val="2"/>
                <w:szCs w:val="24"/>
              </w:rPr>
            </w:pPr>
            <w:r w:rsidRPr="006C74A2">
              <w:rPr>
                <w:color w:val="C00000"/>
                <w:szCs w:val="24"/>
              </w:rPr>
              <w:t>[įrašyti]</w:t>
            </w:r>
          </w:p>
        </w:tc>
      </w:tr>
      <w:tr w:rsidR="00401327" w:rsidRPr="006C74A2" w14:paraId="63752A7E" w14:textId="77777777" w:rsidTr="00401327">
        <w:tc>
          <w:tcPr>
            <w:tcW w:w="2775" w:type="dxa"/>
            <w:vMerge/>
            <w:tcBorders>
              <w:right w:val="single" w:sz="4" w:space="0" w:color="auto"/>
            </w:tcBorders>
          </w:tcPr>
          <w:p w14:paraId="64EB2D4A"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6C74A2" w:rsidRDefault="00401327" w:rsidP="00401327">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6C74A2" w:rsidRDefault="00401327" w:rsidP="00401327">
            <w:pPr>
              <w:jc w:val="center"/>
              <w:rPr>
                <w:kern w:val="2"/>
                <w:szCs w:val="24"/>
              </w:rPr>
            </w:pPr>
            <w:r w:rsidRPr="006C74A2">
              <w:rPr>
                <w:color w:val="C00000"/>
                <w:szCs w:val="24"/>
              </w:rPr>
              <w:t>[įrašyti]</w:t>
            </w:r>
          </w:p>
        </w:tc>
      </w:tr>
      <w:tr w:rsidR="00401327" w:rsidRPr="006C74A2" w14:paraId="5BA1E166" w14:textId="77777777" w:rsidTr="00401327">
        <w:tc>
          <w:tcPr>
            <w:tcW w:w="2775" w:type="dxa"/>
            <w:vMerge/>
            <w:tcBorders>
              <w:right w:val="single" w:sz="4" w:space="0" w:color="auto"/>
            </w:tcBorders>
          </w:tcPr>
          <w:p w14:paraId="20EC0136" w14:textId="77777777" w:rsidR="00401327" w:rsidRPr="006C74A2"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6C74A2" w:rsidRDefault="00401327" w:rsidP="00401327">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6C74A2" w:rsidRDefault="00401327" w:rsidP="00401327">
            <w:pPr>
              <w:jc w:val="center"/>
              <w:rPr>
                <w:kern w:val="2"/>
                <w:szCs w:val="24"/>
              </w:rPr>
            </w:pPr>
            <w:r w:rsidRPr="006C74A2">
              <w:rPr>
                <w:color w:val="C00000"/>
                <w:szCs w:val="24"/>
              </w:rPr>
              <w:t>[įrašyti]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3CF865"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„E. sąskaita“ priėmimą</w:t>
            </w:r>
          </w:p>
        </w:tc>
        <w:tc>
          <w:tcPr>
            <w:tcW w:w="6831" w:type="dxa"/>
            <w:gridSpan w:val="2"/>
            <w:vAlign w:val="center"/>
          </w:tcPr>
          <w:p w14:paraId="35BE17D7" w14:textId="019907B0" w:rsidR="00E02AE0" w:rsidRPr="006C74A2" w:rsidRDefault="00E02AE0" w:rsidP="00E02AE0">
            <w:pPr>
              <w:pStyle w:val="a"/>
              <w:numPr>
                <w:ilvl w:val="0"/>
                <w:numId w:val="0"/>
              </w:numPr>
              <w:tabs>
                <w:tab w:val="left" w:pos="426"/>
              </w:tabs>
              <w:ind w:right="423"/>
              <w:rPr>
                <w:rStyle w:val="Hyperlink"/>
                <w:color w:val="auto"/>
                <w:kern w:val="2"/>
                <w:u w:val="none"/>
              </w:rPr>
            </w:pPr>
            <w:r w:rsidRPr="006C74A2">
              <w:rPr>
                <w:kern w:val="2"/>
              </w:rPr>
              <w:t>2.1.1. Už sutarties vykdymą ir prekių priėmimą atsakingas asmuo – Farmacinės veiklos skyriaus vyr. specialistė Dalė Vėžauskienė</w:t>
            </w:r>
            <w:r w:rsidRPr="006C74A2">
              <w:rPr>
                <w:iCs/>
              </w:rPr>
              <w:t>, tel. +370 69771760, dale.vezauskiene</w:t>
            </w:r>
            <w:hyperlink r:id="rId11" w:history="1">
              <w:r w:rsidRPr="0030492F">
                <w:rPr>
                  <w:rStyle w:val="Hyperlink"/>
                  <w:iCs/>
                </w:rPr>
                <w:t>@santa.lt</w:t>
              </w:r>
            </w:hyperlink>
          </w:p>
          <w:p w14:paraId="58A57616" w14:textId="77777777" w:rsidR="00E02AE0" w:rsidRPr="0030492F" w:rsidRDefault="00E02AE0" w:rsidP="00E02AE0">
            <w:pPr>
              <w:pStyle w:val="a"/>
              <w:numPr>
                <w:ilvl w:val="0"/>
                <w:numId w:val="0"/>
              </w:numPr>
              <w:tabs>
                <w:tab w:val="left" w:pos="426"/>
              </w:tabs>
              <w:ind w:right="423"/>
              <w:rPr>
                <w:rStyle w:val="Hyperlink"/>
                <w:color w:val="auto"/>
              </w:rPr>
            </w:pPr>
          </w:p>
          <w:p w14:paraId="5D01861C" w14:textId="5EB001CE" w:rsidR="00E02AE0" w:rsidRPr="006C74A2" w:rsidRDefault="00E02AE0" w:rsidP="00E02AE0">
            <w:pPr>
              <w:jc w:val="both"/>
              <w:rPr>
                <w:color w:val="4472C4"/>
                <w:kern w:val="2"/>
                <w:szCs w:val="24"/>
              </w:rPr>
            </w:pPr>
            <w:r w:rsidRPr="006C74A2">
              <w:rPr>
                <w:kern w:val="2"/>
                <w:szCs w:val="24"/>
              </w:rPr>
              <w:t>2.1.2. Sąskaitų priėmimas: Finansinės apskaitos skyrius, tel. +370 5 236 5007.</w:t>
            </w:r>
          </w:p>
        </w:tc>
      </w:tr>
      <w:tr w:rsidR="00E02AE0" w:rsidRPr="006C74A2" w14:paraId="2415AF36" w14:textId="77777777" w:rsidTr="00EE3697">
        <w:trPr>
          <w:trHeight w:val="300"/>
        </w:trPr>
        <w:tc>
          <w:tcPr>
            <w:tcW w:w="2704" w:type="dxa"/>
            <w:gridSpan w:val="2"/>
          </w:tcPr>
          <w:p w14:paraId="19910678" w14:textId="77777777" w:rsidR="00E02AE0" w:rsidRPr="006C74A2" w:rsidRDefault="00E02AE0" w:rsidP="00E02AE0">
            <w:pPr>
              <w:rPr>
                <w:b/>
                <w:bCs/>
                <w:kern w:val="2"/>
                <w:szCs w:val="24"/>
              </w:rPr>
            </w:pPr>
            <w:r w:rsidRPr="006C74A2">
              <w:rPr>
                <w:b/>
                <w:bCs/>
                <w:kern w:val="2"/>
                <w:szCs w:val="24"/>
              </w:rPr>
              <w:lastRenderedPageBreak/>
              <w:t>2.2. Tiekėjo kontaktiniai asmenys, atsakingi už Sutarties vykdymą</w:t>
            </w:r>
          </w:p>
        </w:tc>
        <w:tc>
          <w:tcPr>
            <w:tcW w:w="6831" w:type="dxa"/>
            <w:gridSpan w:val="2"/>
          </w:tcPr>
          <w:p w14:paraId="6BB1EE73" w14:textId="42DD023F" w:rsidR="00E02AE0" w:rsidRPr="006C74A2" w:rsidRDefault="00E02AE0" w:rsidP="00E02AE0">
            <w:pPr>
              <w:rPr>
                <w:color w:val="4472C4"/>
                <w:kern w:val="2"/>
                <w:szCs w:val="24"/>
              </w:rPr>
            </w:pPr>
            <w:r w:rsidRPr="006C74A2">
              <w:rPr>
                <w:color w:val="C00000"/>
                <w:szCs w:val="24"/>
              </w:rPr>
              <w:t>[įrašyti]</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283CF9D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w:t>
            </w:r>
            <w:r w:rsidR="00A76A61" w:rsidRPr="00A76A61">
              <w:rPr>
                <w:kern w:val="2"/>
                <w:szCs w:val="24"/>
              </w:rPr>
              <w:t>Vaisingumo centre</w:t>
            </w:r>
            <w:r w:rsidR="005C6E77">
              <w:rPr>
                <w:kern w:val="2"/>
                <w:szCs w:val="24"/>
              </w:rPr>
              <w:t xml:space="preserve"> </w:t>
            </w:r>
            <w:r w:rsidR="009E589E" w:rsidRPr="006C74A2">
              <w:rPr>
                <w:kern w:val="2"/>
                <w:szCs w:val="24"/>
              </w:rPr>
              <w:t xml:space="preserve">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13E25187" w:rsidR="00E02AE0" w:rsidRPr="006C74A2" w:rsidRDefault="00E02AE0" w:rsidP="00E02AE0">
            <w:pPr>
              <w:rPr>
                <w:kern w:val="2"/>
                <w:szCs w:val="24"/>
              </w:rPr>
            </w:pPr>
            <w:r w:rsidRPr="006C74A2">
              <w:rPr>
                <w:color w:val="000000"/>
                <w:szCs w:val="24"/>
              </w:rPr>
              <w:t xml:space="preserve">CVP IS Nr. </w:t>
            </w:r>
            <w:r w:rsidRPr="006C74A2">
              <w:rPr>
                <w:color w:val="C00000"/>
                <w:szCs w:val="24"/>
              </w:rPr>
              <w:t>[įrašyti]</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082A725D"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46B000BF" w:rsidR="00E02AE0" w:rsidRPr="006C74A2" w:rsidRDefault="00E02AE0" w:rsidP="00E02AE0">
            <w:pPr>
              <w:rPr>
                <w:kern w:val="2"/>
                <w:szCs w:val="24"/>
              </w:rPr>
            </w:pPr>
            <w:r w:rsidRPr="006C74A2">
              <w:rPr>
                <w:kern w:val="2"/>
                <w:szCs w:val="24"/>
              </w:rPr>
              <w:t xml:space="preserve">Elektroninis paštas užsakymams: </w:t>
            </w:r>
            <w:r w:rsidRPr="006C74A2">
              <w:rPr>
                <w:color w:val="C00000"/>
                <w:szCs w:val="24"/>
              </w:rPr>
              <w:t>[įrašyti]</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w:t>
            </w:r>
            <w:proofErr w:type="spellStart"/>
            <w:r w:rsidRPr="00233811">
              <w:rPr>
                <w:kern w:val="2"/>
                <w:szCs w:val="24"/>
              </w:rPr>
              <w:t>perdirbamumą</w:t>
            </w:r>
            <w:proofErr w:type="spellEnd"/>
            <w:r w:rsidRPr="00233811">
              <w:rPr>
                <w:kern w:val="2"/>
                <w:szCs w:val="24"/>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lastRenderedPageBreak/>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77777777" w:rsidR="001608C2" w:rsidRPr="006C74A2" w:rsidRDefault="001608C2" w:rsidP="001608C2">
            <w:pPr>
              <w:jc w:val="both"/>
              <w:rPr>
                <w:kern w:val="2"/>
                <w:szCs w:val="24"/>
              </w:rPr>
            </w:pPr>
            <w:r w:rsidRPr="006C74A2">
              <w:rPr>
                <w:kern w:val="2"/>
                <w:szCs w:val="24"/>
              </w:rPr>
              <w:t xml:space="preserve">5.2.1. Pradinės Sutarties vertė yra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be PVM. </w:t>
            </w:r>
          </w:p>
          <w:p w14:paraId="426232A4" w14:textId="77777777" w:rsidR="001608C2" w:rsidRPr="006C74A2" w:rsidRDefault="001608C2" w:rsidP="001608C2">
            <w:pPr>
              <w:jc w:val="both"/>
              <w:rPr>
                <w:kern w:val="2"/>
                <w:szCs w:val="24"/>
              </w:rPr>
            </w:pPr>
            <w:r w:rsidRPr="006C74A2">
              <w:rPr>
                <w:kern w:val="2"/>
                <w:szCs w:val="24"/>
              </w:rPr>
              <w:t xml:space="preserve">PVM sudaro </w:t>
            </w:r>
            <w:r w:rsidRPr="006C74A2">
              <w:rPr>
                <w:color w:val="4472C4" w:themeColor="accent1"/>
                <w:kern w:val="2"/>
                <w:szCs w:val="24"/>
              </w:rPr>
              <w:t xml:space="preserve">[nurodyti sumą skaičiais] </w:t>
            </w:r>
            <w:r w:rsidRPr="006C74A2">
              <w:rPr>
                <w:kern w:val="2"/>
                <w:szCs w:val="24"/>
              </w:rPr>
              <w:t>Eur, [</w:t>
            </w:r>
            <w:r w:rsidRPr="006C74A2">
              <w:rPr>
                <w:color w:val="4472C4" w:themeColor="accent1"/>
                <w:kern w:val="2"/>
                <w:szCs w:val="24"/>
              </w:rPr>
              <w:t>nurodyti sumą žodžiais</w:t>
            </w:r>
            <w:r w:rsidRPr="006C74A2">
              <w:rPr>
                <w:kern w:val="2"/>
                <w:szCs w:val="24"/>
              </w:rPr>
              <w:t xml:space="preserve">].  </w:t>
            </w:r>
          </w:p>
          <w:p w14:paraId="4C3D95FE" w14:textId="77777777" w:rsidR="001608C2" w:rsidRPr="006C74A2" w:rsidRDefault="001608C2" w:rsidP="001608C2">
            <w:pPr>
              <w:jc w:val="both"/>
              <w:rPr>
                <w:kern w:val="2"/>
                <w:szCs w:val="24"/>
              </w:rPr>
            </w:pPr>
            <w:r w:rsidRPr="006C74A2">
              <w:rPr>
                <w:kern w:val="2"/>
                <w:szCs w:val="24"/>
              </w:rPr>
              <w:t>Sutarties kaina yra [</w:t>
            </w:r>
            <w:r w:rsidRPr="006C74A2">
              <w:rPr>
                <w:color w:val="4472C4" w:themeColor="accent1"/>
                <w:kern w:val="2"/>
                <w:szCs w:val="24"/>
              </w:rPr>
              <w:t>nurodyti sumą skaičiais</w:t>
            </w:r>
            <w:r w:rsidRPr="006C74A2">
              <w:rPr>
                <w:kern w:val="2"/>
                <w:szCs w:val="24"/>
              </w:rPr>
              <w:t>] Eur, [</w:t>
            </w:r>
            <w:r w:rsidRPr="006C74A2">
              <w:rPr>
                <w:color w:val="4472C4" w:themeColor="accent1"/>
                <w:kern w:val="2"/>
                <w:szCs w:val="24"/>
              </w:rPr>
              <w:t>nurodyti sumą žodžiais</w:t>
            </w:r>
            <w:r w:rsidRPr="006C74A2">
              <w:rPr>
                <w:kern w:val="2"/>
                <w:szCs w:val="24"/>
              </w:rPr>
              <w:t>] Eur 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30492F"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xml:space="preserve">), jeigu Vartojimo prekių ir paslaugų kainų pokytis (k), apskaičiuotas kaip nustatyta 5.3.3.4 </w:t>
            </w:r>
            <w:r w:rsidRPr="006C74A2">
              <w:rPr>
                <w:szCs w:val="24"/>
              </w:rPr>
              <w:lastRenderedPageBreak/>
              <w:t>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CD5527"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naujausias</w:t>
            </w:r>
            <w:proofErr w:type="spellEnd"/>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proofErr w:type="spellStart"/>
            <w:r w:rsidRPr="006C74A2">
              <w:rPr>
                <w:szCs w:val="24"/>
              </w:rPr>
              <w:t>Ind</w:t>
            </w:r>
            <w:r w:rsidRPr="006C74A2">
              <w:rPr>
                <w:szCs w:val="24"/>
                <w:vertAlign w:val="subscript"/>
              </w:rPr>
              <w:t>pradžia</w:t>
            </w:r>
            <w:proofErr w:type="spellEnd"/>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 xml:space="preserve">kiekio </w:t>
            </w:r>
            <w:r w:rsidRPr="006C74A2">
              <w:rPr>
                <w:b/>
                <w:bCs/>
                <w:kern w:val="2"/>
                <w:szCs w:val="24"/>
                <w:u w:val="single"/>
              </w:rPr>
              <w:lastRenderedPageBreak/>
              <w:t>(apimties)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lastRenderedPageBreak/>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12705D34" w:rsidR="00E02AE0" w:rsidRPr="006C74A2" w:rsidRDefault="00171060" w:rsidP="00E02AE0">
            <w:pPr>
              <w:jc w:val="both"/>
              <w:rPr>
                <w:kern w:val="2"/>
                <w:szCs w:val="24"/>
              </w:rPr>
            </w:pPr>
            <w:r w:rsidRPr="006C74A2">
              <w:rPr>
                <w:kern w:val="2"/>
                <w:szCs w:val="24"/>
              </w:rPr>
              <w:t xml:space="preserve">Prekėms nustatomas Tiekėjo pasiūlytas arba Prekių gamintojo taikomas Garantinis terminas. </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15D3B467" w14:textId="77777777" w:rsidR="007029A5" w:rsidRPr="006C74A2" w:rsidRDefault="007029A5" w:rsidP="007029A5">
            <w:pPr>
              <w:jc w:val="both"/>
              <w:rPr>
                <w:color w:val="FF0000"/>
                <w:kern w:val="2"/>
                <w:szCs w:val="24"/>
              </w:rPr>
            </w:pPr>
            <w:r w:rsidRPr="006C74A2">
              <w:rPr>
                <w:color w:val="FF0000"/>
                <w:kern w:val="2"/>
                <w:szCs w:val="24"/>
              </w:rPr>
              <w:t>arba</w:t>
            </w:r>
          </w:p>
          <w:p w14:paraId="75BC9D85" w14:textId="77777777" w:rsidR="007029A5" w:rsidRPr="006C74A2" w:rsidRDefault="007029A5" w:rsidP="007029A5">
            <w:pPr>
              <w:jc w:val="both"/>
              <w:rPr>
                <w:i/>
                <w:kern w:val="2"/>
                <w:szCs w:val="24"/>
              </w:rPr>
            </w:pPr>
            <w:r w:rsidRPr="006C74A2">
              <w:rPr>
                <w:kern w:val="2"/>
                <w:szCs w:val="24"/>
              </w:rPr>
              <w:t xml:space="preserve">Sutarties vykdymui pasitelkiami šie subtiekėjai ir (ar) specialistai: </w:t>
            </w:r>
            <w:r w:rsidRPr="006C74A2">
              <w:rPr>
                <w:i/>
                <w:kern w:val="2"/>
                <w:szCs w:val="24"/>
              </w:rPr>
              <w:t>išvardinti</w:t>
            </w:r>
          </w:p>
          <w:p w14:paraId="08C389BD" w14:textId="5FF3E9CE" w:rsidR="007029A5" w:rsidRPr="006C74A2" w:rsidRDefault="007029A5" w:rsidP="007029A5">
            <w:pPr>
              <w:jc w:val="both"/>
              <w:rPr>
                <w:b/>
                <w:bCs/>
                <w:kern w:val="2"/>
                <w:szCs w:val="24"/>
              </w:rPr>
            </w:pPr>
            <w:r w:rsidRPr="006C74A2">
              <w:rPr>
                <w:rFonts w:asciiTheme="minorHAnsi" w:eastAsiaTheme="minorHAnsi" w:hAnsiTheme="minorHAnsi" w:cstheme="minorBidi"/>
                <w:color w:val="FF0000"/>
                <w:kern w:val="2"/>
                <w:szCs w:val="24"/>
                <w:lang w:val="en-US"/>
                <w14:ligatures w14:val="standardContextual"/>
              </w:rPr>
              <w:t>(</w:t>
            </w:r>
            <w:r w:rsidRPr="006C74A2">
              <w:rPr>
                <w:color w:val="FF0000"/>
                <w:kern w:val="2"/>
                <w:szCs w:val="24"/>
              </w:rPr>
              <w:t>pasirenkamas vienas iš nurodytų variantų)</w:t>
            </w: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30492F">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lastRenderedPageBreak/>
              <w:t>9.2.2.</w:t>
            </w:r>
            <w:r w:rsidRPr="0030492F">
              <w:rPr>
                <w:color w:val="000000"/>
                <w:kern w:val="2"/>
                <w:szCs w:val="24"/>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 xml:space="preserve">9.7. Tiekėjui taikomos netesybos dėl pirkimo dokumentuose nustatytų kokybinių kriterijų </w:t>
            </w:r>
            <w:proofErr w:type="spellStart"/>
            <w:r w:rsidRPr="006C74A2">
              <w:rPr>
                <w:b/>
                <w:bCs/>
                <w:kern w:val="2"/>
                <w:szCs w:val="24"/>
              </w:rPr>
              <w:t>nepasiekimo</w:t>
            </w:r>
            <w:proofErr w:type="spellEnd"/>
            <w:r w:rsidRPr="006C74A2">
              <w:rPr>
                <w:b/>
                <w:bCs/>
                <w:kern w:val="2"/>
                <w:szCs w:val="24"/>
              </w:rPr>
              <w:t xml:space="preserve">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30492F" w:rsidRDefault="007029A5" w:rsidP="007029A5">
            <w:pPr>
              <w:rPr>
                <w:b/>
                <w:bCs/>
                <w:kern w:val="2"/>
                <w:szCs w:val="24"/>
              </w:rPr>
            </w:pPr>
            <w:r w:rsidRPr="0030492F">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lastRenderedPageBreak/>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4A4990">
        <w:trPr>
          <w:trHeight w:val="300"/>
        </w:trPr>
        <w:tc>
          <w:tcPr>
            <w:tcW w:w="2689"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6846"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4A4990">
        <w:trPr>
          <w:trHeight w:val="300"/>
        </w:trPr>
        <w:tc>
          <w:tcPr>
            <w:tcW w:w="2689"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6846"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4A4990">
        <w:trPr>
          <w:trHeight w:val="300"/>
        </w:trPr>
        <w:tc>
          <w:tcPr>
            <w:tcW w:w="2689"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6846"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30492F">
              <w:rPr>
                <w:color w:val="000000"/>
                <w:kern w:val="2"/>
                <w:szCs w:val="24"/>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4A4990">
        <w:trPr>
          <w:trHeight w:val="416"/>
        </w:trPr>
        <w:tc>
          <w:tcPr>
            <w:tcW w:w="2689"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6846"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C74A2">
              <w:rPr>
                <w:color w:val="000000"/>
                <w:bdr w:val="none" w:sz="0" w:space="0" w:color="auto" w:frame="1"/>
              </w:rPr>
              <w:t>Voluntary</w:t>
            </w:r>
            <w:proofErr w:type="spellEnd"/>
            <w:r w:rsidRPr="006C74A2">
              <w:rPr>
                <w:color w:val="000000"/>
                <w:bdr w:val="none" w:sz="0" w:space="0" w:color="auto" w:frame="1"/>
              </w:rPr>
              <w:t xml:space="preserve"> Standard </w:t>
            </w:r>
            <w:proofErr w:type="spellStart"/>
            <w:r w:rsidRPr="006C74A2">
              <w:rPr>
                <w:color w:val="000000"/>
                <w:bdr w:val="none" w:sz="0" w:space="0" w:color="auto" w:frame="1"/>
              </w:rPr>
              <w:t>for</w:t>
            </w:r>
            <w:proofErr w:type="spellEnd"/>
            <w:r w:rsidRPr="006C74A2">
              <w:rPr>
                <w:color w:val="000000"/>
                <w:bdr w:val="none" w:sz="0" w:space="0" w:color="auto" w:frame="1"/>
              </w:rPr>
              <w:t xml:space="preserve"> </w:t>
            </w:r>
            <w:proofErr w:type="spellStart"/>
            <w:r w:rsidRPr="006C74A2">
              <w:rPr>
                <w:color w:val="000000"/>
                <w:bdr w:val="none" w:sz="0" w:space="0" w:color="auto" w:frame="1"/>
              </w:rPr>
              <w:t>Repulping</w:t>
            </w:r>
            <w:proofErr w:type="spellEnd"/>
            <w:r w:rsidRPr="006C74A2">
              <w:rPr>
                <w:color w:val="000000"/>
                <w:bdr w:val="none" w:sz="0" w:space="0" w:color="auto" w:frame="1"/>
              </w:rPr>
              <w:t xml:space="preserve"> </w:t>
            </w:r>
            <w:proofErr w:type="spellStart"/>
            <w:r w:rsidRPr="006C74A2">
              <w:rPr>
                <w:color w:val="000000"/>
                <w:bdr w:val="none" w:sz="0" w:space="0" w:color="auto" w:frame="1"/>
              </w:rPr>
              <w:t>and</w:t>
            </w:r>
            <w:proofErr w:type="spellEnd"/>
            <w:r w:rsidRPr="006C74A2">
              <w:rPr>
                <w:color w:val="000000"/>
                <w:bdr w:val="none" w:sz="0" w:space="0" w:color="auto" w:frame="1"/>
              </w:rPr>
              <w:t xml:space="preserve"> </w:t>
            </w:r>
            <w:proofErr w:type="spellStart"/>
            <w:r w:rsidRPr="006C74A2">
              <w:rPr>
                <w:color w:val="000000"/>
                <w:bdr w:val="none" w:sz="0" w:space="0" w:color="auto" w:frame="1"/>
              </w:rPr>
              <w:t>Recycling</w:t>
            </w:r>
            <w:proofErr w:type="spellEnd"/>
            <w:r w:rsidRPr="006C74A2">
              <w:rPr>
                <w:color w:val="000000"/>
                <w:bdr w:val="none" w:sz="0" w:space="0" w:color="auto" w:frame="1"/>
              </w:rPr>
              <w:t xml:space="preserve"> </w:t>
            </w:r>
            <w:proofErr w:type="spellStart"/>
            <w:r w:rsidRPr="006C74A2">
              <w:rPr>
                <w:color w:val="000000"/>
                <w:bdr w:val="none" w:sz="0" w:space="0" w:color="auto" w:frame="1"/>
              </w:rPr>
              <w:t>Corrugated</w:t>
            </w:r>
            <w:proofErr w:type="spellEnd"/>
            <w:r w:rsidRPr="006C74A2">
              <w:rPr>
                <w:color w:val="000000"/>
                <w:bdr w:val="none" w:sz="0" w:space="0" w:color="auto" w:frame="1"/>
              </w:rPr>
              <w:t xml:space="preserve"> </w:t>
            </w:r>
            <w:proofErr w:type="spellStart"/>
            <w:r w:rsidRPr="006C74A2">
              <w:rPr>
                <w:color w:val="000000"/>
                <w:bdr w:val="none" w:sz="0" w:space="0" w:color="auto" w:frame="1"/>
              </w:rPr>
              <w:t>Fiberboard</w:t>
            </w:r>
            <w:proofErr w:type="spellEnd"/>
            <w:r w:rsidRPr="006C74A2">
              <w:rPr>
                <w:color w:val="000000"/>
                <w:bdr w:val="none" w:sz="0" w:space="0" w:color="auto" w:frame="1"/>
              </w:rPr>
              <w:t xml:space="preserve"> </w:t>
            </w:r>
            <w:proofErr w:type="spellStart"/>
            <w:r w:rsidRPr="006C74A2">
              <w:rPr>
                <w:color w:val="000000"/>
                <w:bdr w:val="none" w:sz="0" w:space="0" w:color="auto" w:frame="1"/>
              </w:rPr>
              <w:t>Treated</w:t>
            </w:r>
            <w:proofErr w:type="spellEnd"/>
            <w:r w:rsidRPr="006C74A2">
              <w:rPr>
                <w:color w:val="000000"/>
                <w:bdr w:val="none" w:sz="0" w:space="0" w:color="auto" w:frame="1"/>
              </w:rPr>
              <w:t xml:space="preserve"> to </w:t>
            </w:r>
            <w:proofErr w:type="spellStart"/>
            <w:r w:rsidRPr="006C74A2">
              <w:rPr>
                <w:color w:val="000000"/>
                <w:bdr w:val="none" w:sz="0" w:space="0" w:color="auto" w:frame="1"/>
              </w:rPr>
              <w:t>Improve</w:t>
            </w:r>
            <w:proofErr w:type="spellEnd"/>
            <w:r w:rsidRPr="006C74A2">
              <w:rPr>
                <w:color w:val="000000"/>
                <w:bdr w:val="none" w:sz="0" w:space="0" w:color="auto" w:frame="1"/>
              </w:rPr>
              <w:t xml:space="preserve"> </w:t>
            </w:r>
            <w:proofErr w:type="spellStart"/>
            <w:r w:rsidRPr="006C74A2">
              <w:rPr>
                <w:color w:val="000000"/>
                <w:bdr w:val="none" w:sz="0" w:space="0" w:color="auto" w:frame="1"/>
              </w:rPr>
              <w:t>Its</w:t>
            </w:r>
            <w:proofErr w:type="spellEnd"/>
            <w:r w:rsidRPr="006C74A2">
              <w:rPr>
                <w:color w:val="000000"/>
                <w:bdr w:val="none" w:sz="0" w:space="0" w:color="auto" w:frame="1"/>
              </w:rPr>
              <w:t xml:space="preserve"> </w:t>
            </w:r>
            <w:proofErr w:type="spellStart"/>
            <w:r w:rsidRPr="006C74A2">
              <w:rPr>
                <w:color w:val="000000"/>
                <w:bdr w:val="none" w:sz="0" w:space="0" w:color="auto" w:frame="1"/>
              </w:rPr>
              <w:t>Performance</w:t>
            </w:r>
            <w:proofErr w:type="spellEnd"/>
            <w:r w:rsidRPr="006C74A2">
              <w:rPr>
                <w:color w:val="000000"/>
                <w:bdr w:val="none" w:sz="0" w:space="0" w:color="auto" w:frame="1"/>
              </w:rPr>
              <w:t xml:space="preserve"> </w:t>
            </w:r>
            <w:proofErr w:type="spellStart"/>
            <w:r w:rsidRPr="006C74A2">
              <w:rPr>
                <w:color w:val="000000"/>
                <w:bdr w:val="none" w:sz="0" w:space="0" w:color="auto" w:frame="1"/>
              </w:rPr>
              <w:t>in</w:t>
            </w:r>
            <w:proofErr w:type="spellEnd"/>
            <w:r w:rsidRPr="006C74A2">
              <w:rPr>
                <w:color w:val="000000"/>
                <w:bdr w:val="none" w:sz="0" w:space="0" w:color="auto" w:frame="1"/>
              </w:rPr>
              <w:t xml:space="preserve"> </w:t>
            </w:r>
            <w:proofErr w:type="spellStart"/>
            <w:r w:rsidRPr="006C74A2">
              <w:rPr>
                <w:color w:val="000000"/>
                <w:bdr w:val="none" w:sz="0" w:space="0" w:color="auto" w:frame="1"/>
              </w:rPr>
              <w:t>the</w:t>
            </w:r>
            <w:proofErr w:type="spellEnd"/>
            <w:r w:rsidRPr="006C74A2">
              <w:rPr>
                <w:color w:val="000000"/>
                <w:bdr w:val="none" w:sz="0" w:space="0" w:color="auto" w:frame="1"/>
              </w:rPr>
              <w:t xml:space="preserve"> </w:t>
            </w:r>
            <w:proofErr w:type="spellStart"/>
            <w:r w:rsidRPr="006C74A2">
              <w:rPr>
                <w:color w:val="000000"/>
                <w:bdr w:val="none" w:sz="0" w:space="0" w:color="auto" w:frame="1"/>
              </w:rPr>
              <w:t>Presence</w:t>
            </w:r>
            <w:proofErr w:type="spellEnd"/>
            <w:r w:rsidRPr="006C74A2">
              <w:rPr>
                <w:color w:val="000000"/>
                <w:bdr w:val="none" w:sz="0" w:space="0" w:color="auto" w:frame="1"/>
              </w:rPr>
              <w:t xml:space="preserve"> </w:t>
            </w:r>
            <w:proofErr w:type="spellStart"/>
            <w:r w:rsidRPr="006C74A2">
              <w:rPr>
                <w:color w:val="000000"/>
                <w:bdr w:val="none" w:sz="0" w:space="0" w:color="auto" w:frame="1"/>
              </w:rPr>
              <w:t>of</w:t>
            </w:r>
            <w:proofErr w:type="spellEnd"/>
            <w:r w:rsidRPr="006C74A2">
              <w:rPr>
                <w:color w:val="000000"/>
                <w:bdr w:val="none" w:sz="0" w:space="0" w:color="auto" w:frame="1"/>
              </w:rPr>
              <w:t xml:space="preserve"> </w:t>
            </w:r>
            <w:proofErr w:type="spellStart"/>
            <w:r w:rsidRPr="006C74A2">
              <w:rPr>
                <w:color w:val="000000"/>
                <w:bdr w:val="none" w:sz="0" w:space="0" w:color="auto" w:frame="1"/>
              </w:rPr>
              <w:t>Water</w:t>
            </w:r>
            <w:proofErr w:type="spellEnd"/>
            <w:r w:rsidRPr="006C74A2">
              <w:rPr>
                <w:color w:val="000000"/>
                <w:bdr w:val="none" w:sz="0" w:space="0" w:color="auto" w:frame="1"/>
              </w:rPr>
              <w:t xml:space="preserve"> </w:t>
            </w:r>
            <w:proofErr w:type="spellStart"/>
            <w:r w:rsidRPr="006C74A2">
              <w:rPr>
                <w:color w:val="000000"/>
                <w:bdr w:val="none" w:sz="0" w:space="0" w:color="auto" w:frame="1"/>
              </w:rPr>
              <w:t>and</w:t>
            </w:r>
            <w:proofErr w:type="spellEnd"/>
            <w:r w:rsidRPr="006C74A2">
              <w:rPr>
                <w:color w:val="000000"/>
                <w:bdr w:val="none" w:sz="0" w:space="0" w:color="auto" w:frame="1"/>
              </w:rPr>
              <w:t xml:space="preserve"> </w:t>
            </w:r>
            <w:proofErr w:type="spellStart"/>
            <w:r w:rsidRPr="006C74A2">
              <w:rPr>
                <w:color w:val="000000"/>
                <w:bdr w:val="none" w:sz="0" w:space="0" w:color="auto" w:frame="1"/>
              </w:rPr>
              <w:t>Water</w:t>
            </w:r>
            <w:proofErr w:type="spellEnd"/>
            <w:r w:rsidRPr="006C74A2">
              <w:rPr>
                <w:color w:val="000000"/>
                <w:bdr w:val="none" w:sz="0" w:space="0" w:color="auto" w:frame="1"/>
              </w:rPr>
              <w:t xml:space="preserve"> </w:t>
            </w:r>
            <w:proofErr w:type="spellStart"/>
            <w:r w:rsidRPr="006C74A2">
              <w:rPr>
                <w:color w:val="000000"/>
                <w:bdr w:val="none" w:sz="0" w:space="0" w:color="auto" w:frame="1"/>
              </w:rPr>
              <w:t>Vapor</w:t>
            </w:r>
            <w:proofErr w:type="spellEnd"/>
            <w:r w:rsidRPr="006C74A2">
              <w:rPr>
                <w:color w:val="000000"/>
                <w:bdr w:val="none" w:sz="0" w:space="0" w:color="auto" w:frame="1"/>
              </w:rPr>
              <w:t xml:space="preserve">, standartas </w:t>
            </w:r>
            <w:proofErr w:type="spellStart"/>
            <w:r w:rsidRPr="006C74A2">
              <w:rPr>
                <w:color w:val="000000"/>
                <w:bdr w:val="none" w:sz="0" w:space="0" w:color="auto" w:frame="1"/>
              </w:rPr>
              <w:t>RecyClass</w:t>
            </w:r>
            <w:proofErr w:type="spellEnd"/>
            <w:r w:rsidRPr="006C74A2">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4A4990">
        <w:trPr>
          <w:trHeight w:val="300"/>
        </w:trPr>
        <w:tc>
          <w:tcPr>
            <w:tcW w:w="2689"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6846"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4A4990">
        <w:trPr>
          <w:trHeight w:val="300"/>
        </w:trPr>
        <w:tc>
          <w:tcPr>
            <w:tcW w:w="2689"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6846"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4A4990">
        <w:trPr>
          <w:trHeight w:val="300"/>
        </w:trPr>
        <w:tc>
          <w:tcPr>
            <w:tcW w:w="2689"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6846"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4A4990">
        <w:trPr>
          <w:trHeight w:val="300"/>
        </w:trPr>
        <w:tc>
          <w:tcPr>
            <w:tcW w:w="2689" w:type="dxa"/>
          </w:tcPr>
          <w:p w14:paraId="40B07571" w14:textId="35583F33" w:rsidR="007029A5" w:rsidRPr="006C74A2" w:rsidRDefault="007029A5" w:rsidP="007029A5">
            <w:pPr>
              <w:rPr>
                <w:b/>
                <w:bCs/>
                <w:kern w:val="2"/>
                <w:szCs w:val="24"/>
              </w:rPr>
            </w:pPr>
            <w:r w:rsidRPr="006C74A2">
              <w:rPr>
                <w:b/>
                <w:bCs/>
                <w:kern w:val="2"/>
                <w:szCs w:val="24"/>
              </w:rPr>
              <w:t>13.1.</w:t>
            </w:r>
          </w:p>
        </w:tc>
        <w:tc>
          <w:tcPr>
            <w:tcW w:w="6846"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 xml:space="preserve">12.2.1.1. elektroninę sąskaitą faktūrą, atitinkančią Europos elektroninių sąskaitų faktūrų standartą, kurio nuoroda paskelbta 2017 </w:t>
            </w:r>
            <w:r w:rsidRPr="006C74A2">
              <w:rPr>
                <w:rFonts w:ascii="inherit" w:hAnsi="inherit"/>
                <w:color w:val="000000"/>
                <w:szCs w:val="24"/>
                <w:bdr w:val="none" w:sz="0" w:space="0" w:color="auto" w:frame="1"/>
                <w:lang w:eastAsia="lt-LT"/>
              </w:rPr>
              <w:lastRenderedPageBreak/>
              <w:t>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12"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3"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lastRenderedPageBreak/>
              <w:t>14. SUTARTIES PRIEDAI</w:t>
            </w:r>
          </w:p>
        </w:tc>
      </w:tr>
      <w:tr w:rsidR="007029A5" w:rsidRPr="006C74A2" w14:paraId="17C7A2C3" w14:textId="77777777" w:rsidTr="004A4990">
        <w:trPr>
          <w:trHeight w:val="300"/>
        </w:trPr>
        <w:tc>
          <w:tcPr>
            <w:tcW w:w="2689"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6846"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71246038" w14:textId="5BF12224" w:rsidR="007029A5" w:rsidRPr="006C74A2" w:rsidRDefault="007029A5" w:rsidP="007029A5">
            <w:pPr>
              <w:jc w:val="center"/>
              <w:rPr>
                <w:b/>
                <w:bCs/>
                <w:kern w:val="2"/>
                <w:szCs w:val="24"/>
              </w:rPr>
            </w:pPr>
            <w:r w:rsidRPr="006C74A2">
              <w:rPr>
                <w:color w:val="4472C4" w:themeColor="accent1"/>
                <w:szCs w:val="24"/>
              </w:rPr>
              <w:t>[įrašyti]</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4"/>
          <w:headerReference w:type="default" r:id="rId15"/>
          <w:footerReference w:type="even" r:id="rId16"/>
          <w:footerReference w:type="default" r:id="rId17"/>
          <w:headerReference w:type="first" r:id="rId18"/>
          <w:footerReference w:type="first" r:id="rId19"/>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shd w:val="clear" w:color="auto" w:fill="auto"/>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shd w:val="clear" w:color="auto" w:fill="auto"/>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shd w:val="clear" w:color="auto" w:fill="auto"/>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shd w:val="clear" w:color="auto" w:fill="auto"/>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shd w:val="clear" w:color="auto" w:fill="auto"/>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shd w:val="clear" w:color="auto" w:fill="auto"/>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shd w:val="clear" w:color="auto" w:fill="auto"/>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shd w:val="clear" w:color="auto" w:fill="auto"/>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shd w:val="clear" w:color="auto" w:fill="auto"/>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shd w:val="clear" w:color="auto" w:fill="auto"/>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shd w:val="clear" w:color="auto" w:fill="auto"/>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shd w:val="clear" w:color="auto" w:fill="auto"/>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shd w:val="clear" w:color="auto" w:fill="auto"/>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25"/>
        <w:gridCol w:w="1954"/>
        <w:gridCol w:w="953"/>
        <w:gridCol w:w="797"/>
        <w:gridCol w:w="1561"/>
        <w:gridCol w:w="943"/>
        <w:gridCol w:w="851"/>
        <w:gridCol w:w="617"/>
        <w:gridCol w:w="714"/>
        <w:gridCol w:w="8"/>
        <w:gridCol w:w="1352"/>
        <w:gridCol w:w="1701"/>
      </w:tblGrid>
      <w:tr w:rsidR="00D9186E" w:rsidRPr="006C74A2" w14:paraId="144E06A4" w14:textId="77777777" w:rsidTr="004A4990">
        <w:trPr>
          <w:cantSplit/>
          <w:trHeight w:val="2184"/>
        </w:trPr>
        <w:tc>
          <w:tcPr>
            <w:tcW w:w="916" w:type="dxa"/>
            <w:shd w:val="clear" w:color="auto" w:fill="auto"/>
            <w:vAlign w:val="center"/>
            <w:hideMark/>
          </w:tcPr>
          <w:p w14:paraId="7AD5E305" w14:textId="77777777" w:rsidR="00D9186E" w:rsidRPr="006C74A2" w:rsidRDefault="00D9186E" w:rsidP="00171060">
            <w:pPr>
              <w:jc w:val="center"/>
              <w:rPr>
                <w:b/>
                <w:bCs/>
                <w:color w:val="000000"/>
                <w:sz w:val="20"/>
                <w:lang w:eastAsia="lt-LT"/>
              </w:rPr>
            </w:pPr>
            <w:r w:rsidRPr="006C74A2">
              <w:rPr>
                <w:b/>
                <w:bCs/>
                <w:color w:val="000000"/>
                <w:sz w:val="20"/>
                <w:lang w:eastAsia="lt-LT"/>
              </w:rPr>
              <w:t>Pirkimo dalies Nr.</w:t>
            </w:r>
          </w:p>
        </w:tc>
        <w:tc>
          <w:tcPr>
            <w:tcW w:w="1525" w:type="dxa"/>
            <w:shd w:val="clear" w:color="auto" w:fill="auto"/>
            <w:vAlign w:val="center"/>
            <w:hideMark/>
          </w:tcPr>
          <w:p w14:paraId="7A733B96" w14:textId="77777777" w:rsidR="00D9186E" w:rsidRPr="006C74A2" w:rsidRDefault="00D9186E" w:rsidP="00171060">
            <w:pPr>
              <w:jc w:val="center"/>
              <w:rPr>
                <w:b/>
                <w:bCs/>
                <w:color w:val="000000"/>
                <w:sz w:val="20"/>
                <w:lang w:eastAsia="lt-LT"/>
              </w:rPr>
            </w:pPr>
            <w:r w:rsidRPr="006C74A2">
              <w:rPr>
                <w:b/>
                <w:bCs/>
                <w:color w:val="000000"/>
                <w:sz w:val="20"/>
                <w:lang w:eastAsia="lt-LT"/>
              </w:rPr>
              <w:t>Priemonės pavadinimas</w:t>
            </w:r>
          </w:p>
        </w:tc>
        <w:tc>
          <w:tcPr>
            <w:tcW w:w="1954" w:type="dxa"/>
            <w:shd w:val="clear" w:color="auto" w:fill="auto"/>
            <w:vAlign w:val="center"/>
            <w:hideMark/>
          </w:tcPr>
          <w:p w14:paraId="31C1E49A" w14:textId="77777777" w:rsidR="00D9186E" w:rsidRPr="006C74A2" w:rsidRDefault="00D9186E" w:rsidP="00171060">
            <w:pPr>
              <w:jc w:val="center"/>
              <w:rPr>
                <w:b/>
                <w:bCs/>
                <w:color w:val="000000"/>
                <w:sz w:val="20"/>
                <w:lang w:eastAsia="lt-LT"/>
              </w:rPr>
            </w:pPr>
            <w:r w:rsidRPr="006C74A2">
              <w:rPr>
                <w:b/>
                <w:bCs/>
                <w:color w:val="000000"/>
                <w:sz w:val="20"/>
                <w:lang w:eastAsia="lt-LT"/>
              </w:rPr>
              <w:t>Reikalaujami parametrai, charakteristikos</w:t>
            </w:r>
          </w:p>
        </w:tc>
        <w:tc>
          <w:tcPr>
            <w:tcW w:w="953" w:type="dxa"/>
            <w:shd w:val="clear" w:color="auto" w:fill="auto"/>
            <w:textDirection w:val="btLr"/>
            <w:vAlign w:val="center"/>
            <w:hideMark/>
          </w:tcPr>
          <w:p w14:paraId="766BAC34" w14:textId="77777777" w:rsidR="00D9186E" w:rsidRPr="006C74A2" w:rsidRDefault="00D9186E" w:rsidP="00171060">
            <w:pPr>
              <w:jc w:val="center"/>
              <w:rPr>
                <w:b/>
                <w:bCs/>
                <w:color w:val="000000"/>
                <w:sz w:val="20"/>
                <w:lang w:eastAsia="lt-LT"/>
              </w:rPr>
            </w:pPr>
            <w:r w:rsidRPr="006C74A2">
              <w:rPr>
                <w:b/>
                <w:bCs/>
                <w:color w:val="000000"/>
                <w:sz w:val="20"/>
                <w:lang w:eastAsia="lt-LT"/>
              </w:rPr>
              <w:t>Mato vnt.</w:t>
            </w:r>
          </w:p>
        </w:tc>
        <w:tc>
          <w:tcPr>
            <w:tcW w:w="797" w:type="dxa"/>
            <w:shd w:val="clear" w:color="auto" w:fill="auto"/>
            <w:textDirection w:val="btLr"/>
            <w:vAlign w:val="center"/>
            <w:hideMark/>
          </w:tcPr>
          <w:p w14:paraId="1BBA32F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Preliminarus kiekis</w:t>
            </w:r>
          </w:p>
        </w:tc>
        <w:tc>
          <w:tcPr>
            <w:tcW w:w="1561" w:type="dxa"/>
            <w:textDirection w:val="btLr"/>
          </w:tcPr>
          <w:p w14:paraId="5140F854"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Firminis priemonių pavadinimas, gamintojas, priemonės kodas gamintojo kataloge*</w:t>
            </w:r>
          </w:p>
        </w:tc>
        <w:tc>
          <w:tcPr>
            <w:tcW w:w="943" w:type="dxa"/>
            <w:shd w:val="clear" w:color="auto" w:fill="auto"/>
            <w:textDirection w:val="btLr"/>
            <w:vAlign w:val="center"/>
            <w:hideMark/>
          </w:tcPr>
          <w:p w14:paraId="448391D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Mato vnt. įkainis Eur be PVM</w:t>
            </w:r>
          </w:p>
        </w:tc>
        <w:tc>
          <w:tcPr>
            <w:tcW w:w="851" w:type="dxa"/>
            <w:shd w:val="clear" w:color="auto" w:fill="auto"/>
            <w:textDirection w:val="btLr"/>
            <w:vAlign w:val="center"/>
            <w:hideMark/>
          </w:tcPr>
          <w:p w14:paraId="067FEC4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be PVM</w:t>
            </w:r>
          </w:p>
        </w:tc>
        <w:tc>
          <w:tcPr>
            <w:tcW w:w="617" w:type="dxa"/>
            <w:shd w:val="clear" w:color="auto" w:fill="auto"/>
            <w:textDirection w:val="btLr"/>
            <w:vAlign w:val="center"/>
            <w:hideMark/>
          </w:tcPr>
          <w:p w14:paraId="7499536F"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w:t>
            </w:r>
          </w:p>
        </w:tc>
        <w:tc>
          <w:tcPr>
            <w:tcW w:w="714" w:type="dxa"/>
            <w:shd w:val="clear" w:color="auto" w:fill="auto"/>
            <w:textDirection w:val="btLr"/>
            <w:vAlign w:val="center"/>
            <w:hideMark/>
          </w:tcPr>
          <w:p w14:paraId="3922C721"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PVM suma, Eur</w:t>
            </w:r>
          </w:p>
        </w:tc>
        <w:tc>
          <w:tcPr>
            <w:tcW w:w="1360" w:type="dxa"/>
            <w:gridSpan w:val="2"/>
            <w:shd w:val="clear" w:color="auto" w:fill="auto"/>
            <w:textDirection w:val="btLr"/>
            <w:vAlign w:val="center"/>
            <w:hideMark/>
          </w:tcPr>
          <w:p w14:paraId="063E15EF" w14:textId="77777777" w:rsidR="00D9186E" w:rsidRPr="006C74A2" w:rsidRDefault="00D9186E" w:rsidP="00171060">
            <w:pPr>
              <w:ind w:left="113" w:right="113"/>
              <w:jc w:val="center"/>
              <w:rPr>
                <w:b/>
                <w:bCs/>
                <w:color w:val="000000"/>
                <w:sz w:val="20"/>
                <w:lang w:eastAsia="lt-LT"/>
              </w:rPr>
            </w:pPr>
            <w:r w:rsidRPr="006C74A2">
              <w:rPr>
                <w:b/>
                <w:bCs/>
                <w:color w:val="000000"/>
                <w:kern w:val="2"/>
                <w:sz w:val="20"/>
              </w:rPr>
              <w:t>Maksimali pirkimui skirta lėšų suma</w:t>
            </w:r>
            <w:r w:rsidRPr="006C74A2">
              <w:rPr>
                <w:b/>
                <w:bCs/>
                <w:sz w:val="20"/>
                <w:lang w:eastAsia="lt-LT"/>
              </w:rPr>
              <w:t xml:space="preserve"> Eur su PVM</w:t>
            </w:r>
          </w:p>
        </w:tc>
        <w:tc>
          <w:tcPr>
            <w:tcW w:w="1701" w:type="dxa"/>
            <w:shd w:val="clear" w:color="auto" w:fill="auto"/>
            <w:textDirection w:val="btLr"/>
            <w:vAlign w:val="center"/>
            <w:hideMark/>
          </w:tcPr>
          <w:p w14:paraId="16DC163E" w14:textId="77777777" w:rsidR="00D9186E" w:rsidRPr="006C74A2" w:rsidRDefault="00D9186E" w:rsidP="00171060">
            <w:pPr>
              <w:ind w:left="113" w:right="113"/>
              <w:jc w:val="center"/>
              <w:rPr>
                <w:b/>
                <w:bCs/>
                <w:color w:val="000000"/>
                <w:sz w:val="20"/>
                <w:lang w:eastAsia="lt-LT"/>
              </w:rPr>
            </w:pPr>
            <w:r w:rsidRPr="006C74A2">
              <w:rPr>
                <w:b/>
                <w:bCs/>
                <w:color w:val="000000"/>
                <w:sz w:val="20"/>
                <w:lang w:eastAsia="lt-LT"/>
              </w:rPr>
              <w:t xml:space="preserve">Siūloma parametro reikšmė </w:t>
            </w:r>
            <w:r w:rsidRPr="006C74A2">
              <w:rPr>
                <w:b/>
                <w:bCs/>
                <w:color w:val="000000"/>
                <w:sz w:val="20"/>
                <w:lang w:eastAsia="lt-LT"/>
              </w:rPr>
              <w:br/>
            </w:r>
          </w:p>
        </w:tc>
      </w:tr>
      <w:tr w:rsidR="00D9186E" w:rsidRPr="006C74A2" w14:paraId="05611D27" w14:textId="77777777" w:rsidTr="004A4990">
        <w:trPr>
          <w:trHeight w:val="562"/>
        </w:trPr>
        <w:tc>
          <w:tcPr>
            <w:tcW w:w="916" w:type="dxa"/>
            <w:shd w:val="clear" w:color="auto" w:fill="auto"/>
            <w:noWrap/>
          </w:tcPr>
          <w:p w14:paraId="10618B50" w14:textId="77777777" w:rsidR="00D9186E" w:rsidRPr="006C74A2" w:rsidRDefault="00D9186E" w:rsidP="00171060">
            <w:pPr>
              <w:rPr>
                <w:color w:val="000000"/>
                <w:szCs w:val="24"/>
                <w:lang w:eastAsia="lt-LT"/>
              </w:rPr>
            </w:pPr>
          </w:p>
        </w:tc>
        <w:tc>
          <w:tcPr>
            <w:tcW w:w="1525" w:type="dxa"/>
            <w:shd w:val="clear" w:color="auto" w:fill="auto"/>
          </w:tcPr>
          <w:p w14:paraId="092A255A" w14:textId="77777777" w:rsidR="00D9186E" w:rsidRPr="006C74A2" w:rsidRDefault="00D9186E" w:rsidP="00171060">
            <w:pPr>
              <w:rPr>
                <w:color w:val="000000"/>
                <w:szCs w:val="24"/>
                <w:lang w:eastAsia="lt-LT"/>
              </w:rPr>
            </w:pPr>
          </w:p>
        </w:tc>
        <w:tc>
          <w:tcPr>
            <w:tcW w:w="1954" w:type="dxa"/>
            <w:shd w:val="clear" w:color="auto" w:fill="auto"/>
          </w:tcPr>
          <w:p w14:paraId="30E7A465" w14:textId="77777777" w:rsidR="00D9186E" w:rsidRPr="006C74A2" w:rsidRDefault="00D9186E" w:rsidP="00171060">
            <w:pPr>
              <w:rPr>
                <w:color w:val="000000"/>
                <w:szCs w:val="24"/>
                <w:lang w:eastAsia="lt-LT"/>
              </w:rPr>
            </w:pPr>
          </w:p>
        </w:tc>
        <w:tc>
          <w:tcPr>
            <w:tcW w:w="953" w:type="dxa"/>
            <w:shd w:val="clear" w:color="auto" w:fill="auto"/>
            <w:noWrap/>
            <w:vAlign w:val="center"/>
          </w:tcPr>
          <w:p w14:paraId="419A8118" w14:textId="77777777" w:rsidR="00D9186E" w:rsidRPr="006C74A2" w:rsidRDefault="00D9186E" w:rsidP="00171060">
            <w:pPr>
              <w:jc w:val="center"/>
              <w:rPr>
                <w:color w:val="000000"/>
                <w:szCs w:val="24"/>
                <w:lang w:eastAsia="lt-LT"/>
              </w:rPr>
            </w:pPr>
          </w:p>
        </w:tc>
        <w:tc>
          <w:tcPr>
            <w:tcW w:w="797" w:type="dxa"/>
            <w:shd w:val="clear" w:color="auto" w:fill="auto"/>
            <w:noWrap/>
            <w:vAlign w:val="center"/>
          </w:tcPr>
          <w:p w14:paraId="5F575DB8" w14:textId="77777777" w:rsidR="00D9186E" w:rsidRPr="006C74A2" w:rsidRDefault="00D9186E" w:rsidP="00171060">
            <w:pPr>
              <w:jc w:val="center"/>
              <w:rPr>
                <w:color w:val="000000"/>
                <w:szCs w:val="24"/>
                <w:lang w:eastAsia="lt-LT"/>
              </w:rPr>
            </w:pPr>
          </w:p>
        </w:tc>
        <w:tc>
          <w:tcPr>
            <w:tcW w:w="1561" w:type="dxa"/>
          </w:tcPr>
          <w:p w14:paraId="35B33A2E" w14:textId="77777777" w:rsidR="00D9186E" w:rsidRPr="006C74A2" w:rsidRDefault="00D9186E" w:rsidP="00171060">
            <w:pPr>
              <w:rPr>
                <w:color w:val="000000"/>
                <w:szCs w:val="24"/>
                <w:lang w:eastAsia="lt-LT"/>
              </w:rPr>
            </w:pPr>
          </w:p>
        </w:tc>
        <w:tc>
          <w:tcPr>
            <w:tcW w:w="943" w:type="dxa"/>
            <w:shd w:val="clear" w:color="auto" w:fill="auto"/>
            <w:noWrap/>
            <w:vAlign w:val="center"/>
          </w:tcPr>
          <w:p w14:paraId="37CBC47D" w14:textId="77777777" w:rsidR="00D9186E" w:rsidRPr="006C74A2" w:rsidRDefault="00D9186E" w:rsidP="00171060">
            <w:pPr>
              <w:rPr>
                <w:color w:val="000000"/>
                <w:szCs w:val="24"/>
                <w:lang w:eastAsia="lt-LT"/>
              </w:rPr>
            </w:pPr>
          </w:p>
        </w:tc>
        <w:tc>
          <w:tcPr>
            <w:tcW w:w="851" w:type="dxa"/>
            <w:shd w:val="clear" w:color="auto" w:fill="auto"/>
            <w:noWrap/>
            <w:vAlign w:val="center"/>
          </w:tcPr>
          <w:p w14:paraId="1F3DB7B8" w14:textId="77777777" w:rsidR="00D9186E" w:rsidRPr="006C74A2" w:rsidRDefault="00D9186E" w:rsidP="00171060">
            <w:pPr>
              <w:jc w:val="center"/>
              <w:rPr>
                <w:color w:val="000000"/>
                <w:szCs w:val="24"/>
                <w:lang w:eastAsia="lt-LT"/>
              </w:rPr>
            </w:pPr>
          </w:p>
        </w:tc>
        <w:tc>
          <w:tcPr>
            <w:tcW w:w="617" w:type="dxa"/>
            <w:shd w:val="clear" w:color="auto" w:fill="auto"/>
            <w:noWrap/>
            <w:vAlign w:val="center"/>
          </w:tcPr>
          <w:p w14:paraId="1DBDCC30" w14:textId="77777777" w:rsidR="00D9186E" w:rsidRPr="006C74A2" w:rsidRDefault="00D9186E" w:rsidP="00171060">
            <w:pPr>
              <w:jc w:val="center"/>
              <w:rPr>
                <w:color w:val="000000"/>
                <w:szCs w:val="24"/>
                <w:lang w:eastAsia="lt-LT"/>
              </w:rPr>
            </w:pPr>
          </w:p>
        </w:tc>
        <w:tc>
          <w:tcPr>
            <w:tcW w:w="714" w:type="dxa"/>
            <w:shd w:val="clear" w:color="auto" w:fill="auto"/>
            <w:noWrap/>
            <w:vAlign w:val="center"/>
          </w:tcPr>
          <w:p w14:paraId="154F05B6" w14:textId="77777777" w:rsidR="00D9186E" w:rsidRPr="006C74A2" w:rsidRDefault="00D9186E" w:rsidP="00171060">
            <w:pPr>
              <w:jc w:val="center"/>
              <w:rPr>
                <w:color w:val="000000"/>
                <w:szCs w:val="24"/>
                <w:lang w:eastAsia="lt-LT"/>
              </w:rPr>
            </w:pPr>
          </w:p>
        </w:tc>
        <w:tc>
          <w:tcPr>
            <w:tcW w:w="1360" w:type="dxa"/>
            <w:gridSpan w:val="2"/>
            <w:shd w:val="clear" w:color="auto" w:fill="auto"/>
            <w:noWrap/>
            <w:vAlign w:val="center"/>
          </w:tcPr>
          <w:p w14:paraId="139ADA68" w14:textId="77777777" w:rsidR="00D9186E" w:rsidRPr="006C74A2" w:rsidRDefault="00D9186E" w:rsidP="00171060">
            <w:pPr>
              <w:jc w:val="center"/>
              <w:rPr>
                <w:color w:val="000000"/>
                <w:szCs w:val="24"/>
                <w:lang w:eastAsia="lt-LT"/>
              </w:rPr>
            </w:pPr>
          </w:p>
        </w:tc>
        <w:tc>
          <w:tcPr>
            <w:tcW w:w="1701" w:type="dxa"/>
            <w:tcBorders>
              <w:bottom w:val="single" w:sz="4" w:space="0" w:color="auto"/>
            </w:tcBorders>
            <w:shd w:val="clear" w:color="auto" w:fill="auto"/>
            <w:noWrap/>
            <w:vAlign w:val="bottom"/>
            <w:hideMark/>
          </w:tcPr>
          <w:p w14:paraId="36B97F9B" w14:textId="77777777" w:rsidR="00D9186E" w:rsidRPr="006C74A2" w:rsidRDefault="00D9186E" w:rsidP="00171060">
            <w:pPr>
              <w:rPr>
                <w:color w:val="000000"/>
                <w:szCs w:val="24"/>
                <w:lang w:eastAsia="lt-LT"/>
              </w:rPr>
            </w:pPr>
            <w:r w:rsidRPr="006C74A2">
              <w:rPr>
                <w:color w:val="000000"/>
                <w:szCs w:val="24"/>
                <w:lang w:eastAsia="lt-LT"/>
              </w:rPr>
              <w:t> </w:t>
            </w:r>
          </w:p>
        </w:tc>
      </w:tr>
      <w:tr w:rsidR="00D9186E" w:rsidRPr="006C74A2" w14:paraId="2DA4716C" w14:textId="77777777" w:rsidTr="004A4990">
        <w:trPr>
          <w:trHeight w:val="448"/>
        </w:trPr>
        <w:tc>
          <w:tcPr>
            <w:tcW w:w="10839" w:type="dxa"/>
            <w:gridSpan w:val="11"/>
            <w:tcBorders>
              <w:top w:val="single" w:sz="4" w:space="0" w:color="auto"/>
              <w:left w:val="single" w:sz="4" w:space="0" w:color="auto"/>
              <w:bottom w:val="single" w:sz="4" w:space="0" w:color="auto"/>
              <w:right w:val="single" w:sz="4" w:space="0" w:color="auto"/>
            </w:tcBorders>
          </w:tcPr>
          <w:p w14:paraId="79A80B59" w14:textId="77777777" w:rsidR="00D9186E" w:rsidRPr="006C74A2" w:rsidRDefault="00D9186E" w:rsidP="00171060">
            <w:pPr>
              <w:jc w:val="right"/>
              <w:rPr>
                <w:b/>
                <w:szCs w:val="24"/>
              </w:rPr>
            </w:pPr>
            <w:r w:rsidRPr="006C74A2">
              <w:rPr>
                <w:b/>
                <w:bCs/>
                <w:szCs w:val="24"/>
                <w:lang w:eastAsia="lt-LT"/>
              </w:rPr>
              <w:t>Pradinės sutarties vertė EUR be PVM</w:t>
            </w:r>
          </w:p>
        </w:tc>
        <w:tc>
          <w:tcPr>
            <w:tcW w:w="1352" w:type="dxa"/>
            <w:tcBorders>
              <w:right w:val="single" w:sz="4" w:space="0" w:color="auto"/>
            </w:tcBorders>
            <w:shd w:val="clear" w:color="auto" w:fill="auto"/>
            <w:noWrap/>
            <w:vAlign w:val="center"/>
          </w:tcPr>
          <w:p w14:paraId="3EC85FA6" w14:textId="77777777" w:rsidR="00D9186E" w:rsidRPr="006C74A2" w:rsidRDefault="00D9186E" w:rsidP="00171060">
            <w:pPr>
              <w:jc w:val="center"/>
              <w:rPr>
                <w:color w:val="000000"/>
                <w:szCs w:val="24"/>
                <w:lang w:eastAsia="lt-LT"/>
              </w:rPr>
            </w:pPr>
          </w:p>
        </w:tc>
        <w:tc>
          <w:tcPr>
            <w:tcW w:w="1701" w:type="dxa"/>
            <w:tcBorders>
              <w:top w:val="single" w:sz="4" w:space="0" w:color="auto"/>
              <w:left w:val="single" w:sz="4" w:space="0" w:color="auto"/>
              <w:bottom w:val="nil"/>
              <w:right w:val="nil"/>
            </w:tcBorders>
            <w:shd w:val="clear" w:color="auto" w:fill="auto"/>
            <w:noWrap/>
            <w:vAlign w:val="bottom"/>
          </w:tcPr>
          <w:p w14:paraId="280A4922" w14:textId="77777777" w:rsidR="00D9186E" w:rsidRPr="006C74A2" w:rsidRDefault="00D9186E" w:rsidP="00171060">
            <w:pPr>
              <w:rPr>
                <w:color w:val="000000"/>
                <w:szCs w:val="24"/>
                <w:lang w:eastAsia="lt-LT"/>
              </w:rPr>
            </w:pPr>
          </w:p>
        </w:tc>
      </w:tr>
      <w:tr w:rsidR="00D9186E" w:rsidRPr="006C74A2" w14:paraId="27CD8D4A" w14:textId="77777777" w:rsidTr="004A4990">
        <w:trPr>
          <w:trHeight w:val="398"/>
        </w:trPr>
        <w:tc>
          <w:tcPr>
            <w:tcW w:w="10839" w:type="dxa"/>
            <w:gridSpan w:val="11"/>
            <w:tcBorders>
              <w:top w:val="single" w:sz="4" w:space="0" w:color="auto"/>
              <w:left w:val="single" w:sz="4" w:space="0" w:color="auto"/>
              <w:bottom w:val="single" w:sz="4" w:space="0" w:color="auto"/>
              <w:right w:val="single" w:sz="4" w:space="0" w:color="auto"/>
            </w:tcBorders>
          </w:tcPr>
          <w:p w14:paraId="18A00E6F" w14:textId="77777777" w:rsidR="00D9186E" w:rsidRPr="006C74A2" w:rsidRDefault="00D9186E" w:rsidP="00171060">
            <w:pPr>
              <w:jc w:val="right"/>
              <w:rPr>
                <w:b/>
                <w:szCs w:val="24"/>
              </w:rPr>
            </w:pPr>
            <w:r w:rsidRPr="006C74A2">
              <w:rPr>
                <w:b/>
                <w:bCs/>
                <w:szCs w:val="24"/>
                <w:lang w:eastAsia="lt-LT"/>
              </w:rPr>
              <w:t>PVM suma, Eur</w:t>
            </w:r>
          </w:p>
        </w:tc>
        <w:tc>
          <w:tcPr>
            <w:tcW w:w="1352" w:type="dxa"/>
            <w:tcBorders>
              <w:right w:val="single" w:sz="4" w:space="0" w:color="auto"/>
            </w:tcBorders>
            <w:shd w:val="clear" w:color="auto" w:fill="auto"/>
            <w:noWrap/>
            <w:vAlign w:val="center"/>
          </w:tcPr>
          <w:p w14:paraId="4F5675C4" w14:textId="77777777" w:rsidR="00D9186E" w:rsidRPr="006C74A2" w:rsidRDefault="00D9186E" w:rsidP="00171060">
            <w:pPr>
              <w:jc w:val="center"/>
              <w:rPr>
                <w:color w:val="000000"/>
                <w:szCs w:val="24"/>
                <w:lang w:eastAsia="lt-LT"/>
              </w:rPr>
            </w:pPr>
          </w:p>
        </w:tc>
        <w:tc>
          <w:tcPr>
            <w:tcW w:w="1701" w:type="dxa"/>
            <w:tcBorders>
              <w:top w:val="nil"/>
              <w:left w:val="single" w:sz="4" w:space="0" w:color="auto"/>
              <w:bottom w:val="nil"/>
              <w:right w:val="nil"/>
            </w:tcBorders>
            <w:shd w:val="clear" w:color="auto" w:fill="auto"/>
            <w:noWrap/>
            <w:vAlign w:val="bottom"/>
          </w:tcPr>
          <w:p w14:paraId="42F0B7F2" w14:textId="77777777" w:rsidR="00D9186E" w:rsidRPr="006C74A2" w:rsidRDefault="00D9186E" w:rsidP="00171060">
            <w:pPr>
              <w:rPr>
                <w:color w:val="000000"/>
                <w:szCs w:val="24"/>
                <w:lang w:eastAsia="lt-LT"/>
              </w:rPr>
            </w:pPr>
          </w:p>
        </w:tc>
      </w:tr>
      <w:tr w:rsidR="00D9186E" w:rsidRPr="006C74A2" w14:paraId="7222F3CE" w14:textId="77777777" w:rsidTr="004A4990">
        <w:trPr>
          <w:trHeight w:val="419"/>
        </w:trPr>
        <w:tc>
          <w:tcPr>
            <w:tcW w:w="10839" w:type="dxa"/>
            <w:gridSpan w:val="11"/>
            <w:tcBorders>
              <w:top w:val="single" w:sz="4" w:space="0" w:color="auto"/>
              <w:left w:val="single" w:sz="4" w:space="0" w:color="auto"/>
              <w:bottom w:val="single" w:sz="4" w:space="0" w:color="auto"/>
              <w:right w:val="single" w:sz="4" w:space="0" w:color="auto"/>
            </w:tcBorders>
          </w:tcPr>
          <w:p w14:paraId="13B22993" w14:textId="77777777" w:rsidR="00D9186E" w:rsidRPr="006C74A2" w:rsidRDefault="00D9186E" w:rsidP="00171060">
            <w:pPr>
              <w:jc w:val="right"/>
              <w:rPr>
                <w:b/>
                <w:szCs w:val="24"/>
              </w:rPr>
            </w:pPr>
            <w:r w:rsidRPr="006C74A2">
              <w:rPr>
                <w:b/>
                <w:bCs/>
                <w:szCs w:val="24"/>
                <w:lang w:eastAsia="lt-LT"/>
              </w:rPr>
              <w:t>Sutarties kaina EUR su PVM</w:t>
            </w:r>
          </w:p>
        </w:tc>
        <w:tc>
          <w:tcPr>
            <w:tcW w:w="1352" w:type="dxa"/>
            <w:tcBorders>
              <w:right w:val="single" w:sz="4" w:space="0" w:color="auto"/>
            </w:tcBorders>
            <w:shd w:val="clear" w:color="auto" w:fill="auto"/>
            <w:noWrap/>
            <w:vAlign w:val="center"/>
          </w:tcPr>
          <w:p w14:paraId="34F1B023" w14:textId="77777777" w:rsidR="00D9186E" w:rsidRPr="006C74A2" w:rsidRDefault="00D9186E" w:rsidP="00171060">
            <w:pPr>
              <w:jc w:val="center"/>
              <w:rPr>
                <w:color w:val="000000"/>
                <w:szCs w:val="24"/>
                <w:lang w:eastAsia="lt-LT"/>
              </w:rPr>
            </w:pPr>
          </w:p>
        </w:tc>
        <w:tc>
          <w:tcPr>
            <w:tcW w:w="1701" w:type="dxa"/>
            <w:tcBorders>
              <w:top w:val="nil"/>
              <w:left w:val="single" w:sz="4" w:space="0" w:color="auto"/>
              <w:bottom w:val="nil"/>
              <w:right w:val="nil"/>
            </w:tcBorders>
            <w:shd w:val="clear" w:color="auto" w:fill="auto"/>
            <w:noWrap/>
            <w:vAlign w:val="bottom"/>
          </w:tcPr>
          <w:p w14:paraId="36FF1059" w14:textId="77777777" w:rsidR="00D9186E" w:rsidRPr="006C74A2" w:rsidRDefault="00D9186E" w:rsidP="00171060">
            <w:pPr>
              <w:rPr>
                <w:color w:val="000000"/>
                <w:szCs w:val="24"/>
                <w:lang w:eastAsia="lt-LT"/>
              </w:rPr>
            </w:pPr>
          </w:p>
        </w:tc>
      </w:tr>
    </w:tbl>
    <w:p w14:paraId="41F01EFF" w14:textId="77777777" w:rsidR="00D9186E" w:rsidRPr="006C74A2" w:rsidRDefault="00D9186E" w:rsidP="00D9186E">
      <w:pPr>
        <w:jc w:val="center"/>
        <w:rPr>
          <w:b/>
          <w:bCs/>
          <w:iCs/>
          <w:szCs w:val="24"/>
        </w:rPr>
      </w:pPr>
    </w:p>
    <w:p w14:paraId="661F24C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C74A2">
        <w:rPr>
          <w:rFonts w:eastAsia="Cambria"/>
          <w:color w:val="000000"/>
          <w:szCs w:val="24"/>
          <w:shd w:val="clear" w:color="auto" w:fill="FFFFFF"/>
        </w:rPr>
        <w:t>subtiekimo</w:t>
      </w:r>
      <w:proofErr w:type="spellEnd"/>
      <w:r w:rsidRPr="006C74A2">
        <w:rPr>
          <w:rFonts w:eastAsia="Cambria"/>
          <w:color w:val="000000"/>
          <w:szCs w:val="24"/>
          <w:shd w:val="clear" w:color="auto" w:fill="FFFFFF"/>
        </w:rPr>
        <w:t xml:space="preserve">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C74A2">
        <w:rPr>
          <w:szCs w:val="24"/>
        </w:rPr>
        <w:t>sui</w:t>
      </w:r>
      <w:proofErr w:type="spellEnd"/>
      <w:r w:rsidRPr="006C74A2">
        <w:rPr>
          <w:szCs w:val="24"/>
        </w:rPr>
        <w:t xml:space="preserve"> </w:t>
      </w:r>
      <w:proofErr w:type="spellStart"/>
      <w:r w:rsidRPr="006C74A2">
        <w:rPr>
          <w:szCs w:val="24"/>
        </w:rPr>
        <w:t>generis</w:t>
      </w:r>
      <w:proofErr w:type="spellEnd"/>
      <w:r w:rsidRPr="006C74A2">
        <w:rPr>
          <w:szCs w:val="24"/>
        </w:rPr>
        <w:t xml:space="preserve">)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E2D8E" w14:textId="77777777" w:rsidR="0066529F" w:rsidRDefault="0066529F">
      <w:r>
        <w:separator/>
      </w:r>
    </w:p>
  </w:endnote>
  <w:endnote w:type="continuationSeparator" w:id="0">
    <w:p w14:paraId="546FC1BF" w14:textId="77777777" w:rsidR="0066529F" w:rsidRDefault="0066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D2DAF" w14:textId="77777777" w:rsidR="0066529F" w:rsidRDefault="0066529F">
      <w:r>
        <w:separator/>
      </w:r>
    </w:p>
  </w:footnote>
  <w:footnote w:type="continuationSeparator" w:id="0">
    <w:p w14:paraId="1FC80B45" w14:textId="77777777" w:rsidR="0066529F" w:rsidRDefault="0066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419C9"/>
    <w:rsid w:val="000B03AC"/>
    <w:rsid w:val="000B2476"/>
    <w:rsid w:val="000D52AC"/>
    <w:rsid w:val="000E6307"/>
    <w:rsid w:val="00132B43"/>
    <w:rsid w:val="00142629"/>
    <w:rsid w:val="00151DF6"/>
    <w:rsid w:val="001608C2"/>
    <w:rsid w:val="001659B6"/>
    <w:rsid w:val="00171060"/>
    <w:rsid w:val="001740E3"/>
    <w:rsid w:val="001A0C2E"/>
    <w:rsid w:val="001F2A74"/>
    <w:rsid w:val="001F3581"/>
    <w:rsid w:val="00233811"/>
    <w:rsid w:val="00242706"/>
    <w:rsid w:val="00271053"/>
    <w:rsid w:val="0028363D"/>
    <w:rsid w:val="002859F6"/>
    <w:rsid w:val="002B362D"/>
    <w:rsid w:val="002D512C"/>
    <w:rsid w:val="002D586C"/>
    <w:rsid w:val="002E3A58"/>
    <w:rsid w:val="0030492F"/>
    <w:rsid w:val="00323BDA"/>
    <w:rsid w:val="00324AAC"/>
    <w:rsid w:val="00327C7C"/>
    <w:rsid w:val="003418F0"/>
    <w:rsid w:val="003969E1"/>
    <w:rsid w:val="003C177C"/>
    <w:rsid w:val="003D0A58"/>
    <w:rsid w:val="004012E3"/>
    <w:rsid w:val="00401327"/>
    <w:rsid w:val="004343C5"/>
    <w:rsid w:val="004346C8"/>
    <w:rsid w:val="00437EB8"/>
    <w:rsid w:val="00466E54"/>
    <w:rsid w:val="00480D2C"/>
    <w:rsid w:val="004A050D"/>
    <w:rsid w:val="004A4990"/>
    <w:rsid w:val="004B1A85"/>
    <w:rsid w:val="004D1507"/>
    <w:rsid w:val="00505D38"/>
    <w:rsid w:val="00542FD2"/>
    <w:rsid w:val="00551FA8"/>
    <w:rsid w:val="00587A9E"/>
    <w:rsid w:val="005B4EF0"/>
    <w:rsid w:val="005B6381"/>
    <w:rsid w:val="005C6E77"/>
    <w:rsid w:val="005F65D3"/>
    <w:rsid w:val="005F6B4C"/>
    <w:rsid w:val="00646D84"/>
    <w:rsid w:val="0066529F"/>
    <w:rsid w:val="006B5110"/>
    <w:rsid w:val="006C0B66"/>
    <w:rsid w:val="006C74A2"/>
    <w:rsid w:val="006D57AB"/>
    <w:rsid w:val="006F5BA7"/>
    <w:rsid w:val="007029A5"/>
    <w:rsid w:val="00731A1F"/>
    <w:rsid w:val="007D2C2F"/>
    <w:rsid w:val="00802B8D"/>
    <w:rsid w:val="00805C9A"/>
    <w:rsid w:val="0083391E"/>
    <w:rsid w:val="008615B9"/>
    <w:rsid w:val="00881857"/>
    <w:rsid w:val="008873A0"/>
    <w:rsid w:val="00887B56"/>
    <w:rsid w:val="00892B93"/>
    <w:rsid w:val="00896D87"/>
    <w:rsid w:val="008A17CD"/>
    <w:rsid w:val="008F0DD2"/>
    <w:rsid w:val="009158CD"/>
    <w:rsid w:val="00960ED5"/>
    <w:rsid w:val="009632BE"/>
    <w:rsid w:val="0098719E"/>
    <w:rsid w:val="0099654E"/>
    <w:rsid w:val="009A7251"/>
    <w:rsid w:val="009E589E"/>
    <w:rsid w:val="009E65BD"/>
    <w:rsid w:val="00A001BF"/>
    <w:rsid w:val="00A2147F"/>
    <w:rsid w:val="00A30F41"/>
    <w:rsid w:val="00A61408"/>
    <w:rsid w:val="00A76A61"/>
    <w:rsid w:val="00AF2D88"/>
    <w:rsid w:val="00B034D7"/>
    <w:rsid w:val="00B16690"/>
    <w:rsid w:val="00B273D3"/>
    <w:rsid w:val="00B6451E"/>
    <w:rsid w:val="00B90CB5"/>
    <w:rsid w:val="00BA0145"/>
    <w:rsid w:val="00BA236F"/>
    <w:rsid w:val="00BE497C"/>
    <w:rsid w:val="00C17984"/>
    <w:rsid w:val="00C36C7A"/>
    <w:rsid w:val="00C516DE"/>
    <w:rsid w:val="00C7081A"/>
    <w:rsid w:val="00C735AD"/>
    <w:rsid w:val="00C91E72"/>
    <w:rsid w:val="00CA3901"/>
    <w:rsid w:val="00CD02A6"/>
    <w:rsid w:val="00CD4094"/>
    <w:rsid w:val="00CD5527"/>
    <w:rsid w:val="00D20EE8"/>
    <w:rsid w:val="00D81341"/>
    <w:rsid w:val="00D9186E"/>
    <w:rsid w:val="00D96FD2"/>
    <w:rsid w:val="00DE1404"/>
    <w:rsid w:val="00E02AE0"/>
    <w:rsid w:val="00E068EA"/>
    <w:rsid w:val="00E24878"/>
    <w:rsid w:val="00E265FD"/>
    <w:rsid w:val="00EA3F9D"/>
    <w:rsid w:val="00EE3697"/>
    <w:rsid w:val="00EF2BB2"/>
    <w:rsid w:val="00F038A5"/>
    <w:rsid w:val="00F130C8"/>
    <w:rsid w:val="00F528BE"/>
    <w:rsid w:val="00F6716F"/>
    <w:rsid w:val="00F74272"/>
    <w:rsid w:val="00F86111"/>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9D17488B-9E00-46D7-A30F-92C62392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bignevas.marti&#353;evskis@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6786A"/>
    <w:rsid w:val="000B03AC"/>
    <w:rsid w:val="00133535"/>
    <w:rsid w:val="00151BE0"/>
    <w:rsid w:val="001770A8"/>
    <w:rsid w:val="001A46B6"/>
    <w:rsid w:val="0023032B"/>
    <w:rsid w:val="002D512C"/>
    <w:rsid w:val="00324AAC"/>
    <w:rsid w:val="00480D2C"/>
    <w:rsid w:val="004A0F25"/>
    <w:rsid w:val="004F191C"/>
    <w:rsid w:val="00511FE7"/>
    <w:rsid w:val="005146F8"/>
    <w:rsid w:val="00825A10"/>
    <w:rsid w:val="0089742A"/>
    <w:rsid w:val="008B3528"/>
    <w:rsid w:val="008F0DD2"/>
    <w:rsid w:val="00906F92"/>
    <w:rsid w:val="009158CD"/>
    <w:rsid w:val="00956454"/>
    <w:rsid w:val="00980C67"/>
    <w:rsid w:val="00B6360D"/>
    <w:rsid w:val="00BC0F15"/>
    <w:rsid w:val="00C1794C"/>
    <w:rsid w:val="00C205B3"/>
    <w:rsid w:val="00CE2A41"/>
    <w:rsid w:val="00CF0B0C"/>
    <w:rsid w:val="00D57B1F"/>
    <w:rsid w:val="00E3744F"/>
    <w:rsid w:val="00E768A4"/>
    <w:rsid w:val="00EE4D01"/>
    <w:rsid w:val="00F30AA9"/>
    <w:rsid w:val="00F86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70C16D13-5AA4-40DC-8AAE-46DABEC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4466082-0136-431E-9BE9-D1F3BE95C2C9}">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5bae7d12-13eb-4134-a1d8-2ddc8d2534e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64094</Words>
  <Characters>36535</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Egidijus Taliejūnas</cp:lastModifiedBy>
  <cp:revision>5</cp:revision>
  <dcterms:created xsi:type="dcterms:W3CDTF">2024-12-12T06:06:00Z</dcterms:created>
  <dcterms:modified xsi:type="dcterms:W3CDTF">2024-12-12T06:38:00Z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