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41C4" w14:textId="626F65AB" w:rsidR="004F7802" w:rsidRPr="004F7802" w:rsidRDefault="004F7802" w:rsidP="004F7802">
      <w:pPr>
        <w:widowControl w:val="0"/>
        <w:spacing w:after="0" w:line="240" w:lineRule="auto"/>
        <w:jc w:val="righ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 priedas</w:t>
      </w:r>
    </w:p>
    <w:p w14:paraId="05D554CB" w14:textId="6C92B436" w:rsidR="0012097A" w:rsidRDefault="0012097A" w:rsidP="0012097A">
      <w:pPr>
        <w:widowControl w:val="0"/>
        <w:spacing w:after="0" w:line="240" w:lineRule="auto"/>
        <w:jc w:val="center"/>
        <w:rPr>
          <w:rFonts w:ascii="Times New Roman" w:eastAsia="Times New Roman" w:hAnsi="Times New Roman" w:cs="Times New Roman"/>
          <w:b/>
          <w:sz w:val="22"/>
          <w:szCs w:val="22"/>
          <w:lang w:eastAsia="en-US"/>
        </w:rPr>
      </w:pPr>
      <w:r w:rsidRPr="00581B56">
        <w:rPr>
          <w:rFonts w:ascii="Times New Roman" w:eastAsia="Times New Roman" w:hAnsi="Times New Roman" w:cs="Times New Roman"/>
          <w:b/>
          <w:sz w:val="22"/>
          <w:szCs w:val="22"/>
          <w:lang w:eastAsia="en-US"/>
        </w:rPr>
        <w:t>DARBUOTOJŲ DRAUDIM</w:t>
      </w:r>
      <w:r w:rsidR="0014444C">
        <w:rPr>
          <w:rFonts w:ascii="Times New Roman" w:eastAsia="Times New Roman" w:hAnsi="Times New Roman" w:cs="Times New Roman"/>
          <w:b/>
          <w:sz w:val="22"/>
          <w:szCs w:val="22"/>
          <w:lang w:eastAsia="en-US"/>
        </w:rPr>
        <w:t>O</w:t>
      </w:r>
      <w:r w:rsidRPr="00581B56">
        <w:rPr>
          <w:rFonts w:ascii="Times New Roman" w:eastAsia="Times New Roman" w:hAnsi="Times New Roman" w:cs="Times New Roman"/>
          <w:b/>
          <w:sz w:val="22"/>
          <w:szCs w:val="22"/>
          <w:lang w:eastAsia="en-US"/>
        </w:rPr>
        <w:t xml:space="preserve"> NUO NELAIMINGŲ ATSITIKIMŲ</w:t>
      </w:r>
    </w:p>
    <w:p w14:paraId="6B1412E6" w14:textId="6059DD61" w:rsidR="0014444C" w:rsidRPr="00581B56" w:rsidRDefault="0014444C" w:rsidP="0012097A">
      <w:pPr>
        <w:widowControl w:val="0"/>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TECHNINĖ SPECIFIKACIJA</w:t>
      </w:r>
    </w:p>
    <w:p w14:paraId="6422AE89" w14:textId="77777777" w:rsidR="0012097A" w:rsidRPr="00581B56" w:rsidRDefault="0012097A" w:rsidP="0012097A">
      <w:pPr>
        <w:widowControl w:val="0"/>
        <w:tabs>
          <w:tab w:val="num" w:pos="284"/>
        </w:tabs>
        <w:spacing w:after="0" w:line="240" w:lineRule="auto"/>
        <w:ind w:left="425"/>
        <w:jc w:val="both"/>
        <w:rPr>
          <w:rFonts w:ascii="Times New Roman" w:eastAsia="Times New Roman" w:hAnsi="Times New Roman" w:cs="Times New Roman"/>
          <w:color w:val="000000"/>
          <w:sz w:val="22"/>
          <w:szCs w:val="22"/>
          <w:lang w:bidi="lo-LA"/>
        </w:rPr>
      </w:pPr>
    </w:p>
    <w:tbl>
      <w:tblPr>
        <w:tblW w:w="102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977"/>
        <w:gridCol w:w="4394"/>
        <w:gridCol w:w="7"/>
      </w:tblGrid>
      <w:tr w:rsidR="0012097A" w:rsidRPr="00581B56" w14:paraId="005D4256"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18E9FD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Draudėjas:</w:t>
            </w:r>
          </w:p>
        </w:tc>
        <w:tc>
          <w:tcPr>
            <w:tcW w:w="7378" w:type="dxa"/>
            <w:gridSpan w:val="3"/>
            <w:tcBorders>
              <w:top w:val="single" w:sz="4" w:space="0" w:color="auto"/>
              <w:left w:val="single" w:sz="4" w:space="0" w:color="auto"/>
              <w:bottom w:val="single" w:sz="4" w:space="0" w:color="auto"/>
              <w:right w:val="single" w:sz="4" w:space="0" w:color="auto"/>
            </w:tcBorders>
            <w:hideMark/>
          </w:tcPr>
          <w:p w14:paraId="2145FB9F" w14:textId="7777777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VĮ Turto bankas </w:t>
            </w:r>
          </w:p>
          <w:p w14:paraId="14D2D350" w14:textId="7777777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įmonės kodas 112021042</w:t>
            </w:r>
          </w:p>
          <w:p w14:paraId="77973F1D" w14:textId="770161A7" w:rsidR="0012097A" w:rsidRPr="00581B56" w:rsidRDefault="0012097A" w:rsidP="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Kęstučio g. 45, Vilnius</w:t>
            </w:r>
          </w:p>
        </w:tc>
      </w:tr>
      <w:tr w:rsidR="0012097A" w:rsidRPr="00581B56" w14:paraId="57F41864"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4C68807"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Naudos gavėjas</w:t>
            </w:r>
          </w:p>
        </w:tc>
        <w:tc>
          <w:tcPr>
            <w:tcW w:w="7378" w:type="dxa"/>
            <w:gridSpan w:val="3"/>
            <w:tcBorders>
              <w:top w:val="single" w:sz="4" w:space="0" w:color="auto"/>
              <w:left w:val="single" w:sz="4" w:space="0" w:color="auto"/>
              <w:bottom w:val="single" w:sz="4" w:space="0" w:color="auto"/>
              <w:right w:val="single" w:sz="4" w:space="0" w:color="auto"/>
            </w:tcBorders>
            <w:hideMark/>
          </w:tcPr>
          <w:p w14:paraId="1F5D4385" w14:textId="6F92CE14"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Apdraustieji arba jų teisėti paveldėtojai</w:t>
            </w:r>
          </w:p>
        </w:tc>
      </w:tr>
      <w:tr w:rsidR="0012097A" w:rsidRPr="00581B56" w14:paraId="262B6B8E"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4A58A6E5" w14:textId="77777777" w:rsidR="0012097A" w:rsidRPr="00581B56" w:rsidRDefault="0012097A">
            <w:pPr>
              <w:spacing w:after="0" w:line="252" w:lineRule="auto"/>
              <w:rPr>
                <w:rFonts w:ascii="Times New Roman" w:eastAsia="Times New Roman" w:hAnsi="Times New Roman" w:cs="Times New Roman"/>
                <w:b/>
              </w:rPr>
            </w:pPr>
            <w:r w:rsidRPr="00581B56">
              <w:rPr>
                <w:rFonts w:ascii="Times New Roman" w:eastAsia="Times New Roman" w:hAnsi="Times New Roman" w:cs="Times New Roman"/>
                <w:b/>
              </w:rPr>
              <w:t>Draudimo teritorija:</w:t>
            </w:r>
          </w:p>
        </w:tc>
        <w:tc>
          <w:tcPr>
            <w:tcW w:w="7378" w:type="dxa"/>
            <w:gridSpan w:val="3"/>
            <w:tcBorders>
              <w:top w:val="single" w:sz="4" w:space="0" w:color="auto"/>
              <w:left w:val="single" w:sz="4" w:space="0" w:color="auto"/>
              <w:bottom w:val="single" w:sz="4" w:space="0" w:color="auto"/>
              <w:right w:val="single" w:sz="4" w:space="0" w:color="auto"/>
            </w:tcBorders>
            <w:hideMark/>
          </w:tcPr>
          <w:p w14:paraId="46076E9E"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Visas pasaulis, išskyrus Rusijos Federaciją, Baltarusijos Respubliką ir Ukrainą. </w:t>
            </w:r>
          </w:p>
        </w:tc>
      </w:tr>
      <w:tr w:rsidR="0012097A" w:rsidRPr="00581B56" w14:paraId="19CB6604"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6AC9FD5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Draudimo laikotarpis:</w:t>
            </w:r>
          </w:p>
        </w:tc>
        <w:tc>
          <w:tcPr>
            <w:tcW w:w="7378" w:type="dxa"/>
            <w:gridSpan w:val="3"/>
            <w:tcBorders>
              <w:top w:val="single" w:sz="4" w:space="0" w:color="auto"/>
              <w:left w:val="single" w:sz="4" w:space="0" w:color="auto"/>
              <w:bottom w:val="single" w:sz="4" w:space="0" w:color="auto"/>
              <w:right w:val="single" w:sz="4" w:space="0" w:color="auto"/>
            </w:tcBorders>
            <w:hideMark/>
          </w:tcPr>
          <w:p w14:paraId="62094C92" w14:textId="201C46E1" w:rsidR="0012097A" w:rsidRPr="00581B56" w:rsidRDefault="0012097A">
            <w:pPr>
              <w:spacing w:after="0" w:line="252" w:lineRule="auto"/>
              <w:jc w:val="both"/>
              <w:rPr>
                <w:rFonts w:ascii="Times New Roman" w:eastAsia="Times New Roman" w:hAnsi="Times New Roman" w:cs="Times New Roman"/>
                <w:sz w:val="22"/>
                <w:szCs w:val="22"/>
              </w:rPr>
            </w:pPr>
            <w:r w:rsidRPr="00581B56">
              <w:rPr>
                <w:rFonts w:ascii="Times New Roman" w:eastAsia="Calibri" w:hAnsi="Times New Roman" w:cs="Times New Roman"/>
                <w:color w:val="000000"/>
                <w:sz w:val="22"/>
                <w:szCs w:val="22"/>
              </w:rPr>
              <w:t xml:space="preserve">12 mėnesių </w:t>
            </w:r>
          </w:p>
        </w:tc>
      </w:tr>
      <w:tr w:rsidR="0012097A" w:rsidRPr="00581B56" w14:paraId="74AFFEF3"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B156D4A"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Darbuotojų skaičius:</w:t>
            </w:r>
          </w:p>
        </w:tc>
        <w:tc>
          <w:tcPr>
            <w:tcW w:w="7378" w:type="dxa"/>
            <w:gridSpan w:val="3"/>
            <w:tcBorders>
              <w:top w:val="single" w:sz="4" w:space="0" w:color="auto"/>
              <w:left w:val="single" w:sz="4" w:space="0" w:color="auto"/>
              <w:bottom w:val="single" w:sz="4" w:space="0" w:color="auto"/>
              <w:right w:val="single" w:sz="4" w:space="0" w:color="auto"/>
            </w:tcBorders>
            <w:hideMark/>
          </w:tcPr>
          <w:p w14:paraId="700E6E72" w14:textId="4028653F" w:rsidR="0012097A" w:rsidRPr="00581B56" w:rsidRDefault="00C865E3">
            <w:pPr>
              <w:spacing w:after="0" w:line="252"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rPr>
              <w:t>249</w:t>
            </w:r>
          </w:p>
        </w:tc>
      </w:tr>
      <w:tr w:rsidR="0012097A" w:rsidRPr="00581B56" w14:paraId="0012F396"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B9BDD1" w14:textId="77777777" w:rsidR="0012097A" w:rsidRPr="00581B56" w:rsidRDefault="0012097A" w:rsidP="00567C2F">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Draudimo apsauga:</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1AB3D584" w14:textId="77777777" w:rsidR="0012097A" w:rsidRPr="00581B56" w:rsidRDefault="0012097A" w:rsidP="00567C2F">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Visą parą</w:t>
            </w:r>
          </w:p>
        </w:tc>
      </w:tr>
      <w:tr w:rsidR="0012097A" w:rsidRPr="00581B56" w14:paraId="62450DC1"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4B414" w14:textId="77777777" w:rsidR="0012097A" w:rsidRPr="00581B56" w:rsidRDefault="0012097A">
            <w:pPr>
              <w:spacing w:after="0" w:line="252" w:lineRule="auto"/>
              <w:rPr>
                <w:rFonts w:ascii="Times New Roman" w:eastAsia="Times New Roman" w:hAnsi="Times New Roman" w:cs="Times New Roman"/>
                <w:b/>
                <w:iCs/>
                <w:sz w:val="22"/>
                <w:szCs w:val="22"/>
              </w:rPr>
            </w:pPr>
            <w:r w:rsidRPr="00581B56">
              <w:rPr>
                <w:rFonts w:ascii="Times New Roman" w:eastAsia="Times New Roman" w:hAnsi="Times New Roman" w:cs="Times New Roman"/>
                <w:b/>
                <w:iCs/>
              </w:rPr>
              <w:t>Draudimo objektas:</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610D2A39"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Draudimo objektas – turtinis interesas, susijęs su Apdraustojo sveikatos sutrikimu ir (arba) mirtimi dėl nelaimingo atsitikimo.</w:t>
            </w:r>
          </w:p>
          <w:p w14:paraId="5119A712"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 xml:space="preserve">Nelaimingas atsitikimas – įvykęs staigus ir netikėtas įvykis, sukėlęs Apdraustojo kūno sužalojimą, sveikatos sutrikimą ar mirtį dėl kūno sužalojimo. </w:t>
            </w:r>
          </w:p>
          <w:p w14:paraId="602B39A0"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Kūno sužalojimas (trauma) – Apdraustajam dėl staigaus ir netikėto fizinio, cheminio, terminio aplinkos poveikio įvykęs audinių vientisumo pažeidimas, sukėlęs funkcijų sutrikimą.</w:t>
            </w:r>
          </w:p>
          <w:p w14:paraId="754E9207" w14:textId="77777777" w:rsidR="0012097A" w:rsidRPr="00581B56" w:rsidRDefault="0012097A">
            <w:pPr>
              <w:widowControl w:val="0"/>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Nelaimingais atsitikimais taip pat laikomi prieš apdraustojo valią įvykstantys atsitiktiniai ūmūs vidutinio ar sunkaus laipsnio Apdraustojo apsinuodijimai maistu, vaistais, cheminėmis medžiagomis, dujomis, garais, nuodingaisiais augalais ar grybais.</w:t>
            </w:r>
          </w:p>
        </w:tc>
      </w:tr>
      <w:tr w:rsidR="0012097A" w:rsidRPr="00581B56" w14:paraId="26C30463"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F89D96E" w14:textId="77777777" w:rsidR="0012097A" w:rsidRPr="00581B56" w:rsidRDefault="0012097A">
            <w:pPr>
              <w:spacing w:after="0" w:line="252" w:lineRule="auto"/>
              <w:rPr>
                <w:rFonts w:ascii="Times New Roman" w:eastAsia="Times New Roman" w:hAnsi="Times New Roman" w:cs="Times New Roman"/>
                <w:b/>
                <w:sz w:val="24"/>
                <w:szCs w:val="24"/>
              </w:rPr>
            </w:pPr>
            <w:r w:rsidRPr="00581B56">
              <w:rPr>
                <w:rFonts w:ascii="Times New Roman" w:eastAsia="Times New Roman" w:hAnsi="Times New Roman" w:cs="Times New Roman"/>
                <w:b/>
              </w:rPr>
              <w:t>Draudimo sumos:</w:t>
            </w:r>
          </w:p>
        </w:tc>
        <w:tc>
          <w:tcPr>
            <w:tcW w:w="7378" w:type="dxa"/>
            <w:gridSpan w:val="3"/>
            <w:tcBorders>
              <w:top w:val="single" w:sz="4" w:space="0" w:color="auto"/>
              <w:left w:val="single" w:sz="4" w:space="0" w:color="auto"/>
              <w:bottom w:val="single" w:sz="4" w:space="0" w:color="auto"/>
              <w:right w:val="single" w:sz="4" w:space="0" w:color="auto"/>
            </w:tcBorders>
            <w:hideMark/>
          </w:tcPr>
          <w:p w14:paraId="06671992" w14:textId="77777777" w:rsidR="0012097A" w:rsidRPr="00581B56" w:rsidRDefault="0012097A">
            <w:pPr>
              <w:tabs>
                <w:tab w:val="left" w:pos="567"/>
              </w:tabs>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Draudimo suma vienam apdraustajam:</w:t>
            </w:r>
          </w:p>
          <w:p w14:paraId="3C4CA9E4" w14:textId="77777777"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mirtis – </w:t>
            </w:r>
            <w:r w:rsidRPr="00581B56">
              <w:rPr>
                <w:rFonts w:ascii="Times New Roman" w:eastAsia="Times New Roman" w:hAnsi="Times New Roman" w:cs="Times New Roman"/>
                <w:b/>
                <w:color w:val="000000"/>
                <w:sz w:val="22"/>
                <w:szCs w:val="22"/>
                <w:lang w:bidi="lo-LA"/>
              </w:rPr>
              <w:t>30.000,00 EUR</w:t>
            </w:r>
            <w:r w:rsidRPr="00581B56">
              <w:rPr>
                <w:rFonts w:ascii="Times New Roman" w:eastAsia="Times New Roman" w:hAnsi="Times New Roman" w:cs="Times New Roman"/>
                <w:color w:val="000000"/>
                <w:sz w:val="22"/>
                <w:szCs w:val="22"/>
                <w:lang w:bidi="lo-LA"/>
              </w:rPr>
              <w:t>;</w:t>
            </w:r>
          </w:p>
          <w:p w14:paraId="641E5DFA" w14:textId="505A2F8B" w:rsidR="0012097A" w:rsidRPr="00581B56" w:rsidRDefault="005C38FE"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Nedarbingumo netekimas / </w:t>
            </w:r>
            <w:r w:rsidR="0012097A" w:rsidRPr="00581B56">
              <w:rPr>
                <w:rFonts w:ascii="Times New Roman" w:eastAsia="Times New Roman" w:hAnsi="Times New Roman" w:cs="Times New Roman"/>
                <w:color w:val="000000"/>
                <w:sz w:val="22"/>
                <w:szCs w:val="22"/>
                <w:lang w:bidi="lo-LA"/>
              </w:rPr>
              <w:t xml:space="preserve">neįgalumas – </w:t>
            </w:r>
            <w:r w:rsidR="0012097A" w:rsidRPr="00581B56">
              <w:rPr>
                <w:rFonts w:ascii="Times New Roman" w:eastAsia="Times New Roman" w:hAnsi="Times New Roman" w:cs="Times New Roman"/>
                <w:b/>
                <w:bCs/>
                <w:color w:val="000000"/>
                <w:sz w:val="22"/>
                <w:szCs w:val="22"/>
                <w:lang w:bidi="lo-LA"/>
              </w:rPr>
              <w:t>15.000,00 EUR</w:t>
            </w:r>
            <w:r w:rsidR="0012097A" w:rsidRPr="00581B56">
              <w:rPr>
                <w:rFonts w:ascii="Times New Roman" w:eastAsia="Times New Roman" w:hAnsi="Times New Roman" w:cs="Times New Roman"/>
                <w:color w:val="000000"/>
                <w:sz w:val="22"/>
                <w:szCs w:val="22"/>
                <w:lang w:bidi="lo-LA"/>
              </w:rPr>
              <w:t>;</w:t>
            </w:r>
          </w:p>
          <w:p w14:paraId="7C082AF7" w14:textId="66703AA0"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 xml:space="preserve">traumos – </w:t>
            </w:r>
            <w:r w:rsidRPr="00581B56">
              <w:rPr>
                <w:rFonts w:ascii="Times New Roman" w:eastAsia="Times New Roman" w:hAnsi="Times New Roman" w:cs="Times New Roman"/>
                <w:b/>
                <w:bCs/>
                <w:color w:val="000000"/>
                <w:sz w:val="22"/>
                <w:szCs w:val="22"/>
                <w:lang w:bidi="lo-LA"/>
              </w:rPr>
              <w:t>10.000,00 EUR;</w:t>
            </w:r>
          </w:p>
          <w:p w14:paraId="058F7F98" w14:textId="4583EF38" w:rsidR="005C38FE" w:rsidRPr="00581B56" w:rsidRDefault="005C38FE" w:rsidP="005C38FE">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color w:val="000000"/>
                <w:sz w:val="22"/>
                <w:szCs w:val="22"/>
                <w:lang w:bidi="lo-LA"/>
              </w:rPr>
            </w:pPr>
            <w:r w:rsidRPr="00581B56">
              <w:rPr>
                <w:rFonts w:ascii="Times New Roman" w:eastAsia="Times New Roman" w:hAnsi="Times New Roman" w:cs="Times New Roman"/>
                <w:color w:val="000000"/>
                <w:sz w:val="22"/>
                <w:szCs w:val="22"/>
                <w:lang w:bidi="lo-LA"/>
              </w:rPr>
              <w:t>laikinas ne</w:t>
            </w:r>
            <w:r w:rsidR="00ED114E" w:rsidRPr="00581B56">
              <w:rPr>
                <w:rFonts w:ascii="Times New Roman" w:eastAsia="Times New Roman" w:hAnsi="Times New Roman" w:cs="Times New Roman"/>
                <w:color w:val="000000"/>
                <w:sz w:val="22"/>
                <w:szCs w:val="22"/>
                <w:lang w:bidi="lo-LA"/>
              </w:rPr>
              <w:t>darbingumas</w:t>
            </w:r>
            <w:r w:rsidRPr="00581B56">
              <w:rPr>
                <w:rFonts w:ascii="Times New Roman" w:eastAsia="Times New Roman" w:hAnsi="Times New Roman" w:cs="Times New Roman"/>
                <w:color w:val="000000"/>
                <w:sz w:val="22"/>
                <w:szCs w:val="22"/>
                <w:lang w:bidi="lo-LA"/>
              </w:rPr>
              <w:t xml:space="preserve"> - </w:t>
            </w:r>
            <w:r w:rsidRPr="00581B56">
              <w:rPr>
                <w:rFonts w:ascii="Times New Roman" w:eastAsia="Times New Roman" w:hAnsi="Times New Roman" w:cs="Times New Roman"/>
                <w:b/>
                <w:bCs/>
                <w:color w:val="000000"/>
                <w:sz w:val="22"/>
                <w:szCs w:val="22"/>
                <w:lang w:bidi="lo-LA"/>
              </w:rPr>
              <w:t>10.000,00 EUR</w:t>
            </w:r>
          </w:p>
          <w:p w14:paraId="60653C31" w14:textId="1221CBB9" w:rsidR="0012097A" w:rsidRPr="00581B56" w:rsidRDefault="0012097A" w:rsidP="00567C2F">
            <w:pPr>
              <w:numPr>
                <w:ilvl w:val="0"/>
                <w:numId w:val="1"/>
              </w:numPr>
              <w:tabs>
                <w:tab w:val="left" w:pos="851"/>
              </w:tabs>
              <w:suppressAutoHyphens/>
              <w:autoSpaceDN w:val="0"/>
              <w:spacing w:after="0" w:line="240" w:lineRule="auto"/>
              <w:contextualSpacing/>
              <w:jc w:val="both"/>
              <w:rPr>
                <w:rFonts w:ascii="Times New Roman" w:eastAsia="Times New Roman" w:hAnsi="Times New Roman" w:cs="Times New Roman"/>
                <w:sz w:val="22"/>
                <w:szCs w:val="22"/>
              </w:rPr>
            </w:pPr>
            <w:r w:rsidRPr="00581B56">
              <w:rPr>
                <w:rFonts w:ascii="Times New Roman" w:eastAsia="Times New Roman" w:hAnsi="Times New Roman" w:cs="Times New Roman"/>
                <w:color w:val="000000"/>
                <w:sz w:val="22"/>
                <w:szCs w:val="22"/>
                <w:lang w:bidi="lo-LA"/>
              </w:rPr>
              <w:t xml:space="preserve">kritinės ligos – </w:t>
            </w:r>
            <w:r w:rsidRPr="00581B56">
              <w:rPr>
                <w:rFonts w:ascii="Times New Roman" w:eastAsia="Times New Roman" w:hAnsi="Times New Roman" w:cs="Times New Roman"/>
                <w:b/>
                <w:bCs/>
                <w:color w:val="000000"/>
                <w:sz w:val="22"/>
                <w:szCs w:val="22"/>
                <w:lang w:bidi="lo-LA"/>
              </w:rPr>
              <w:t>1.000,00 EUR</w:t>
            </w:r>
            <w:r w:rsidRPr="00581B56">
              <w:rPr>
                <w:rFonts w:ascii="Times New Roman" w:eastAsia="Times New Roman" w:hAnsi="Times New Roman" w:cs="Times New Roman"/>
                <w:color w:val="000000"/>
                <w:sz w:val="22"/>
                <w:szCs w:val="22"/>
                <w:lang w:bidi="lo-LA"/>
              </w:rPr>
              <w:t>.</w:t>
            </w:r>
          </w:p>
        </w:tc>
      </w:tr>
      <w:tr w:rsidR="000F4EE9" w:rsidRPr="00581B56" w14:paraId="59A26A27"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731D4BE0" w14:textId="4A06FE95" w:rsidR="000F4EE9" w:rsidRPr="00581B56" w:rsidRDefault="000F4EE9">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Darbingumo netekimas / neįgalumas: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5F4C124" w14:textId="182DBAB8" w:rsidR="005C38FE" w:rsidRPr="00581B56" w:rsidRDefault="005C38FE" w:rsidP="005C38FE">
            <w:pPr>
              <w:autoSpaceDE w:val="0"/>
              <w:autoSpaceDN w:val="0"/>
              <w:adjustRightInd w:val="0"/>
              <w:spacing w:after="0" w:line="240"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Darbingumo netekimas po kūno sužalojimo (traumos) yra patvirtinamas kompetentingos valstybės institucijos du kartus iš eilės, o antrojo sprendimo metu nustatomas 50 % ir didesnis darbingumo netekimas.</w:t>
            </w:r>
          </w:p>
        </w:tc>
      </w:tr>
      <w:tr w:rsidR="0012097A" w:rsidRPr="00581B56" w14:paraId="5524820D"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8C029D" w14:textId="77777777" w:rsidR="0012097A" w:rsidRPr="00581B56" w:rsidRDefault="0012097A">
            <w:pPr>
              <w:spacing w:after="0" w:line="252" w:lineRule="auto"/>
              <w:rPr>
                <w:rFonts w:ascii="Times New Roman" w:eastAsia="Times New Roman" w:hAnsi="Times New Roman" w:cs="Times New Roman"/>
                <w:b/>
                <w:iCs/>
                <w:sz w:val="22"/>
                <w:szCs w:val="22"/>
              </w:rPr>
            </w:pPr>
            <w:r w:rsidRPr="00581B56">
              <w:rPr>
                <w:rFonts w:ascii="Times New Roman" w:eastAsia="Times New Roman" w:hAnsi="Times New Roman" w:cs="Times New Roman"/>
                <w:b/>
                <w:iCs/>
              </w:rPr>
              <w:t>Traumų rizikos apimtis:</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704D00CC" w14:textId="77777777" w:rsidR="0012097A" w:rsidRPr="00581B56" w:rsidRDefault="0012097A">
            <w:pPr>
              <w:spacing w:after="0" w:line="252" w:lineRule="auto"/>
              <w:jc w:val="both"/>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Išmokamos išmokos dėl nelaimingo atsitikimo metu patirtų kaulų ir / ar sąnarių sužalojimų, minkštųjų audinių ir / ar vidaus organų patirtų kūno sužalojimų ar sveikatos sutrikimų</w:t>
            </w:r>
          </w:p>
        </w:tc>
      </w:tr>
      <w:tr w:rsidR="0012097A" w:rsidRPr="00581B56" w14:paraId="7AFF6F17"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9E14F2" w14:textId="7FCE3CD7" w:rsidR="0012097A" w:rsidRPr="00581B56" w:rsidRDefault="0012097A">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Laikinas nedarbingum</w:t>
            </w:r>
            <w:r w:rsidR="00ED114E" w:rsidRPr="00581B56">
              <w:rPr>
                <w:rFonts w:ascii="Times New Roman" w:eastAsia="Times New Roman" w:hAnsi="Times New Roman" w:cs="Times New Roman"/>
                <w:b/>
                <w:iCs/>
              </w:rPr>
              <w:t>as</w:t>
            </w:r>
            <w:r w:rsidRPr="00581B56">
              <w:rPr>
                <w:rFonts w:ascii="Times New Roman" w:eastAsia="Times New Roman" w:hAnsi="Times New Roman" w:cs="Times New Roman"/>
                <w:b/>
                <w:iCs/>
              </w:rPr>
              <w:t>:</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6F967B27" w14:textId="044A0B0A" w:rsidR="00ED114E" w:rsidRPr="00581B56" w:rsidRDefault="00ED114E" w:rsidP="00ED114E">
            <w:pPr>
              <w:autoSpaceDE w:val="0"/>
              <w:autoSpaceDN w:val="0"/>
              <w:adjustRightInd w:val="0"/>
              <w:spacing w:after="0" w:line="240" w:lineRule="auto"/>
              <w:rPr>
                <w:rFonts w:ascii="Times New Roman" w:eastAsia="Times New Roman" w:hAnsi="Times New Roman" w:cs="Times New Roman"/>
                <w:sz w:val="22"/>
                <w:szCs w:val="22"/>
              </w:rPr>
            </w:pPr>
            <w:r w:rsidRPr="00581B56">
              <w:rPr>
                <w:rFonts w:ascii="Times New Roman" w:eastAsia="Times New Roman" w:hAnsi="Times New Roman" w:cs="Times New Roman"/>
                <w:sz w:val="22"/>
                <w:szCs w:val="22"/>
              </w:rPr>
              <w:t>mokama išmoka d</w:t>
            </w:r>
            <w:r w:rsidR="009C5C9B" w:rsidRPr="00581B56">
              <w:rPr>
                <w:rFonts w:ascii="Times New Roman" w:eastAsia="Times New Roman" w:hAnsi="Times New Roman" w:cs="Times New Roman"/>
                <w:sz w:val="22"/>
                <w:szCs w:val="22"/>
              </w:rPr>
              <w:t>ė</w:t>
            </w:r>
            <w:r w:rsidRPr="00581B56">
              <w:rPr>
                <w:rFonts w:ascii="Times New Roman" w:eastAsia="Times New Roman" w:hAnsi="Times New Roman" w:cs="Times New Roman"/>
                <w:sz w:val="22"/>
                <w:szCs w:val="22"/>
              </w:rPr>
              <w:t>l sunkaus k</w:t>
            </w:r>
            <w:r w:rsidR="009C5C9B" w:rsidRPr="00581B56">
              <w:rPr>
                <w:rFonts w:ascii="Times New Roman" w:eastAsia="Times New Roman" w:hAnsi="Times New Roman" w:cs="Times New Roman"/>
                <w:sz w:val="22"/>
                <w:szCs w:val="22"/>
              </w:rPr>
              <w:t>ū</w:t>
            </w:r>
            <w:r w:rsidRPr="00581B56">
              <w:rPr>
                <w:rFonts w:ascii="Times New Roman" w:eastAsia="Times New Roman" w:hAnsi="Times New Roman" w:cs="Times New Roman"/>
                <w:sz w:val="22"/>
                <w:szCs w:val="22"/>
              </w:rPr>
              <w:t>no sužalojimo ar sveikatos sutrikimo del patirto nelaimingo atsitikim</w:t>
            </w:r>
            <w:r w:rsidR="004C4C8B" w:rsidRPr="00581B56">
              <w:rPr>
                <w:rFonts w:ascii="Times New Roman" w:eastAsia="Times New Roman" w:hAnsi="Times New Roman" w:cs="Times New Roman"/>
                <w:sz w:val="22"/>
                <w:szCs w:val="22"/>
              </w:rPr>
              <w:t>o</w:t>
            </w:r>
          </w:p>
        </w:tc>
      </w:tr>
      <w:tr w:rsidR="0012097A" w:rsidRPr="00581B56" w14:paraId="27EDE086" w14:textId="77777777" w:rsidTr="000B0BFF">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55C329" w14:textId="77777777" w:rsidR="0012097A" w:rsidRPr="00581B56" w:rsidRDefault="0012097A">
            <w:pPr>
              <w:spacing w:after="0" w:line="252" w:lineRule="auto"/>
              <w:rPr>
                <w:rFonts w:ascii="Times New Roman" w:eastAsia="Times New Roman" w:hAnsi="Times New Roman" w:cs="Times New Roman"/>
                <w:b/>
                <w:iCs/>
              </w:rPr>
            </w:pPr>
            <w:r w:rsidRPr="00581B56">
              <w:rPr>
                <w:rFonts w:ascii="Times New Roman" w:eastAsia="Times New Roman" w:hAnsi="Times New Roman" w:cs="Times New Roman"/>
                <w:b/>
                <w:iCs/>
              </w:rPr>
              <w:t>Kritinės ligos:</w:t>
            </w:r>
          </w:p>
        </w:tc>
        <w:tc>
          <w:tcPr>
            <w:tcW w:w="7378" w:type="dxa"/>
            <w:gridSpan w:val="3"/>
            <w:tcBorders>
              <w:top w:val="single" w:sz="4" w:space="0" w:color="auto"/>
              <w:left w:val="single" w:sz="4" w:space="0" w:color="auto"/>
              <w:bottom w:val="single" w:sz="4" w:space="0" w:color="auto"/>
              <w:right w:val="single" w:sz="4" w:space="0" w:color="auto"/>
            </w:tcBorders>
            <w:vAlign w:val="center"/>
            <w:hideMark/>
          </w:tcPr>
          <w:p w14:paraId="592CD4D5" w14:textId="77777777" w:rsidR="0012097A" w:rsidRPr="00581B56" w:rsidRDefault="0012097A">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581B56">
              <w:rPr>
                <w:rFonts w:ascii="Times New Roman" w:eastAsia="Times New Roman" w:hAnsi="Times New Roman" w:cs="Times New Roman"/>
                <w:sz w:val="22"/>
                <w:szCs w:val="22"/>
                <w:lang w:eastAsia="en-US"/>
              </w:rPr>
              <w:t xml:space="preserve">Apdraustojo susirgimas liga, išvardyta kritinių ligų sąraše, kurios pirmieji simptomai nustatyti ir susirgimo diagnozė patvirtinta draudimo sutarties galiojimo laikotarpiu </w:t>
            </w:r>
          </w:p>
        </w:tc>
      </w:tr>
      <w:tr w:rsidR="0012097A" w:rsidRPr="00581B56" w14:paraId="6D6885D6" w14:textId="77777777" w:rsidTr="000B0BFF">
        <w:tc>
          <w:tcPr>
            <w:tcW w:w="10213"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6BCB32CB" w14:textId="77777777" w:rsidR="0012097A" w:rsidRPr="00581B56" w:rsidRDefault="0012097A">
            <w:pPr>
              <w:spacing w:after="0" w:line="252" w:lineRule="auto"/>
              <w:jc w:val="center"/>
              <w:rPr>
                <w:rFonts w:ascii="Times New Roman" w:eastAsia="Times New Roman" w:hAnsi="Times New Roman" w:cs="Times New Roman"/>
                <w:sz w:val="22"/>
                <w:szCs w:val="22"/>
              </w:rPr>
            </w:pPr>
            <w:r w:rsidRPr="00581B56">
              <w:rPr>
                <w:rFonts w:ascii="Times New Roman" w:eastAsia="Times New Roman" w:hAnsi="Times New Roman" w:cs="Times New Roman"/>
                <w:b/>
                <w:sz w:val="22"/>
                <w:szCs w:val="22"/>
              </w:rPr>
              <w:t>Draudimo sąlygos</w:t>
            </w:r>
          </w:p>
        </w:tc>
      </w:tr>
      <w:tr w:rsidR="0012097A" w:rsidRPr="00581B56" w14:paraId="7B5A594F" w14:textId="77777777" w:rsidTr="000B0BFF">
        <w:trPr>
          <w:trHeight w:val="70"/>
        </w:trPr>
        <w:tc>
          <w:tcPr>
            <w:tcW w:w="1021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DE358C1"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Draudimo rizikos padidėjimu nelaikomi atvejai, kai draudimo apsaugos laikotarpiu Draudėjo darbuotojų skaičius padidėja ne daugiau kaip 10 procentų (imtinai).</w:t>
            </w:r>
          </w:p>
          <w:p w14:paraId="75D0C13F"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Priimti į darbą nauji darbuotojai, laikomi automatiškai apdrausti nuo priėmimo į darbą dienos. Atleistiems darbuotojams draudimo apsauga negalioja nuo atleidimo iš darbo dienos. Taip pat automatiškai apdraudžiami darbuotojai dirbantys naujose pareigybėse, įsteigtose draudimo sutarties galiojimo metu.</w:t>
            </w:r>
          </w:p>
          <w:p w14:paraId="6492859F" w14:textId="1FAD5526"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Draudėjas apie darbuotojų skaičiaus pasikeitimus informuoja per 10 (dešimt) darbo dienų po draudimo sutarties laikotarpio pabaigos, draudikas remdamasis pateiktais duomenimis perskaičiuoja draudimo įmoką proporcingai apdraustųjų skaičiui ir draudimo galiojimo laikotarpiui. Darbuotojų skaičiaus padidėjimo atveju Draudėjas sumoka papildomą įmoką</w:t>
            </w:r>
            <w:r w:rsidR="009C5C9B" w:rsidRPr="004E2B24">
              <w:rPr>
                <w:rFonts w:ascii="Times New Roman" w:eastAsia="Times New Roman" w:hAnsi="Times New Roman" w:cs="Times New Roman"/>
                <w:color w:val="000000"/>
                <w:sz w:val="22"/>
                <w:szCs w:val="22"/>
                <w:lang w:bidi="lo-LA"/>
              </w:rPr>
              <w:t>.</w:t>
            </w:r>
          </w:p>
          <w:p w14:paraId="641D08CA"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lastRenderedPageBreak/>
              <w:t>Kelių eismo taisyklių pažeidimai nelaikomi nedraudžiamuoju įvykiu, išskyrus vairavimą apsvaigus (kai yra viršijamos LR teisės aktuose nustatytos normos) arba neturint vairuotojo pažymėjimo.</w:t>
            </w:r>
          </w:p>
          <w:p w14:paraId="48E71A07"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Apdraustasis nelaikomas apsvaigusiu nuo alkoholio, kai alkoholio koncentracija neviršija 0,4 promilės ir tai patvirtinta dokumentais.</w:t>
            </w:r>
          </w:p>
          <w:p w14:paraId="64DE66EB"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Apdraustojo neblaivumo atveju įvykis nelaikomas nedraudžiamuoju, jei tai neturėjo priežastinio ryšio su nelaimingu atsitikimu.</w:t>
            </w:r>
          </w:p>
          <w:p w14:paraId="431F202F"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Pagal šios draudimo sutarties sąlygas, didelis neatsargumas nėra laikomas nedraudžiamuoju įvykiu.</w:t>
            </w:r>
          </w:p>
          <w:p w14:paraId="1C228A9C" w14:textId="77777777" w:rsidR="0012097A" w:rsidRPr="004E2B24" w:rsidRDefault="0012097A" w:rsidP="00567C2F">
            <w:pPr>
              <w:numPr>
                <w:ilvl w:val="0"/>
                <w:numId w:val="2"/>
              </w:numPr>
              <w:suppressAutoHyphens/>
              <w:autoSpaceDN w:val="0"/>
              <w:spacing w:line="240" w:lineRule="auto"/>
              <w:contextualSpacing/>
              <w:jc w:val="both"/>
              <w:rPr>
                <w:rFonts w:ascii="Times New Roman" w:eastAsia="Times New Roman" w:hAnsi="Times New Roman" w:cs="Times New Roman"/>
                <w:color w:val="000000"/>
                <w:sz w:val="22"/>
                <w:szCs w:val="22"/>
                <w:lang w:bidi="lo-LA"/>
              </w:rPr>
            </w:pPr>
            <w:r w:rsidRPr="004E2B24">
              <w:rPr>
                <w:rFonts w:ascii="Times New Roman" w:eastAsia="Times New Roman" w:hAnsi="Times New Roman" w:cs="Times New Roman"/>
                <w:color w:val="000000"/>
                <w:sz w:val="22"/>
                <w:szCs w:val="22"/>
                <w:lang w:bidi="lo-LA"/>
              </w:rPr>
              <w:t>Darbų saugos reikalavimų nesilaikymas nėra laikomas nedraudžiamuoju įvykiu.</w:t>
            </w:r>
          </w:p>
          <w:p w14:paraId="742C4CD9" w14:textId="77777777" w:rsidR="0012097A" w:rsidRPr="004E2B24" w:rsidRDefault="0012097A" w:rsidP="00567C2F">
            <w:pPr>
              <w:numPr>
                <w:ilvl w:val="0"/>
                <w:numId w:val="2"/>
              </w:numPr>
              <w:spacing w:line="240" w:lineRule="auto"/>
              <w:contextualSpacing/>
              <w:jc w:val="both"/>
              <w:rPr>
                <w:rFonts w:ascii="Times New Roman" w:eastAsia="Times New Roman" w:hAnsi="Times New Roman" w:cs="Times New Roman"/>
                <w:sz w:val="22"/>
                <w:szCs w:val="22"/>
                <w:lang w:eastAsia="en-US"/>
              </w:rPr>
            </w:pPr>
            <w:r w:rsidRPr="004E2B24">
              <w:rPr>
                <w:rFonts w:ascii="Times New Roman" w:eastAsia="Times New Roman" w:hAnsi="Times New Roman" w:cs="Times New Roman"/>
                <w:sz w:val="22"/>
                <w:szCs w:val="22"/>
                <w:lang w:eastAsia="en-US"/>
              </w:rPr>
              <w:t>Kritinių ligų draudimas. Draudžiamuoju įvykiu laikoma: draudimo apsaugos galiojimo laikotarpiu Apdraustajam diagnozuota kritinė liga (Piktybinis auglys (vėžys); Miokardo infarktas; Insultas (smegenų infarktas); Vainikinių arterijų šuntavimo operacija; Širdies vožtuvų operacija; Aortos operacija; Vidaus organų / kaulų čiulpų transplantacija; Inkstų funkcijos nepakankamumas; Išsėtinė sklerozė; Parkinsono liga iki 60 metų amžiaus; Alzheimerio liga iki 60 metų amžiaus; Trečio laipsnio nudegimai; Gerybinis smegenų navikas; Visiškas negrįžtamas aklumas, kurtumas, kalbos praradimas; Galūnių funkcijos netekimas (ir kitos kritinės ligos, numatytos Draudiko standartinėse taisyklėse). Draudimo apsauga įsigalioja nuo pirmos draudimo sutarties įsigaliojimo dienos, t. y. laukimo periodas nėra taikomas. Taip pat nėra taikomas ir išgyvenimo laikotarpis susirgus kritine liga. Nustačius kritinę ligą, yra išmokama vienkartinė išmoka Apdraustajam ar teisėtam paveldėtojui. Išmoka vienam Apdraustajam gali būti išmokama tik vieną kartą, neatsižvelgiant į Apdraustojo kritinių ligų ir jų pasikartojimų skaičių per draudimo sutarties laikotarpį.</w:t>
            </w:r>
          </w:p>
          <w:p w14:paraId="7F217766" w14:textId="77777777" w:rsidR="0012097A" w:rsidRPr="004E2B24" w:rsidRDefault="0012097A" w:rsidP="0012097A">
            <w:pPr>
              <w:numPr>
                <w:ilvl w:val="0"/>
                <w:numId w:val="2"/>
              </w:numPr>
              <w:spacing w:line="240" w:lineRule="auto"/>
              <w:contextualSpacing/>
              <w:jc w:val="both"/>
              <w:rPr>
                <w:rFonts w:ascii="Times New Roman" w:eastAsia="Times New Roman" w:hAnsi="Times New Roman" w:cs="Times New Roman"/>
                <w:sz w:val="22"/>
                <w:szCs w:val="22"/>
              </w:rPr>
            </w:pPr>
            <w:r w:rsidRPr="004E2B24">
              <w:rPr>
                <w:rFonts w:ascii="Times New Roman" w:eastAsia="Times New Roman" w:hAnsi="Times New Roman" w:cs="Times New Roman"/>
                <w:sz w:val="22"/>
                <w:szCs w:val="22"/>
                <w:lang w:eastAsia="en-US"/>
              </w:rPr>
              <w:t>Taikomos standartinės draudimo įmonės darbuotojų draudimo taisyklės tiek, kiek jos neprieštarauja šioje specifikacijoje nurodytoms sąlygoms.</w:t>
            </w:r>
          </w:p>
          <w:p w14:paraId="3D8390E4" w14:textId="684A9A43" w:rsidR="00407104" w:rsidRPr="004E2B24" w:rsidRDefault="00407104" w:rsidP="0012097A">
            <w:pPr>
              <w:numPr>
                <w:ilvl w:val="0"/>
                <w:numId w:val="2"/>
              </w:numPr>
              <w:spacing w:line="240" w:lineRule="auto"/>
              <w:contextualSpacing/>
              <w:jc w:val="both"/>
              <w:rPr>
                <w:rFonts w:ascii="Times New Roman" w:eastAsia="Times New Roman" w:hAnsi="Times New Roman" w:cs="Times New Roman"/>
                <w:sz w:val="22"/>
                <w:szCs w:val="22"/>
              </w:rPr>
            </w:pPr>
            <w:r w:rsidRPr="004E2B24">
              <w:rPr>
                <w:rFonts w:ascii="Times New Roman" w:eastAsia="Times New Roman" w:hAnsi="Times New Roman" w:cs="Times New Roman"/>
                <w:sz w:val="22"/>
                <w:szCs w:val="22"/>
              </w:rPr>
              <w:t>Rizikos vertinimo, draudimo sutarčių ir polisų sudarymo tarpininkavimo, žalų istorijos ir kitais draudimo klausimais, Draudėją atstovauja UADBB „Rizikos cesija“ pagal 2023-05-22 paslaugų sutartį NR. 23-S1-TVD-581.</w:t>
            </w:r>
          </w:p>
        </w:tc>
      </w:tr>
      <w:tr w:rsidR="00560D7B" w:rsidRPr="00581B56" w14:paraId="553C1090"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812" w:type="dxa"/>
            <w:gridSpan w:val="2"/>
            <w:tcBorders>
              <w:top w:val="single" w:sz="4" w:space="0" w:color="auto"/>
              <w:left w:val="single" w:sz="4" w:space="0" w:color="auto"/>
              <w:bottom w:val="single" w:sz="4" w:space="0" w:color="auto"/>
              <w:right w:val="single" w:sz="4" w:space="0" w:color="auto"/>
            </w:tcBorders>
            <w:noWrap/>
            <w:vAlign w:val="center"/>
          </w:tcPr>
          <w:p w14:paraId="415E354A" w14:textId="4FEEA924" w:rsidR="00560D7B" w:rsidRPr="004E2B24" w:rsidRDefault="00560D7B" w:rsidP="009C5C9B">
            <w:pPr>
              <w:pStyle w:val="Sraopastraipa"/>
              <w:tabs>
                <w:tab w:val="num" w:pos="1134"/>
                <w:tab w:val="num" w:pos="2952"/>
              </w:tabs>
              <w:ind w:left="0"/>
              <w:jc w:val="center"/>
              <w:rPr>
                <w:b/>
                <w:bCs/>
                <w:i/>
                <w:iCs/>
                <w:color w:val="000000"/>
                <w:sz w:val="22"/>
                <w:szCs w:val="22"/>
                <w:lang w:val="lt-LT"/>
              </w:rPr>
            </w:pPr>
            <w:bookmarkStart w:id="0" w:name="_Hlk152763140"/>
            <w:r w:rsidRPr="004E2B24">
              <w:rPr>
                <w:b/>
                <w:bCs/>
                <w:i/>
                <w:iCs/>
                <w:color w:val="000000"/>
                <w:sz w:val="22"/>
                <w:szCs w:val="22"/>
                <w:lang w:val="lt-LT"/>
              </w:rPr>
              <w:lastRenderedPageBreak/>
              <w:t>Pareigybė</w:t>
            </w:r>
          </w:p>
        </w:tc>
        <w:tc>
          <w:tcPr>
            <w:tcW w:w="4394" w:type="dxa"/>
            <w:tcBorders>
              <w:top w:val="single" w:sz="4" w:space="0" w:color="auto"/>
              <w:left w:val="nil"/>
              <w:bottom w:val="single" w:sz="4" w:space="0" w:color="auto"/>
              <w:right w:val="single" w:sz="4" w:space="0" w:color="auto"/>
            </w:tcBorders>
            <w:noWrap/>
            <w:vAlign w:val="center"/>
          </w:tcPr>
          <w:p w14:paraId="22208932" w14:textId="736303A5" w:rsidR="00560D7B" w:rsidRPr="004E2B24" w:rsidRDefault="00560D7B" w:rsidP="009C5C9B">
            <w:pPr>
              <w:pStyle w:val="Sraopastraipa"/>
              <w:tabs>
                <w:tab w:val="num" w:pos="1134"/>
                <w:tab w:val="num" w:pos="2952"/>
              </w:tabs>
              <w:ind w:left="0"/>
              <w:jc w:val="center"/>
              <w:rPr>
                <w:b/>
                <w:bCs/>
                <w:i/>
                <w:iCs/>
                <w:color w:val="000000"/>
                <w:sz w:val="22"/>
                <w:szCs w:val="22"/>
                <w:lang w:val="lt-LT"/>
              </w:rPr>
            </w:pPr>
            <w:r w:rsidRPr="004E2B24">
              <w:rPr>
                <w:b/>
                <w:bCs/>
                <w:i/>
                <w:iCs/>
                <w:color w:val="000000"/>
                <w:sz w:val="22"/>
                <w:szCs w:val="22"/>
                <w:lang w:val="lt-LT"/>
              </w:rPr>
              <w:t>skaičius</w:t>
            </w:r>
          </w:p>
        </w:tc>
      </w:tr>
      <w:tr w:rsidR="00560D7B" w:rsidRPr="00E92BB8" w14:paraId="5EF4925A"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812" w:type="dxa"/>
            <w:gridSpan w:val="2"/>
            <w:tcBorders>
              <w:top w:val="single" w:sz="4" w:space="0" w:color="auto"/>
              <w:left w:val="single" w:sz="4" w:space="0" w:color="auto"/>
              <w:bottom w:val="single" w:sz="4" w:space="0" w:color="auto"/>
              <w:right w:val="single" w:sz="4" w:space="0" w:color="auto"/>
            </w:tcBorders>
            <w:noWrap/>
            <w:vAlign w:val="bottom"/>
            <w:hideMark/>
          </w:tcPr>
          <w:p w14:paraId="7C545680" w14:textId="77777777" w:rsidR="00560D7B" w:rsidRPr="004E2B24" w:rsidRDefault="00560D7B" w:rsidP="00567C2F">
            <w:pPr>
              <w:pStyle w:val="Sraopastraipa"/>
              <w:tabs>
                <w:tab w:val="num" w:pos="1134"/>
                <w:tab w:val="num" w:pos="2952"/>
              </w:tabs>
              <w:ind w:left="0"/>
              <w:jc w:val="both"/>
              <w:rPr>
                <w:color w:val="000000"/>
                <w:sz w:val="22"/>
                <w:szCs w:val="22"/>
                <w:lang w:val="lt-LT"/>
              </w:rPr>
            </w:pPr>
            <w:r w:rsidRPr="004E2B24">
              <w:rPr>
                <w:color w:val="000000"/>
                <w:sz w:val="22"/>
                <w:szCs w:val="22"/>
                <w:lang w:val="lt-LT"/>
              </w:rPr>
              <w:t>Gen. Direktorius</w:t>
            </w:r>
          </w:p>
        </w:tc>
        <w:tc>
          <w:tcPr>
            <w:tcW w:w="4394" w:type="dxa"/>
            <w:tcBorders>
              <w:top w:val="single" w:sz="4" w:space="0" w:color="auto"/>
              <w:left w:val="nil"/>
              <w:bottom w:val="single" w:sz="4" w:space="0" w:color="auto"/>
              <w:right w:val="single" w:sz="4" w:space="0" w:color="auto"/>
            </w:tcBorders>
            <w:noWrap/>
            <w:vAlign w:val="bottom"/>
            <w:hideMark/>
          </w:tcPr>
          <w:p w14:paraId="526A9C21" w14:textId="17D72CDF" w:rsidR="00560D7B" w:rsidRPr="004E2B24" w:rsidRDefault="00560D7B" w:rsidP="00567C2F">
            <w:pPr>
              <w:pStyle w:val="Sraopastraipa"/>
              <w:tabs>
                <w:tab w:val="num" w:pos="1134"/>
                <w:tab w:val="num" w:pos="2952"/>
              </w:tabs>
              <w:ind w:left="0"/>
              <w:jc w:val="center"/>
              <w:rPr>
                <w:color w:val="000000"/>
                <w:sz w:val="22"/>
                <w:szCs w:val="22"/>
                <w:lang w:val="lt-LT"/>
              </w:rPr>
            </w:pPr>
            <w:r w:rsidRPr="004E2B24">
              <w:rPr>
                <w:color w:val="000000"/>
                <w:sz w:val="22"/>
                <w:szCs w:val="22"/>
                <w:lang w:val="lt-LT"/>
              </w:rPr>
              <w:t>1</w:t>
            </w:r>
          </w:p>
        </w:tc>
      </w:tr>
      <w:tr w:rsidR="00560D7B" w:rsidRPr="00E92BB8" w14:paraId="312F193A"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812" w:type="dxa"/>
            <w:gridSpan w:val="2"/>
            <w:tcBorders>
              <w:top w:val="nil"/>
              <w:left w:val="single" w:sz="4" w:space="0" w:color="auto"/>
              <w:bottom w:val="single" w:sz="4" w:space="0" w:color="auto"/>
              <w:right w:val="single" w:sz="4" w:space="0" w:color="auto"/>
            </w:tcBorders>
            <w:noWrap/>
            <w:vAlign w:val="bottom"/>
            <w:hideMark/>
          </w:tcPr>
          <w:p w14:paraId="679F63E7" w14:textId="7E7E6FFC" w:rsidR="00560D7B" w:rsidRPr="004E2B24" w:rsidRDefault="00560D7B" w:rsidP="00567C2F">
            <w:pPr>
              <w:pStyle w:val="Sraopastraipa"/>
              <w:tabs>
                <w:tab w:val="num" w:pos="1134"/>
                <w:tab w:val="num" w:pos="2952"/>
              </w:tabs>
              <w:ind w:left="0"/>
              <w:jc w:val="both"/>
              <w:rPr>
                <w:color w:val="000000"/>
                <w:sz w:val="22"/>
                <w:szCs w:val="22"/>
                <w:lang w:val="lt-LT"/>
              </w:rPr>
            </w:pPr>
            <w:r w:rsidRPr="004E2B24">
              <w:rPr>
                <w:color w:val="000000"/>
                <w:sz w:val="22"/>
                <w:szCs w:val="22"/>
                <w:lang w:val="lt-LT"/>
              </w:rPr>
              <w:t>Aukščiausio lygmens vadovai (departamentų vadovai)</w:t>
            </w:r>
          </w:p>
        </w:tc>
        <w:tc>
          <w:tcPr>
            <w:tcW w:w="4394" w:type="dxa"/>
            <w:tcBorders>
              <w:top w:val="nil"/>
              <w:left w:val="nil"/>
              <w:bottom w:val="single" w:sz="4" w:space="0" w:color="auto"/>
              <w:right w:val="single" w:sz="4" w:space="0" w:color="auto"/>
            </w:tcBorders>
            <w:noWrap/>
            <w:vAlign w:val="bottom"/>
            <w:hideMark/>
          </w:tcPr>
          <w:p w14:paraId="710A3F66" w14:textId="1D9D2750" w:rsidR="00560D7B" w:rsidRPr="004E2B24" w:rsidRDefault="00560D7B" w:rsidP="00567C2F">
            <w:pPr>
              <w:pStyle w:val="Sraopastraipa"/>
              <w:tabs>
                <w:tab w:val="num" w:pos="1134"/>
                <w:tab w:val="num" w:pos="2952"/>
              </w:tabs>
              <w:ind w:left="0"/>
              <w:jc w:val="center"/>
              <w:rPr>
                <w:color w:val="000000"/>
                <w:sz w:val="22"/>
                <w:szCs w:val="22"/>
                <w:lang w:val="lt-LT"/>
              </w:rPr>
            </w:pPr>
            <w:r w:rsidRPr="004E2B24">
              <w:rPr>
                <w:color w:val="000000"/>
                <w:sz w:val="22"/>
                <w:szCs w:val="22"/>
                <w:lang w:val="lt-LT"/>
              </w:rPr>
              <w:t>6</w:t>
            </w:r>
          </w:p>
        </w:tc>
      </w:tr>
      <w:tr w:rsidR="00560D7B" w:rsidRPr="00E92BB8" w14:paraId="128EDB3E"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812" w:type="dxa"/>
            <w:gridSpan w:val="2"/>
            <w:tcBorders>
              <w:top w:val="nil"/>
              <w:left w:val="single" w:sz="4" w:space="0" w:color="auto"/>
              <w:bottom w:val="single" w:sz="4" w:space="0" w:color="auto"/>
              <w:right w:val="single" w:sz="4" w:space="0" w:color="auto"/>
            </w:tcBorders>
            <w:noWrap/>
            <w:vAlign w:val="bottom"/>
            <w:hideMark/>
          </w:tcPr>
          <w:p w14:paraId="76E79292" w14:textId="347FCFB9" w:rsidR="00560D7B" w:rsidRPr="004E2B24" w:rsidRDefault="00560D7B" w:rsidP="00567C2F">
            <w:pPr>
              <w:pStyle w:val="Sraopastraipa"/>
              <w:tabs>
                <w:tab w:val="num" w:pos="1134"/>
                <w:tab w:val="num" w:pos="2952"/>
              </w:tabs>
              <w:ind w:left="0"/>
              <w:jc w:val="both"/>
              <w:rPr>
                <w:color w:val="000000"/>
                <w:sz w:val="22"/>
                <w:szCs w:val="22"/>
                <w:lang w:val="lt-LT"/>
              </w:rPr>
            </w:pPr>
            <w:r w:rsidRPr="004E2B24">
              <w:rPr>
                <w:color w:val="000000"/>
                <w:sz w:val="22"/>
                <w:szCs w:val="22"/>
                <w:lang w:val="lt-LT"/>
              </w:rPr>
              <w:t>Vidurinio lygmens vadovai (skyrių, grupių vadovai, pavaduotojai)</w:t>
            </w:r>
          </w:p>
        </w:tc>
        <w:tc>
          <w:tcPr>
            <w:tcW w:w="4394" w:type="dxa"/>
            <w:tcBorders>
              <w:top w:val="nil"/>
              <w:left w:val="nil"/>
              <w:bottom w:val="single" w:sz="4" w:space="0" w:color="auto"/>
              <w:right w:val="single" w:sz="4" w:space="0" w:color="auto"/>
            </w:tcBorders>
            <w:noWrap/>
            <w:vAlign w:val="bottom"/>
            <w:hideMark/>
          </w:tcPr>
          <w:p w14:paraId="0B9C9F10" w14:textId="18E5A6C1" w:rsidR="00560D7B" w:rsidRPr="004E2B24" w:rsidRDefault="002034C0" w:rsidP="00567C2F">
            <w:pPr>
              <w:pStyle w:val="Sraopastraipa"/>
              <w:tabs>
                <w:tab w:val="num" w:pos="1134"/>
                <w:tab w:val="num" w:pos="2952"/>
              </w:tabs>
              <w:ind w:left="0"/>
              <w:jc w:val="center"/>
              <w:rPr>
                <w:color w:val="000000"/>
                <w:sz w:val="22"/>
                <w:szCs w:val="22"/>
                <w:lang w:val="lt-LT"/>
              </w:rPr>
            </w:pPr>
            <w:r w:rsidRPr="004E2B24">
              <w:rPr>
                <w:color w:val="000000"/>
                <w:sz w:val="22"/>
                <w:szCs w:val="22"/>
                <w:lang w:val="lt-LT"/>
              </w:rPr>
              <w:t>39</w:t>
            </w:r>
          </w:p>
        </w:tc>
      </w:tr>
      <w:tr w:rsidR="00560D7B" w:rsidRPr="00581B56" w14:paraId="041894D4"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812" w:type="dxa"/>
            <w:gridSpan w:val="2"/>
            <w:tcBorders>
              <w:top w:val="nil"/>
              <w:left w:val="single" w:sz="4" w:space="0" w:color="auto"/>
              <w:bottom w:val="single" w:sz="4" w:space="0" w:color="auto"/>
              <w:right w:val="single" w:sz="4" w:space="0" w:color="auto"/>
            </w:tcBorders>
            <w:noWrap/>
            <w:vAlign w:val="bottom"/>
            <w:hideMark/>
          </w:tcPr>
          <w:p w14:paraId="0D7D965E" w14:textId="29FFBA14" w:rsidR="00560D7B" w:rsidRPr="004E2B24" w:rsidRDefault="00560D7B" w:rsidP="00567C2F">
            <w:pPr>
              <w:pStyle w:val="Sraopastraipa"/>
              <w:tabs>
                <w:tab w:val="num" w:pos="1134"/>
                <w:tab w:val="num" w:pos="2952"/>
              </w:tabs>
              <w:ind w:left="0"/>
              <w:jc w:val="both"/>
              <w:rPr>
                <w:color w:val="000000"/>
                <w:sz w:val="22"/>
                <w:szCs w:val="22"/>
                <w:lang w:val="lt-LT"/>
              </w:rPr>
            </w:pPr>
            <w:r w:rsidRPr="004E2B24">
              <w:rPr>
                <w:color w:val="000000"/>
                <w:sz w:val="22"/>
                <w:szCs w:val="22"/>
                <w:lang w:val="lt-LT"/>
              </w:rPr>
              <w:t xml:space="preserve">Ekspertai, </w:t>
            </w:r>
            <w:r w:rsidR="002034C0" w:rsidRPr="004E2B24">
              <w:rPr>
                <w:color w:val="000000"/>
                <w:sz w:val="22"/>
                <w:szCs w:val="22"/>
                <w:lang w:val="lt-LT"/>
              </w:rPr>
              <w:t xml:space="preserve">aukštesnio lygmens specialistai ir </w:t>
            </w:r>
            <w:r w:rsidRPr="004E2B24">
              <w:rPr>
                <w:color w:val="000000"/>
                <w:sz w:val="22"/>
                <w:szCs w:val="22"/>
                <w:lang w:val="lt-LT"/>
              </w:rPr>
              <w:t>specialistai</w:t>
            </w:r>
          </w:p>
        </w:tc>
        <w:tc>
          <w:tcPr>
            <w:tcW w:w="4394" w:type="dxa"/>
            <w:tcBorders>
              <w:top w:val="nil"/>
              <w:left w:val="nil"/>
              <w:bottom w:val="single" w:sz="4" w:space="0" w:color="auto"/>
              <w:right w:val="single" w:sz="4" w:space="0" w:color="auto"/>
            </w:tcBorders>
            <w:noWrap/>
            <w:vAlign w:val="bottom"/>
            <w:hideMark/>
          </w:tcPr>
          <w:p w14:paraId="030C25F3" w14:textId="65927CE4" w:rsidR="00560D7B" w:rsidRPr="004E2B24" w:rsidRDefault="00560D7B" w:rsidP="00567C2F">
            <w:pPr>
              <w:pStyle w:val="Sraopastraipa"/>
              <w:tabs>
                <w:tab w:val="num" w:pos="1134"/>
                <w:tab w:val="num" w:pos="2952"/>
              </w:tabs>
              <w:ind w:left="0"/>
              <w:jc w:val="center"/>
              <w:rPr>
                <w:color w:val="000000"/>
                <w:sz w:val="22"/>
                <w:szCs w:val="22"/>
                <w:lang w:val="lt-LT"/>
              </w:rPr>
            </w:pPr>
            <w:r w:rsidRPr="004E2B24">
              <w:rPr>
                <w:color w:val="000000"/>
                <w:sz w:val="22"/>
                <w:szCs w:val="22"/>
                <w:lang w:val="lt-LT"/>
              </w:rPr>
              <w:t>2</w:t>
            </w:r>
            <w:r w:rsidR="000B0BFF" w:rsidRPr="004E2B24">
              <w:rPr>
                <w:color w:val="000000"/>
                <w:sz w:val="22"/>
                <w:szCs w:val="22"/>
                <w:lang w:val="lt-LT"/>
              </w:rPr>
              <w:t>03</w:t>
            </w:r>
          </w:p>
        </w:tc>
      </w:tr>
      <w:tr w:rsidR="00560D7B" w:rsidRPr="00581B56" w14:paraId="1C37419F"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5812" w:type="dxa"/>
            <w:gridSpan w:val="2"/>
            <w:tcBorders>
              <w:top w:val="nil"/>
              <w:left w:val="single" w:sz="4" w:space="0" w:color="auto"/>
              <w:bottom w:val="single" w:sz="4" w:space="0" w:color="auto"/>
              <w:right w:val="nil"/>
            </w:tcBorders>
            <w:noWrap/>
            <w:vAlign w:val="bottom"/>
            <w:hideMark/>
          </w:tcPr>
          <w:p w14:paraId="3E122950" w14:textId="77777777" w:rsidR="00560D7B" w:rsidRPr="004E2B24" w:rsidRDefault="00560D7B" w:rsidP="00567C2F">
            <w:pPr>
              <w:pStyle w:val="Sraopastraipa"/>
              <w:tabs>
                <w:tab w:val="num" w:pos="1134"/>
                <w:tab w:val="num" w:pos="2952"/>
              </w:tabs>
              <w:ind w:left="0"/>
              <w:jc w:val="both"/>
              <w:rPr>
                <w:color w:val="000000"/>
                <w:sz w:val="22"/>
                <w:szCs w:val="22"/>
                <w:lang w:val="lt-LT"/>
              </w:rPr>
            </w:pPr>
          </w:p>
        </w:tc>
        <w:tc>
          <w:tcPr>
            <w:tcW w:w="4394" w:type="dxa"/>
            <w:tcBorders>
              <w:top w:val="nil"/>
              <w:left w:val="single" w:sz="4" w:space="0" w:color="auto"/>
              <w:bottom w:val="single" w:sz="4" w:space="0" w:color="auto"/>
              <w:right w:val="single" w:sz="4" w:space="0" w:color="auto"/>
            </w:tcBorders>
            <w:noWrap/>
            <w:vAlign w:val="bottom"/>
            <w:hideMark/>
          </w:tcPr>
          <w:p w14:paraId="73FBC165" w14:textId="15206B00" w:rsidR="00560D7B" w:rsidRPr="004E2B24" w:rsidRDefault="00560D7B" w:rsidP="00567C2F">
            <w:pPr>
              <w:pStyle w:val="Sraopastraipa"/>
              <w:tabs>
                <w:tab w:val="num" w:pos="1134"/>
                <w:tab w:val="num" w:pos="2952"/>
              </w:tabs>
              <w:ind w:left="0"/>
              <w:jc w:val="center"/>
              <w:rPr>
                <w:color w:val="000000"/>
                <w:sz w:val="22"/>
                <w:szCs w:val="22"/>
                <w:lang w:val="lt-LT"/>
              </w:rPr>
            </w:pPr>
            <w:r w:rsidRPr="004E2B24">
              <w:rPr>
                <w:color w:val="000000"/>
                <w:sz w:val="22"/>
                <w:szCs w:val="22"/>
                <w:lang w:val="lt-LT"/>
              </w:rPr>
              <w:t>2</w:t>
            </w:r>
            <w:r w:rsidR="000B0BFF" w:rsidRPr="004E2B24">
              <w:rPr>
                <w:color w:val="000000"/>
                <w:sz w:val="22"/>
                <w:szCs w:val="22"/>
                <w:lang w:val="lt-LT"/>
              </w:rPr>
              <w:t>49</w:t>
            </w:r>
          </w:p>
        </w:tc>
      </w:tr>
      <w:tr w:rsidR="000B0BFF" w:rsidRPr="00581B56" w14:paraId="54687BEC"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3"/>
            <w:tcBorders>
              <w:top w:val="nil"/>
              <w:left w:val="single" w:sz="4" w:space="0" w:color="auto"/>
              <w:bottom w:val="single" w:sz="4" w:space="0" w:color="auto"/>
              <w:right w:val="single" w:sz="4" w:space="0" w:color="auto"/>
            </w:tcBorders>
            <w:noWrap/>
            <w:vAlign w:val="bottom"/>
          </w:tcPr>
          <w:p w14:paraId="42B5D2E5" w14:textId="375D3A4D" w:rsidR="000B0BFF" w:rsidRPr="004E2B24" w:rsidRDefault="004E2B24" w:rsidP="004E2B24">
            <w:pPr>
              <w:pStyle w:val="Sraopastraipa"/>
              <w:tabs>
                <w:tab w:val="num" w:pos="1134"/>
                <w:tab w:val="num" w:pos="2952"/>
              </w:tabs>
              <w:ind w:left="0"/>
              <w:rPr>
                <w:color w:val="000000"/>
                <w:sz w:val="22"/>
                <w:szCs w:val="22"/>
                <w:lang w:val="lt-LT"/>
              </w:rPr>
            </w:pPr>
            <w:r w:rsidRPr="004E2B24">
              <w:rPr>
                <w:color w:val="000000"/>
                <w:sz w:val="22"/>
                <w:szCs w:val="22"/>
                <w:lang w:val="lt-LT"/>
              </w:rPr>
              <w:t>Darbuotojai, dirbantys lengvą fizinį darbą – 46</w:t>
            </w:r>
          </w:p>
        </w:tc>
      </w:tr>
      <w:tr w:rsidR="002266F6" w:rsidRPr="00581B56" w14:paraId="47468CE7"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3"/>
            <w:tcBorders>
              <w:top w:val="single" w:sz="4" w:space="0" w:color="auto"/>
              <w:left w:val="single" w:sz="4" w:space="0" w:color="auto"/>
              <w:bottom w:val="single" w:sz="4" w:space="0" w:color="auto"/>
              <w:right w:val="single" w:sz="4" w:space="0" w:color="auto"/>
            </w:tcBorders>
            <w:noWrap/>
            <w:vAlign w:val="bottom"/>
          </w:tcPr>
          <w:p w14:paraId="71C9015F" w14:textId="68E69B45" w:rsidR="002266F6" w:rsidRPr="00581B56" w:rsidRDefault="0022361B" w:rsidP="00567C2F">
            <w:pPr>
              <w:pStyle w:val="Sraopastraipa"/>
              <w:tabs>
                <w:tab w:val="num" w:pos="1134"/>
                <w:tab w:val="num" w:pos="2952"/>
              </w:tabs>
              <w:ind w:left="0"/>
              <w:jc w:val="center"/>
              <w:rPr>
                <w:b/>
                <w:bCs/>
                <w:color w:val="000000"/>
                <w:sz w:val="22"/>
                <w:szCs w:val="22"/>
                <w:lang w:val="lt-LT"/>
              </w:rPr>
            </w:pPr>
            <w:r w:rsidRPr="00581B56">
              <w:rPr>
                <w:b/>
                <w:bCs/>
                <w:color w:val="000000"/>
                <w:sz w:val="22"/>
                <w:szCs w:val="22"/>
                <w:lang w:val="lt-LT"/>
              </w:rPr>
              <w:t>Aplinkos apsaugos kriterijai taikomi pirkime</w:t>
            </w:r>
          </w:p>
        </w:tc>
      </w:tr>
      <w:tr w:rsidR="002266F6" w:rsidRPr="00581B56" w14:paraId="004E53A6" w14:textId="77777777" w:rsidTr="000B0BF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jc w:val="center"/>
        </w:trPr>
        <w:tc>
          <w:tcPr>
            <w:tcW w:w="10206" w:type="dxa"/>
            <w:gridSpan w:val="3"/>
            <w:tcBorders>
              <w:top w:val="single" w:sz="4" w:space="0" w:color="auto"/>
              <w:left w:val="single" w:sz="4" w:space="0" w:color="auto"/>
              <w:bottom w:val="single" w:sz="4" w:space="0" w:color="auto"/>
              <w:right w:val="single" w:sz="4" w:space="0" w:color="auto"/>
            </w:tcBorders>
            <w:noWrap/>
            <w:vAlign w:val="bottom"/>
          </w:tcPr>
          <w:p w14:paraId="229D1C2B" w14:textId="53004EF2" w:rsidR="002266F6" w:rsidRPr="00581B56" w:rsidRDefault="00581B56" w:rsidP="00581B56">
            <w:pPr>
              <w:pStyle w:val="Sraopastraipa"/>
              <w:tabs>
                <w:tab w:val="num" w:pos="1134"/>
                <w:tab w:val="num" w:pos="2952"/>
              </w:tabs>
              <w:ind w:left="0"/>
              <w:jc w:val="both"/>
              <w:rPr>
                <w:color w:val="000000"/>
                <w:sz w:val="22"/>
                <w:szCs w:val="22"/>
                <w:lang w:val="lt-LT"/>
              </w:rPr>
            </w:pPr>
            <w:r w:rsidRPr="00581B56">
              <w:rPr>
                <w:color w:val="000000"/>
                <w:sz w:val="22"/>
                <w:szCs w:val="22"/>
                <w:lang w:val="lt-LT"/>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bookmarkEnd w:id="0"/>
    </w:tbl>
    <w:p w14:paraId="0EDD230B" w14:textId="77777777" w:rsidR="0012097A" w:rsidRPr="00581B56" w:rsidRDefault="0012097A" w:rsidP="0012097A">
      <w:pPr>
        <w:pStyle w:val="Sraopastraipa"/>
        <w:tabs>
          <w:tab w:val="left" w:pos="993"/>
        </w:tabs>
        <w:ind w:left="426"/>
        <w:jc w:val="both"/>
        <w:rPr>
          <w:b/>
          <w:bCs/>
          <w:lang w:val="lt-LT"/>
        </w:rPr>
      </w:pPr>
    </w:p>
    <w:p w14:paraId="54960BE6" w14:textId="39146E3F" w:rsidR="0012097A" w:rsidRPr="00581B56" w:rsidRDefault="004F7802" w:rsidP="004F7802">
      <w:pPr>
        <w:tabs>
          <w:tab w:val="left" w:pos="993"/>
        </w:tabs>
        <w:spacing w:after="0"/>
        <w:jc w:val="center"/>
        <w:rPr>
          <w:rFonts w:ascii="Times New Roman" w:hAnsi="Times New Roman" w:cs="Times New Roman"/>
          <w:sz w:val="22"/>
          <w:szCs w:val="22"/>
        </w:rPr>
      </w:pPr>
      <w:r>
        <w:rPr>
          <w:rFonts w:ascii="Times New Roman" w:hAnsi="Times New Roman" w:cs="Times New Roman"/>
          <w:sz w:val="22"/>
          <w:szCs w:val="22"/>
        </w:rPr>
        <w:t>____________________</w:t>
      </w:r>
    </w:p>
    <w:sectPr w:rsidR="0012097A" w:rsidRPr="00581B56" w:rsidSect="004F7802">
      <w:pgSz w:w="12240" w:h="15840" w:code="1"/>
      <w:pgMar w:top="993"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D5152"/>
    <w:multiLevelType w:val="hybridMultilevel"/>
    <w:tmpl w:val="09207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77E2570"/>
    <w:multiLevelType w:val="hybridMultilevel"/>
    <w:tmpl w:val="8A1E49C8"/>
    <w:lvl w:ilvl="0" w:tplc="9796FA1C">
      <w:start w:val="2"/>
      <w:numFmt w:val="bullet"/>
      <w:lvlText w:val="-"/>
      <w:lvlJc w:val="left"/>
      <w:pPr>
        <w:ind w:left="720" w:hanging="360"/>
      </w:pPr>
      <w:rPr>
        <w:rFonts w:ascii="Times New Roman" w:eastAsia="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A0F725A"/>
    <w:multiLevelType w:val="hybridMultilevel"/>
    <w:tmpl w:val="5C50BB4C"/>
    <w:lvl w:ilvl="0" w:tplc="04090001">
      <w:start w:val="1"/>
      <w:numFmt w:val="bullet"/>
      <w:lvlText w:val=""/>
      <w:lvlJc w:val="left"/>
      <w:pPr>
        <w:ind w:left="1287" w:hanging="360"/>
      </w:pPr>
      <w:rPr>
        <w:rFonts w:ascii="Symbol" w:hAnsi="Symbol"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num w:numId="1" w16cid:durableId="5484222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046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717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2742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7A"/>
    <w:rsid w:val="00081BDC"/>
    <w:rsid w:val="000B0BFF"/>
    <w:rsid w:val="000F4EE9"/>
    <w:rsid w:val="0012097A"/>
    <w:rsid w:val="0014444C"/>
    <w:rsid w:val="002034C0"/>
    <w:rsid w:val="0022361B"/>
    <w:rsid w:val="002266F6"/>
    <w:rsid w:val="00232776"/>
    <w:rsid w:val="0025295C"/>
    <w:rsid w:val="00332CE9"/>
    <w:rsid w:val="00407104"/>
    <w:rsid w:val="00414275"/>
    <w:rsid w:val="004C4C8B"/>
    <w:rsid w:val="004E2B24"/>
    <w:rsid w:val="004F7802"/>
    <w:rsid w:val="00560D7B"/>
    <w:rsid w:val="00581B56"/>
    <w:rsid w:val="005947B3"/>
    <w:rsid w:val="005C38FE"/>
    <w:rsid w:val="005E1DC7"/>
    <w:rsid w:val="007163E4"/>
    <w:rsid w:val="007657FA"/>
    <w:rsid w:val="00783923"/>
    <w:rsid w:val="009020CB"/>
    <w:rsid w:val="009A7340"/>
    <w:rsid w:val="009C5C9B"/>
    <w:rsid w:val="00A52975"/>
    <w:rsid w:val="00C865E3"/>
    <w:rsid w:val="00DC68B8"/>
    <w:rsid w:val="00E92BB8"/>
    <w:rsid w:val="00ED114E"/>
    <w:rsid w:val="00F30333"/>
    <w:rsid w:val="00F7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1E2C"/>
  <w15:chartTrackingRefBased/>
  <w15:docId w15:val="{20FBDF07-75F2-45DD-A04F-FA01CDC0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097A"/>
    <w:pPr>
      <w:spacing w:line="276" w:lineRule="auto"/>
    </w:pPr>
    <w:rPr>
      <w:rFonts w:eastAsiaTheme="minorEastAsia"/>
      <w:kern w:val="0"/>
      <w:sz w:val="21"/>
      <w:szCs w:val="21"/>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2097A"/>
    <w:pPr>
      <w:spacing w:after="0" w:line="240" w:lineRule="auto"/>
      <w:ind w:left="1296"/>
    </w:pPr>
    <w:rPr>
      <w:rFonts w:ascii="Times New Roman" w:eastAsia="Times New Roman" w:hAnsi="Times New Roman" w:cs="Times New Roman"/>
      <w:sz w:val="24"/>
      <w:szCs w:val="24"/>
      <w:lang w:val="en-GB" w:eastAsia="en-US"/>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2097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adda240afe73ecdd527fd109ae889982">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7afe3557b3f498448615e8440a925e7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8BF5C-4D4D-4AD4-8E4E-8182390A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94384-389C-40B4-AD72-A17BE64EC698}">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3.xml><?xml version="1.0" encoding="utf-8"?>
<ds:datastoreItem xmlns:ds="http://schemas.openxmlformats.org/officeDocument/2006/customXml" ds:itemID="{F88BF856-C30A-4911-A247-A38A1532D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4093</Words>
  <Characters>2334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dc:creator>
  <cp:keywords/>
  <dc:description/>
  <cp:lastModifiedBy>STONIENĖ, Gita | Turto bankas</cp:lastModifiedBy>
  <cp:revision>7</cp:revision>
  <dcterms:created xsi:type="dcterms:W3CDTF">2026-01-13T10:23:00Z</dcterms:created>
  <dcterms:modified xsi:type="dcterms:W3CDTF">2026-01-13T10:29:00Z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