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956CB" w14:textId="77777777" w:rsidR="00705AA5" w:rsidRPr="00FD3C8B" w:rsidRDefault="00705AA5" w:rsidP="00705AA5">
      <w:pPr>
        <w:pStyle w:val="Betarp"/>
        <w:jc w:val="center"/>
        <w:rPr>
          <w:rFonts w:asciiTheme="majorBidi" w:hAnsiTheme="majorBidi" w:cstheme="majorBidi"/>
          <w:b/>
        </w:rPr>
      </w:pPr>
      <w:r w:rsidRPr="00FD3C8B">
        <w:rPr>
          <w:rFonts w:asciiTheme="majorBidi" w:hAnsiTheme="majorBidi" w:cstheme="majorBidi"/>
          <w:b/>
        </w:rPr>
        <w:t>GELŽBETONINIŲ NUOTEKŲ ŠULINIŲ TECHNINĖ SPECIFIKACIJA</w:t>
      </w:r>
    </w:p>
    <w:p w14:paraId="77238814" w14:textId="77777777" w:rsidR="00705AA5" w:rsidRPr="00FD3C8B" w:rsidRDefault="00705AA5" w:rsidP="00705AA5">
      <w:pPr>
        <w:pStyle w:val="Betarp"/>
        <w:rPr>
          <w:rFonts w:asciiTheme="majorBidi" w:hAnsiTheme="majorBidi" w:cstheme="majorBidi"/>
          <w:b/>
        </w:rPr>
      </w:pPr>
    </w:p>
    <w:p w14:paraId="29285B68" w14:textId="77777777" w:rsidR="00705AA5" w:rsidRPr="00FD3C8B" w:rsidRDefault="00705AA5" w:rsidP="00705AA5">
      <w:pPr>
        <w:pStyle w:val="Betarp"/>
        <w:rPr>
          <w:rFonts w:asciiTheme="majorBidi" w:hAnsiTheme="majorBidi" w:cstheme="majorBidi"/>
        </w:rPr>
      </w:pPr>
    </w:p>
    <w:p w14:paraId="0C476D3E" w14:textId="77777777" w:rsidR="00705AA5" w:rsidRPr="00FD3C8B" w:rsidRDefault="00705AA5" w:rsidP="00705AA5">
      <w:pPr>
        <w:pStyle w:val="Betarp"/>
        <w:ind w:firstLine="1296"/>
        <w:jc w:val="both"/>
        <w:rPr>
          <w:rFonts w:asciiTheme="majorBidi" w:hAnsiTheme="majorBidi" w:cstheme="majorBidi"/>
        </w:rPr>
      </w:pPr>
      <w:r w:rsidRPr="00FD3C8B">
        <w:rPr>
          <w:rFonts w:asciiTheme="majorBidi" w:hAnsiTheme="majorBidi" w:cstheme="majorBidi"/>
        </w:rPr>
        <w:t>Techninę specifikaciją parengė perkantysis subjektas vadovaujantis Lietuvos Respublikos pirkimų, atliekamų vandentvarkos, energetikos, transporto ar pašto paslaugų srities perkančiųjų subjektų įstatymo 2 str. 27 punkte, 50 str. įtvirtintais reikalavimais.</w:t>
      </w:r>
    </w:p>
    <w:p w14:paraId="2B368970" w14:textId="77777777" w:rsidR="00705AA5" w:rsidRPr="00FD3C8B" w:rsidRDefault="00705AA5" w:rsidP="00705AA5">
      <w:pPr>
        <w:pStyle w:val="Betarp"/>
        <w:ind w:firstLine="1296"/>
        <w:jc w:val="both"/>
        <w:rPr>
          <w:rFonts w:asciiTheme="majorBidi" w:hAnsiTheme="majorBidi" w:cstheme="majorBidi"/>
        </w:rPr>
      </w:pPr>
      <w:r w:rsidRPr="00FD3C8B">
        <w:rPr>
          <w:rFonts w:asciiTheme="majorBidi" w:hAnsiTheme="majorBidi" w:cstheme="majorBidi"/>
        </w:rPr>
        <w:t>Žemiau nurodytas tekstas apima minimalius techninius ir kitus reikalavimus gelžbetoniniams nuotekų šuliniams, kuriuos privaloma įvykdyti. Pirkimo dalyvis privalo pateikti tekstinę, grafinę, vaizdinę ir kitą jo nuomone reikalingą informaciją, kurioje būtų pateikti atsakymai į žemiau išdėstytos techninės specifikacijos klausimus.</w:t>
      </w:r>
    </w:p>
    <w:p w14:paraId="66436414" w14:textId="77777777" w:rsidR="00705AA5" w:rsidRPr="00FD3C8B" w:rsidRDefault="00705AA5" w:rsidP="00705AA5">
      <w:pPr>
        <w:pStyle w:val="Betarp"/>
        <w:jc w:val="both"/>
        <w:rPr>
          <w:rFonts w:asciiTheme="majorBidi" w:hAnsiTheme="majorBidi" w:cstheme="majorBidi"/>
        </w:rPr>
      </w:pPr>
    </w:p>
    <w:p w14:paraId="42633DAA" w14:textId="77777777" w:rsidR="00705AA5" w:rsidRPr="00FD3C8B" w:rsidRDefault="00705AA5" w:rsidP="00705AA5">
      <w:pPr>
        <w:pStyle w:val="Betarp"/>
        <w:jc w:val="both"/>
        <w:rPr>
          <w:rFonts w:asciiTheme="majorBidi" w:hAnsiTheme="majorBidi" w:cstheme="majorBidi"/>
          <w:b/>
          <w:bCs/>
        </w:rPr>
      </w:pPr>
      <w:r w:rsidRPr="00FD3C8B">
        <w:rPr>
          <w:rFonts w:asciiTheme="majorBidi" w:hAnsiTheme="majorBidi" w:cstheme="majorBidi"/>
          <w:b/>
          <w:bCs/>
        </w:rPr>
        <w:t>Techniniai reikalavimai gelžbetoniniams nuotekų šuliniams</w:t>
      </w:r>
    </w:p>
    <w:p w14:paraId="744179E6" w14:textId="77777777" w:rsidR="00705AA5" w:rsidRPr="00FD3C8B" w:rsidRDefault="00705AA5" w:rsidP="00705AA5">
      <w:pPr>
        <w:pStyle w:val="Betarp"/>
        <w:jc w:val="both"/>
        <w:rPr>
          <w:rFonts w:asciiTheme="majorBidi" w:hAnsiTheme="majorBidi" w:cstheme="majorBidi"/>
          <w:b/>
          <w:bCs/>
        </w:rPr>
      </w:pPr>
    </w:p>
    <w:p w14:paraId="0EEE4FEA"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 xml:space="preserve">1. Techninė specifikacija apima šulinių žiedus, kūginius šulinių žiedus, šulinių dugnus, šulinių perdangas su įlipimo angomis, aukščio reguliavimo žiedus ir kitus gelžbetoninius šulinių elementus. </w:t>
      </w:r>
    </w:p>
    <w:p w14:paraId="677C7216"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1.3 Šuliniai ir kameros, kurie statomi iš surenkamų gelžbetoninių elementų turi atitikti standarto LST EN 1917, arba lygiaverčio reikalavimus.</w:t>
      </w:r>
    </w:p>
    <w:p w14:paraId="2C31AB08"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1.4 Kartu su prekėmis turi būti pateikta: eksploatacinių savybių deklaracija pagal STR 1.01.04:2015 arba lygiaverčio reglamento reikalavimus lietuvių kalba, gamintojo originalūs naudojimo dokumentai ir gamintojo originalių naudojimo dokumentų vertimas į lietuvių kalbą.</w:t>
      </w:r>
    </w:p>
    <w:p w14:paraId="087B211C"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 xml:space="preserve">1.5 Nuotekų šuliniai, sumontuoti iš surenkamų gelžbetoninių elementų turi būti hermetiški ir sausi. </w:t>
      </w:r>
      <w:proofErr w:type="spellStart"/>
      <w:r w:rsidRPr="00FD3C8B">
        <w:rPr>
          <w:rFonts w:asciiTheme="majorBidi" w:hAnsiTheme="majorBidi" w:cstheme="majorBidi"/>
        </w:rPr>
        <w:t>Hermetiškumui</w:t>
      </w:r>
      <w:proofErr w:type="spellEnd"/>
      <w:r w:rsidRPr="00FD3C8B">
        <w:rPr>
          <w:rFonts w:asciiTheme="majorBidi" w:hAnsiTheme="majorBidi" w:cstheme="majorBidi"/>
        </w:rPr>
        <w:t xml:space="preserve"> užtikrinti gali būti naudojamos siūlių sandarinimo medžiagos, specialūs hermetikai, besiplečiantis skiedinys, karštas bitumas, vamzdžių jungimo vietose specialios movos.</w:t>
      </w:r>
    </w:p>
    <w:p w14:paraId="76B1E26B"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 xml:space="preserve">1.6 Šulinių žiedai su </w:t>
      </w:r>
      <w:proofErr w:type="spellStart"/>
      <w:r w:rsidRPr="00FD3C8B">
        <w:rPr>
          <w:rFonts w:asciiTheme="majorBidi" w:hAnsiTheme="majorBidi" w:cstheme="majorBidi"/>
        </w:rPr>
        <w:t>užlankiais</w:t>
      </w:r>
      <w:proofErr w:type="spellEnd"/>
      <w:r w:rsidRPr="00FD3C8B">
        <w:rPr>
          <w:rFonts w:asciiTheme="majorBidi" w:hAnsiTheme="majorBidi" w:cstheme="majorBidi"/>
        </w:rPr>
        <w:t>, kurie montavimo metu įsistato vienas į kitą.</w:t>
      </w:r>
    </w:p>
    <w:p w14:paraId="21482C5E"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1.7 Nuotekų šulinių žiedų vidinis diametras priklauso nuo vamzdynų ir uždaromosios armatūros kiekio bei diametro, bet turi būti ne mažiau DN 1,0 m. Nuotekų šulinių žiedų sienutės storis parenkamas pagal žiedų diametrą.</w:t>
      </w:r>
    </w:p>
    <w:p w14:paraId="68DAD19C"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 xml:space="preserve">1.8 Nuotekų šulinių žiedai turi būti su lipynėmis. Lipynės padengtos antikorozine karšto cinkavimo arba </w:t>
      </w:r>
      <w:proofErr w:type="spellStart"/>
      <w:r w:rsidRPr="00FD3C8B">
        <w:rPr>
          <w:rFonts w:asciiTheme="majorBidi" w:hAnsiTheme="majorBidi" w:cstheme="majorBidi"/>
        </w:rPr>
        <w:t>lygiaverčia</w:t>
      </w:r>
      <w:proofErr w:type="spellEnd"/>
      <w:r w:rsidRPr="00FD3C8B">
        <w:rPr>
          <w:rFonts w:asciiTheme="majorBidi" w:hAnsiTheme="majorBidi" w:cstheme="majorBidi"/>
        </w:rPr>
        <w:t xml:space="preserve"> danga.</w:t>
      </w:r>
    </w:p>
    <w:p w14:paraId="2DA8481B"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1.9 Dangčio tipas parenkamas priklausomai nuo vietos, kur montuojamas gelžbetoninis šulinys. Šulinių, kurie statomi nevažiuojamoje dalyje, dangčiai ketiniai arba plastikiniai, A15, B125, C250 klasės atlaikantys 1,5-25 tonų apkrovą. Šulinių, kurie statomi važiuojamoje dalyje dangčiai ketiniai, D400 klasės, atlaikantys 40 t apkrovą.</w:t>
      </w:r>
    </w:p>
    <w:p w14:paraId="2BE30602"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1.10 Gelžbetoniniai nuotekų šuliniai skirti savitakiniams nuotekų tinklams. Nuotekų latakai šulinio dugne (forma ir matmenys) priklauso nuo konkrečių šulinio montavimo nuotekų tinkle sąlygų. Nuotekų latakai gali būti gamyklinio išpildymo arba suformuoti vietoje šulinių montavimo metu.</w:t>
      </w:r>
    </w:p>
    <w:p w14:paraId="3F6A382B" w14:textId="77777777" w:rsidR="00705AA5" w:rsidRPr="00FD3C8B" w:rsidRDefault="00705AA5" w:rsidP="00705AA5">
      <w:pPr>
        <w:pStyle w:val="Betarp"/>
        <w:jc w:val="both"/>
        <w:rPr>
          <w:rFonts w:asciiTheme="majorBidi" w:hAnsiTheme="majorBidi" w:cstheme="majorBidi"/>
        </w:rPr>
      </w:pPr>
    </w:p>
    <w:p w14:paraId="68F9A15C" w14:textId="77777777" w:rsidR="00705AA5" w:rsidRPr="00FD3C8B" w:rsidRDefault="00705AA5" w:rsidP="00705AA5">
      <w:pPr>
        <w:pStyle w:val="Betarp"/>
        <w:jc w:val="both"/>
        <w:rPr>
          <w:rFonts w:asciiTheme="majorBidi" w:hAnsiTheme="majorBidi" w:cstheme="majorBidi"/>
          <w:b/>
          <w:bCs/>
        </w:rPr>
      </w:pPr>
      <w:r w:rsidRPr="00FD3C8B">
        <w:rPr>
          <w:rFonts w:asciiTheme="majorBidi" w:hAnsiTheme="majorBidi" w:cstheme="majorBidi"/>
          <w:b/>
          <w:bCs/>
        </w:rPr>
        <w:t>Garantija</w:t>
      </w:r>
    </w:p>
    <w:p w14:paraId="4BB03B29" w14:textId="77777777" w:rsidR="00705AA5" w:rsidRPr="00FD3C8B" w:rsidRDefault="00705AA5" w:rsidP="00705AA5">
      <w:pPr>
        <w:pStyle w:val="Betarp"/>
        <w:jc w:val="both"/>
        <w:rPr>
          <w:rFonts w:asciiTheme="majorBidi" w:hAnsiTheme="majorBidi" w:cstheme="majorBidi"/>
          <w:b/>
          <w:bCs/>
        </w:rPr>
      </w:pPr>
    </w:p>
    <w:p w14:paraId="42DA6D95"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 xml:space="preserve">1.Gelžbetoninių nuotekų šulinių garantija ne mažiau 2 metai. </w:t>
      </w:r>
    </w:p>
    <w:p w14:paraId="50AAD73A" w14:textId="77777777" w:rsidR="00705AA5" w:rsidRPr="00FD3C8B" w:rsidRDefault="00705AA5" w:rsidP="00705AA5">
      <w:pPr>
        <w:pStyle w:val="Betarp"/>
        <w:jc w:val="both"/>
        <w:rPr>
          <w:rFonts w:asciiTheme="majorBidi" w:hAnsiTheme="majorBidi" w:cstheme="majorBidi"/>
        </w:rPr>
      </w:pPr>
    </w:p>
    <w:p w14:paraId="450FADB4" w14:textId="77777777" w:rsidR="00705AA5" w:rsidRPr="00FD3C8B" w:rsidRDefault="00705AA5" w:rsidP="00705AA5">
      <w:pPr>
        <w:pStyle w:val="Betarp"/>
        <w:jc w:val="both"/>
        <w:rPr>
          <w:rFonts w:asciiTheme="majorBidi" w:hAnsiTheme="majorBidi" w:cstheme="majorBidi"/>
        </w:rPr>
      </w:pPr>
    </w:p>
    <w:p w14:paraId="05879FDF" w14:textId="77777777" w:rsidR="00705AA5" w:rsidRPr="00FD3C8B" w:rsidRDefault="00705AA5" w:rsidP="00705AA5">
      <w:pPr>
        <w:pStyle w:val="Betarp"/>
        <w:jc w:val="both"/>
        <w:rPr>
          <w:rFonts w:asciiTheme="majorBidi" w:hAnsiTheme="majorBidi" w:cstheme="majorBidi"/>
          <w:b/>
          <w:bCs/>
        </w:rPr>
      </w:pPr>
      <w:r w:rsidRPr="00FD3C8B">
        <w:rPr>
          <w:rFonts w:asciiTheme="majorBidi" w:hAnsiTheme="majorBidi" w:cstheme="majorBidi"/>
          <w:b/>
          <w:bCs/>
        </w:rPr>
        <w:t>Aplinkos apsaugos (žalieji) reikalavimai. Tiekėjas privalo pateikti atsakymus.</w:t>
      </w:r>
    </w:p>
    <w:p w14:paraId="3F0CDA72" w14:textId="77777777" w:rsidR="00705AA5" w:rsidRPr="00FD3C8B" w:rsidRDefault="00705AA5" w:rsidP="00705AA5">
      <w:pPr>
        <w:pStyle w:val="Betarp"/>
        <w:jc w:val="both"/>
        <w:rPr>
          <w:rFonts w:asciiTheme="majorBidi" w:hAnsiTheme="majorBidi" w:cstheme="majorBidi"/>
        </w:rPr>
      </w:pPr>
    </w:p>
    <w:p w14:paraId="6B25163C" w14:textId="77777777" w:rsidR="00705AA5" w:rsidRPr="00FD3C8B" w:rsidRDefault="00705AA5" w:rsidP="00705AA5">
      <w:pPr>
        <w:pStyle w:val="Betarp"/>
        <w:ind w:firstLine="1296"/>
        <w:jc w:val="both"/>
        <w:rPr>
          <w:rFonts w:asciiTheme="majorBidi" w:hAnsiTheme="majorBidi" w:cstheme="majorBidi"/>
          <w:b/>
          <w:bCs/>
        </w:rPr>
      </w:pPr>
      <w:r w:rsidRPr="00FD3C8B">
        <w:rPr>
          <w:rFonts w:asciiTheme="majorBidi" w:hAnsiTheme="majorBidi" w:cstheme="majorBidi"/>
          <w:b/>
          <w:bCs/>
        </w:rPr>
        <w:t>Aplinkos apsaugos kriterijų taikymo tvarka vadovaujantis Lietuvos Respublikos aplinkos ministro 2011 m. birželio 28 d. įsakymu Nr. D1-508 „Dėl aplinkos apsaugos kriterijų taikymo, vykdant žaliuosius pirkimus, tvarkos aprašo patvirtinimo“ (su pakeitimais).</w:t>
      </w:r>
    </w:p>
    <w:p w14:paraId="08D2FF4D"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 xml:space="preserve"> </w:t>
      </w:r>
    </w:p>
    <w:p w14:paraId="2198D80F" w14:textId="77777777" w:rsidR="00705AA5" w:rsidRPr="00FD3C8B" w:rsidRDefault="00705AA5" w:rsidP="00705AA5">
      <w:pPr>
        <w:pStyle w:val="Betarp"/>
        <w:jc w:val="both"/>
        <w:rPr>
          <w:rFonts w:asciiTheme="majorBidi" w:hAnsiTheme="majorBidi" w:cstheme="majorBidi"/>
        </w:rPr>
      </w:pPr>
    </w:p>
    <w:p w14:paraId="7FA57BEE" w14:textId="77777777" w:rsidR="00705AA5" w:rsidRPr="00FD3C8B" w:rsidRDefault="00705AA5" w:rsidP="00705AA5">
      <w:pPr>
        <w:pStyle w:val="Betarp"/>
        <w:ind w:firstLine="1296"/>
        <w:jc w:val="both"/>
        <w:rPr>
          <w:rFonts w:asciiTheme="majorBidi" w:hAnsiTheme="majorBidi" w:cstheme="majorBidi"/>
        </w:rPr>
      </w:pPr>
      <w:r w:rsidRPr="00FD3C8B">
        <w:rPr>
          <w:rFonts w:asciiTheme="majorBidi" w:hAnsiTheme="majorBidi" w:cstheme="majorBidi"/>
        </w:rPr>
        <w:lastRenderedPageBreak/>
        <w:t xml:space="preserve">Pirkimas laikomas žaliuoju, kai perkama prekė, paslauga arba darbas (toliau – produktas), kuris nėra produktų, kurių viešiesiems pirkimams ir pirkimams taikytini minimalūs aplinkos apsaugos kriterijai, sąraše, nurodytame Tvarkos aprašo 1 priede, tenkina bent vieną iš žemiau esančių punktų: </w:t>
      </w:r>
    </w:p>
    <w:p w14:paraId="0A905A6B"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 xml:space="preserve">1. Perkamas produktas atitinka jam nustatytus I tipo ekologinio ženklo reikalavimus pagal standartą LST EN ISO 14024 „Aplinkosauginiai ženklai ir aplinkosauginės deklaracijos. I tipo aplinkosauginis ženklinimas. Principai ir procedūros“ ir yra paženklintas I tipo ekologiniu ženklu arba kitu tiekėjo pateiktu lygiaverčiu įrodymu (pvz., EU </w:t>
      </w:r>
      <w:proofErr w:type="spellStart"/>
      <w:r w:rsidRPr="00FD3C8B">
        <w:rPr>
          <w:rFonts w:asciiTheme="majorBidi" w:hAnsiTheme="majorBidi" w:cstheme="majorBidi"/>
        </w:rPr>
        <w:t>Ecolabel</w:t>
      </w:r>
      <w:proofErr w:type="spellEnd"/>
      <w:r w:rsidRPr="00FD3C8B">
        <w:rPr>
          <w:rFonts w:asciiTheme="majorBidi" w:hAnsiTheme="majorBidi" w:cstheme="majorBidi"/>
        </w:rPr>
        <w:t xml:space="preserve">, </w:t>
      </w:r>
      <w:proofErr w:type="spellStart"/>
      <w:r w:rsidRPr="00FD3C8B">
        <w:rPr>
          <w:rFonts w:asciiTheme="majorBidi" w:hAnsiTheme="majorBidi" w:cstheme="majorBidi"/>
        </w:rPr>
        <w:t>Nordic</w:t>
      </w:r>
      <w:proofErr w:type="spellEnd"/>
      <w:r w:rsidRPr="00FD3C8B">
        <w:rPr>
          <w:rFonts w:asciiTheme="majorBidi" w:hAnsiTheme="majorBidi" w:cstheme="majorBidi"/>
        </w:rPr>
        <w:t xml:space="preserve"> </w:t>
      </w:r>
      <w:proofErr w:type="spellStart"/>
      <w:r w:rsidRPr="00FD3C8B">
        <w:rPr>
          <w:rFonts w:asciiTheme="majorBidi" w:hAnsiTheme="majorBidi" w:cstheme="majorBidi"/>
        </w:rPr>
        <w:t>Swan</w:t>
      </w:r>
      <w:proofErr w:type="spellEnd"/>
      <w:r w:rsidRPr="00FD3C8B">
        <w:rPr>
          <w:rFonts w:asciiTheme="majorBidi" w:hAnsiTheme="majorBidi" w:cstheme="majorBidi"/>
        </w:rPr>
        <w:t xml:space="preserve">, </w:t>
      </w:r>
      <w:proofErr w:type="spellStart"/>
      <w:r w:rsidRPr="00FD3C8B">
        <w:rPr>
          <w:rFonts w:asciiTheme="majorBidi" w:hAnsiTheme="majorBidi" w:cstheme="majorBidi"/>
        </w:rPr>
        <w:t>Blue</w:t>
      </w:r>
      <w:proofErr w:type="spellEnd"/>
      <w:r w:rsidRPr="00FD3C8B">
        <w:rPr>
          <w:rFonts w:asciiTheme="majorBidi" w:hAnsiTheme="majorBidi" w:cstheme="majorBidi"/>
        </w:rPr>
        <w:t xml:space="preserve"> </w:t>
      </w:r>
      <w:proofErr w:type="spellStart"/>
      <w:r w:rsidRPr="00FD3C8B">
        <w:rPr>
          <w:rFonts w:asciiTheme="majorBidi" w:hAnsiTheme="majorBidi" w:cstheme="majorBidi"/>
        </w:rPr>
        <w:t>Angel</w:t>
      </w:r>
      <w:proofErr w:type="spellEnd"/>
      <w:r w:rsidRPr="00FD3C8B">
        <w:rPr>
          <w:rFonts w:asciiTheme="majorBidi" w:hAnsiTheme="majorBidi" w:cstheme="majorBidi"/>
        </w:rPr>
        <w:t xml:space="preserve">, </w:t>
      </w:r>
      <w:proofErr w:type="spellStart"/>
      <w:r w:rsidRPr="00FD3C8B">
        <w:rPr>
          <w:rFonts w:asciiTheme="majorBidi" w:hAnsiTheme="majorBidi" w:cstheme="majorBidi"/>
        </w:rPr>
        <w:t>El</w:t>
      </w:r>
      <w:proofErr w:type="spellEnd"/>
      <w:r w:rsidRPr="00FD3C8B">
        <w:rPr>
          <w:rFonts w:asciiTheme="majorBidi" w:hAnsiTheme="majorBidi" w:cstheme="majorBidi"/>
        </w:rPr>
        <w:t xml:space="preserve"> </w:t>
      </w:r>
      <w:proofErr w:type="spellStart"/>
      <w:r w:rsidRPr="00FD3C8B">
        <w:rPr>
          <w:rFonts w:asciiTheme="majorBidi" w:hAnsiTheme="majorBidi" w:cstheme="majorBidi"/>
        </w:rPr>
        <w:t>Distintiu</w:t>
      </w:r>
      <w:proofErr w:type="spellEnd"/>
      <w:r w:rsidRPr="00FD3C8B">
        <w:rPr>
          <w:rFonts w:asciiTheme="majorBidi" w:hAnsiTheme="majorBidi" w:cstheme="majorBidi"/>
        </w:rPr>
        <w:t xml:space="preserve">, </w:t>
      </w:r>
      <w:proofErr w:type="spellStart"/>
      <w:r w:rsidRPr="00FD3C8B">
        <w:rPr>
          <w:rFonts w:asciiTheme="majorBidi" w:hAnsiTheme="majorBidi" w:cstheme="majorBidi"/>
        </w:rPr>
        <w:t>Milieukeur</w:t>
      </w:r>
      <w:proofErr w:type="spellEnd"/>
      <w:r w:rsidRPr="00FD3C8B">
        <w:rPr>
          <w:rFonts w:asciiTheme="majorBidi" w:hAnsiTheme="majorBidi" w:cstheme="majorBidi"/>
        </w:rPr>
        <w:t xml:space="preserve">, </w:t>
      </w:r>
      <w:proofErr w:type="spellStart"/>
      <w:r w:rsidRPr="00FD3C8B">
        <w:rPr>
          <w:rFonts w:asciiTheme="majorBidi" w:hAnsiTheme="majorBidi" w:cstheme="majorBidi"/>
        </w:rPr>
        <w:t>Österreichisches</w:t>
      </w:r>
      <w:proofErr w:type="spellEnd"/>
      <w:r w:rsidRPr="00FD3C8B">
        <w:rPr>
          <w:rFonts w:asciiTheme="majorBidi" w:hAnsiTheme="majorBidi" w:cstheme="majorBidi"/>
        </w:rPr>
        <w:t xml:space="preserve"> </w:t>
      </w:r>
      <w:proofErr w:type="spellStart"/>
      <w:r w:rsidRPr="00FD3C8B">
        <w:rPr>
          <w:rFonts w:asciiTheme="majorBidi" w:hAnsiTheme="majorBidi" w:cstheme="majorBidi"/>
        </w:rPr>
        <w:t>Umweltzeichen</w:t>
      </w:r>
      <w:proofErr w:type="spellEnd"/>
      <w:r w:rsidRPr="00FD3C8B">
        <w:rPr>
          <w:rFonts w:asciiTheme="majorBidi" w:hAnsiTheme="majorBidi" w:cstheme="majorBidi"/>
        </w:rPr>
        <w:t xml:space="preserve">, NF </w:t>
      </w:r>
      <w:proofErr w:type="spellStart"/>
      <w:r w:rsidRPr="00FD3C8B">
        <w:rPr>
          <w:rFonts w:asciiTheme="majorBidi" w:hAnsiTheme="majorBidi" w:cstheme="majorBidi"/>
        </w:rPr>
        <w:t>Environnement</w:t>
      </w:r>
      <w:proofErr w:type="spellEnd"/>
      <w:r w:rsidRPr="00FD3C8B">
        <w:rPr>
          <w:rFonts w:asciiTheme="majorBidi" w:hAnsiTheme="majorBidi" w:cstheme="majorBidi"/>
        </w:rPr>
        <w:t xml:space="preserve">, </w:t>
      </w:r>
      <w:proofErr w:type="spellStart"/>
      <w:r w:rsidRPr="00FD3C8B">
        <w:rPr>
          <w:rFonts w:asciiTheme="majorBidi" w:hAnsiTheme="majorBidi" w:cstheme="majorBidi"/>
        </w:rPr>
        <w:t>The</w:t>
      </w:r>
      <w:proofErr w:type="spellEnd"/>
      <w:r w:rsidRPr="00FD3C8B">
        <w:rPr>
          <w:rFonts w:asciiTheme="majorBidi" w:hAnsiTheme="majorBidi" w:cstheme="majorBidi"/>
        </w:rPr>
        <w:t xml:space="preserve"> </w:t>
      </w:r>
      <w:proofErr w:type="spellStart"/>
      <w:r w:rsidRPr="00FD3C8B">
        <w:rPr>
          <w:rFonts w:asciiTheme="majorBidi" w:hAnsiTheme="majorBidi" w:cstheme="majorBidi"/>
        </w:rPr>
        <w:t>Hungarian</w:t>
      </w:r>
      <w:proofErr w:type="spellEnd"/>
      <w:r w:rsidRPr="00FD3C8B">
        <w:rPr>
          <w:rFonts w:asciiTheme="majorBidi" w:hAnsiTheme="majorBidi" w:cstheme="majorBidi"/>
        </w:rPr>
        <w:t xml:space="preserve"> </w:t>
      </w:r>
      <w:proofErr w:type="spellStart"/>
      <w:r w:rsidRPr="00FD3C8B">
        <w:rPr>
          <w:rFonts w:asciiTheme="majorBidi" w:hAnsiTheme="majorBidi" w:cstheme="majorBidi"/>
        </w:rPr>
        <w:t>Eco-label</w:t>
      </w:r>
      <w:proofErr w:type="spellEnd"/>
      <w:r w:rsidRPr="00FD3C8B">
        <w:rPr>
          <w:rFonts w:asciiTheme="majorBidi" w:hAnsiTheme="majorBidi" w:cstheme="majorBidi"/>
        </w:rPr>
        <w:t xml:space="preserve">, </w:t>
      </w:r>
      <w:proofErr w:type="spellStart"/>
      <w:r w:rsidRPr="00FD3C8B">
        <w:rPr>
          <w:rFonts w:asciiTheme="majorBidi" w:hAnsiTheme="majorBidi" w:cstheme="majorBidi"/>
        </w:rPr>
        <w:t>Polish</w:t>
      </w:r>
      <w:proofErr w:type="spellEnd"/>
      <w:r w:rsidRPr="00FD3C8B">
        <w:rPr>
          <w:rFonts w:asciiTheme="majorBidi" w:hAnsiTheme="majorBidi" w:cstheme="majorBidi"/>
        </w:rPr>
        <w:t xml:space="preserve"> </w:t>
      </w:r>
      <w:proofErr w:type="spellStart"/>
      <w:r w:rsidRPr="00FD3C8B">
        <w:rPr>
          <w:rFonts w:asciiTheme="majorBidi" w:hAnsiTheme="majorBidi" w:cstheme="majorBidi"/>
        </w:rPr>
        <w:t>Eco</w:t>
      </w:r>
      <w:proofErr w:type="spellEnd"/>
      <w:r w:rsidRPr="00FD3C8B">
        <w:rPr>
          <w:rFonts w:asciiTheme="majorBidi" w:hAnsiTheme="majorBidi" w:cstheme="majorBidi"/>
        </w:rPr>
        <w:t xml:space="preserve"> Mark-</w:t>
      </w:r>
      <w:proofErr w:type="spellStart"/>
      <w:r w:rsidRPr="00FD3C8B">
        <w:rPr>
          <w:rFonts w:asciiTheme="majorBidi" w:hAnsiTheme="majorBidi" w:cstheme="majorBidi"/>
        </w:rPr>
        <w:t>Znak</w:t>
      </w:r>
      <w:proofErr w:type="spellEnd"/>
      <w:r w:rsidRPr="00FD3C8B">
        <w:rPr>
          <w:rFonts w:asciiTheme="majorBidi" w:hAnsiTheme="majorBidi" w:cstheme="majorBidi"/>
        </w:rPr>
        <w:t xml:space="preserve"> EKO arba kitu I tipo ekologiniu ženklu).</w:t>
      </w:r>
    </w:p>
    <w:p w14:paraId="5EE95F36"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ab/>
        <w:t xml:space="preserve">Atitiktį žaliojo pirkimo reikalavimams įrodantys dokumentai. </w:t>
      </w:r>
    </w:p>
    <w:p w14:paraId="39F67821"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 xml:space="preserve">Nepriklausomos šalies išduotas sertifikatas, I tipo ekologinio ženklo sertifikatas ar kitas lygiavertis dokumentas, kuriuo įrodoma atitiktis taikomiems standartams. </w:t>
      </w:r>
    </w:p>
    <w:p w14:paraId="3F6B57D7"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 xml:space="preserve"> </w:t>
      </w:r>
    </w:p>
    <w:p w14:paraId="1415A262"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 xml:space="preserve">2. Perkamam produktui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 </w:t>
      </w:r>
    </w:p>
    <w:p w14:paraId="1D0343D3" w14:textId="77777777" w:rsidR="00705AA5" w:rsidRPr="00FD3C8B" w:rsidRDefault="00705AA5" w:rsidP="00705AA5">
      <w:pPr>
        <w:pStyle w:val="Betarp"/>
        <w:ind w:firstLine="1296"/>
        <w:jc w:val="both"/>
        <w:rPr>
          <w:rFonts w:asciiTheme="majorBidi" w:hAnsiTheme="majorBidi" w:cstheme="majorBidi"/>
        </w:rPr>
      </w:pPr>
      <w:r w:rsidRPr="00FD3C8B">
        <w:rPr>
          <w:rFonts w:asciiTheme="majorBidi" w:hAnsiTheme="majorBidi" w:cstheme="majorBidi"/>
        </w:rPr>
        <w:t xml:space="preserve">Atitiktį žaliojo pirkimo reikalavimams įrodantys dokumentai. </w:t>
      </w:r>
    </w:p>
    <w:p w14:paraId="214DAE4D"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Nepriklausomos šalies išduotas sertifikatas ar kitas lygiavertis dokumentas, kuriuo įrodoma atitiktis taikomiems standartams.</w:t>
      </w:r>
    </w:p>
    <w:p w14:paraId="3C247FBD"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Kiti lygiaverčiai aplinkos apsaugos vadybos užtikrinimo priemonių įrodymai gali būti tiekėjo taikomų aplinkos apsaugos vadybos priemonių aprašymas, atitinkantis visus šiuos reikalavimus:</w:t>
      </w:r>
    </w:p>
    <w:p w14:paraId="5F453F3D"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2.1 . Apibrėžta įmonės ar įstaigos vadovybės patvirtinta aplinkos apsaugos politika ir atitiktis aplinkos apsaugos reikalavimams teikiant paslaugas ir vykdant darbus.</w:t>
      </w:r>
    </w:p>
    <w:p w14:paraId="7E97EF3B"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 xml:space="preserve">2.2 Nustatyti reikšmingiausi aplinkos apsaugos aspektai, kuriems poveikį daro arba gali daryti įmonės ar įstaigos vykdoma veikla, ir šiuos aplinkos apsaugos aspektus reglamentuojantys teisės aktai. </w:t>
      </w:r>
    </w:p>
    <w:p w14:paraId="25C1B61A"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2.3 Nustatyti aplinkosauginiai tikslai, uždaviniai ir priemonės šiems tikslams pasiekti.</w:t>
      </w:r>
    </w:p>
    <w:p w14:paraId="1373CD1A"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2.4 Numatyta aplinkosauginių tikslų įgyvendinimo stebėsena – paskirti atsakingi asmenys, nustatyta jų atsakomybė, pareigos ir priemonių įgyvendinimo terminai.</w:t>
      </w:r>
    </w:p>
    <w:p w14:paraId="5C902720"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2.5 Parengtas aplinkosauginių ir avarinių situacijų valdymo planas.</w:t>
      </w:r>
    </w:p>
    <w:p w14:paraId="2139D7CF"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2.6 Vykdoma aplinkosauginio gerinimo veiklos kontrolė (pvz., parengiamos metinės ataskaitos, kurios pateikiamos ir pristatomos įmonės vadovybei).</w:t>
      </w:r>
    </w:p>
    <w:p w14:paraId="4318EA3A" w14:textId="77777777" w:rsidR="00705AA5" w:rsidRPr="00FD3C8B" w:rsidRDefault="00705AA5" w:rsidP="00705AA5">
      <w:pPr>
        <w:pStyle w:val="Betarp"/>
        <w:jc w:val="both"/>
        <w:rPr>
          <w:rFonts w:asciiTheme="majorBidi" w:hAnsiTheme="majorBidi" w:cstheme="majorBidi"/>
        </w:rPr>
      </w:pPr>
    </w:p>
    <w:p w14:paraId="2DDE9E98"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3.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5076F9CB" w14:textId="77777777" w:rsidR="00705AA5" w:rsidRPr="00FD3C8B" w:rsidRDefault="00705AA5" w:rsidP="00705AA5">
      <w:pPr>
        <w:pStyle w:val="Betarp"/>
        <w:ind w:firstLine="1296"/>
        <w:jc w:val="both"/>
        <w:rPr>
          <w:rFonts w:asciiTheme="majorBidi" w:hAnsiTheme="majorBidi" w:cstheme="majorBidi"/>
        </w:rPr>
      </w:pPr>
      <w:r w:rsidRPr="00FD3C8B">
        <w:rPr>
          <w:rFonts w:asciiTheme="majorBidi" w:hAnsiTheme="majorBidi" w:cstheme="majorBidi"/>
        </w:rPr>
        <w:t xml:space="preserve">Atitiktį žaliojo pirkimo reikalavimams įrodantys dokumentai. </w:t>
      </w:r>
    </w:p>
    <w:p w14:paraId="7F59D302"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Nepriklausomos šalies išduotas sertifikatas ar kitas lygiavertis dokumentas, kuriuo įrodoma atitiktis taikomiems standartams.</w:t>
      </w:r>
    </w:p>
    <w:p w14:paraId="3400F401"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lastRenderedPageBreak/>
        <w:t>Kiti lygiaverčiai aplinkos apsaugos vadybos užtikrinimo priemonių įrodymai gali būti tiekėjo taikomų aplinkos apsaugos vadybos priemonių aprašymas, atitinkantis visus šiuos reikalavimus:</w:t>
      </w:r>
    </w:p>
    <w:p w14:paraId="239DA301"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3.1 . Apibrėžta įmonės ar įstaigos vadovybės patvirtinta aplinkos apsaugos politika ir atitiktis aplinkos apsaugos reikalavimams teikiant paslaugas ir vykdant darbus.</w:t>
      </w:r>
    </w:p>
    <w:p w14:paraId="718332A1"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 xml:space="preserve">3.2 Nustatyti reikšmingiausi aplinkos apsaugos aspektai, kuriems poveikį daro arba gali daryti įmonės ar įstaigos vykdoma veikla, ir šiuos aplinkos apsaugos aspektus reglamentuojantys teisės aktai. </w:t>
      </w:r>
    </w:p>
    <w:p w14:paraId="513A3F73"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3.3 Nustatyti aplinkosauginiai tikslai, uždaviniai ir priemonės šiems tikslams pasiekti.</w:t>
      </w:r>
    </w:p>
    <w:p w14:paraId="42A10D72"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3.4 Numatyta aplinkosauginių tikslų įgyvendinimo stebėsena – paskirti atsakingi asmenys, nustatyta jų atsakomybė, pareigos ir priemonių įgyvendinimo terminai.</w:t>
      </w:r>
    </w:p>
    <w:p w14:paraId="378DB31E"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3.5 Parengtas aplinkosauginių ir avarinių situacijų valdymo planas.</w:t>
      </w:r>
    </w:p>
    <w:p w14:paraId="521D6488" w14:textId="77777777" w:rsidR="00705AA5" w:rsidRPr="00FD3C8B" w:rsidRDefault="00705AA5" w:rsidP="00705AA5">
      <w:pPr>
        <w:pStyle w:val="Betarp"/>
        <w:jc w:val="both"/>
        <w:rPr>
          <w:rFonts w:asciiTheme="majorBidi" w:hAnsiTheme="majorBidi" w:cstheme="majorBidi"/>
        </w:rPr>
      </w:pPr>
      <w:r w:rsidRPr="00FD3C8B">
        <w:rPr>
          <w:rFonts w:asciiTheme="majorBidi" w:hAnsiTheme="majorBidi" w:cstheme="majorBidi"/>
        </w:rPr>
        <w:t>3.6 Vykdoma aplinkosauginio gerinimo veiklos kontrolė (pvz., parengiamos metinės ataskaitos, kurios pateikiamos ir pristatomos įmonės vadovybei).</w:t>
      </w:r>
    </w:p>
    <w:p w14:paraId="4CA69F0E" w14:textId="77777777" w:rsidR="00705AA5" w:rsidRPr="00FD3C8B" w:rsidRDefault="00705AA5" w:rsidP="00705AA5">
      <w:pPr>
        <w:pStyle w:val="Betarp"/>
        <w:jc w:val="both"/>
        <w:rPr>
          <w:rFonts w:asciiTheme="majorBidi" w:hAnsiTheme="majorBidi" w:cstheme="majorBidi"/>
        </w:rPr>
      </w:pPr>
    </w:p>
    <w:p w14:paraId="2F30BA46" w14:textId="77777777" w:rsidR="00705AA5" w:rsidRPr="00FD3C8B" w:rsidRDefault="00705AA5" w:rsidP="00705AA5">
      <w:pPr>
        <w:pStyle w:val="Betarp"/>
        <w:jc w:val="both"/>
        <w:rPr>
          <w:rFonts w:asciiTheme="majorBidi" w:hAnsiTheme="majorBidi" w:cstheme="majorBidi"/>
        </w:rPr>
      </w:pPr>
    </w:p>
    <w:p w14:paraId="7B66CF44" w14:textId="77777777" w:rsidR="00705AA5" w:rsidRPr="00FD3C8B" w:rsidRDefault="00705AA5" w:rsidP="00705AA5">
      <w:pPr>
        <w:pStyle w:val="Betarp"/>
        <w:jc w:val="both"/>
        <w:rPr>
          <w:rFonts w:asciiTheme="majorBidi" w:hAnsiTheme="majorBidi" w:cstheme="majorBidi"/>
          <w:b/>
          <w:bCs/>
        </w:rPr>
      </w:pPr>
      <w:r w:rsidRPr="00FD3C8B">
        <w:rPr>
          <w:rFonts w:asciiTheme="majorBidi" w:hAnsiTheme="majorBidi" w:cstheme="majorBidi"/>
          <w:b/>
          <w:bCs/>
        </w:rPr>
        <w:t xml:space="preserve">Pakuočių tvarkymo kriterijai. </w:t>
      </w:r>
    </w:p>
    <w:p w14:paraId="322A5A9E" w14:textId="77777777" w:rsidR="00705AA5" w:rsidRPr="00FD3C8B" w:rsidRDefault="00705AA5" w:rsidP="00705AA5">
      <w:pPr>
        <w:pStyle w:val="Betarp"/>
        <w:jc w:val="both"/>
        <w:rPr>
          <w:rFonts w:asciiTheme="majorBidi" w:hAnsiTheme="majorBidi" w:cstheme="majorBidi"/>
        </w:rPr>
      </w:pPr>
    </w:p>
    <w:p w14:paraId="1DE31D11" w14:textId="77777777" w:rsidR="00705AA5" w:rsidRPr="00FD3C8B" w:rsidRDefault="00705AA5" w:rsidP="00705AA5">
      <w:pPr>
        <w:pStyle w:val="Betarp"/>
        <w:ind w:firstLine="1296"/>
        <w:jc w:val="both"/>
        <w:rPr>
          <w:rFonts w:asciiTheme="majorBidi" w:hAnsiTheme="majorBidi" w:cstheme="majorBidi"/>
        </w:rPr>
      </w:pPr>
      <w:r w:rsidRPr="00FD3C8B">
        <w:rPr>
          <w:rFonts w:asciiTheme="majorBidi" w:hAnsiTheme="majorBidi" w:cstheme="majorBidi"/>
        </w:rPr>
        <w:t>Pakuotės turi būti perdirbamosiomis pakuotėmis pagal Lietuvos Respublikos mokesčio už aplinkos teršimą įstatymo nuostatas.</w:t>
      </w:r>
    </w:p>
    <w:p w14:paraId="2CDEDB76" w14:textId="77777777" w:rsidR="00705AA5" w:rsidRPr="00FD3C8B" w:rsidRDefault="00705AA5" w:rsidP="00705AA5">
      <w:pPr>
        <w:pStyle w:val="Betarp"/>
        <w:ind w:firstLine="1296"/>
        <w:jc w:val="both"/>
        <w:rPr>
          <w:rFonts w:asciiTheme="majorBidi" w:hAnsiTheme="majorBidi" w:cstheme="majorBidi"/>
        </w:rPr>
      </w:pPr>
      <w:r w:rsidRPr="00FD3C8B">
        <w:rPr>
          <w:rFonts w:asciiTheme="majorBidi" w:hAnsiTheme="majorBidi" w:cstheme="majorBidi"/>
        </w:rPr>
        <w:t>Atitiktį reikalavimams įrodantys dokumentai: tiekėjo ar gamintojo dokumentai, įrodantys, kad pakuotės yra atitinkamai paženklintos, arba atitinka standarto LST EN 13432, arba lygiaverčio reikalavimams.</w:t>
      </w:r>
    </w:p>
    <w:p w14:paraId="3B66BAB9" w14:textId="1DB06878" w:rsidR="00F239F9" w:rsidRPr="004E428A" w:rsidRDefault="00F239F9" w:rsidP="00F239F9">
      <w:pPr>
        <w:pageBreakBefore/>
        <w:ind w:firstLine="1080"/>
        <w:jc w:val="center"/>
        <w:rPr>
          <w:b/>
          <w:lang w:val="en-BB"/>
        </w:rPr>
      </w:pPr>
      <w:r>
        <w:rPr>
          <w:b/>
        </w:rPr>
        <w:lastRenderedPageBreak/>
        <w:t>UŽDAROJI AKCINĖ BENDROVĖ  „AUKŠTAITIJOS VANDENYS</w:t>
      </w:r>
      <w:r w:rsidR="004E428A">
        <w:rPr>
          <w:b/>
          <w:lang w:val="en-BB"/>
        </w:rPr>
        <w:t>”</w:t>
      </w:r>
    </w:p>
    <w:p w14:paraId="6F162950" w14:textId="77777777" w:rsidR="00F239F9" w:rsidRDefault="00F239F9" w:rsidP="00F239F9">
      <w:pPr>
        <w:ind w:firstLine="1080"/>
        <w:jc w:val="center"/>
        <w:rPr>
          <w:b/>
        </w:rPr>
      </w:pPr>
      <w:r>
        <w:rPr>
          <w:b/>
        </w:rPr>
        <w:t>Įmonės kodas 147104754</w:t>
      </w:r>
    </w:p>
    <w:p w14:paraId="403BE7A9" w14:textId="77777777" w:rsidR="00F239F9" w:rsidRDefault="00F239F9" w:rsidP="00F239F9">
      <w:pPr>
        <w:rPr>
          <w:b/>
        </w:rPr>
      </w:pPr>
    </w:p>
    <w:p w14:paraId="544A46FC" w14:textId="0D9162AD" w:rsidR="00F239F9" w:rsidRDefault="00F239F9" w:rsidP="004B2A5C">
      <w:r>
        <w:t xml:space="preserve">                                  </w:t>
      </w:r>
      <w:r>
        <w:rPr>
          <w:b/>
          <w:sz w:val="32"/>
          <w:szCs w:val="32"/>
        </w:rPr>
        <w:t>TECHNINĖ SPECIFIKACIJA</w:t>
      </w:r>
    </w:p>
    <w:p w14:paraId="130FEB3F" w14:textId="77777777" w:rsidR="008529B5" w:rsidRDefault="008529B5" w:rsidP="00F239F9">
      <w:pPr>
        <w:jc w:val="both"/>
      </w:pPr>
    </w:p>
    <w:p w14:paraId="1EFCC732" w14:textId="77777777" w:rsidR="00F239F9" w:rsidRDefault="00F239F9" w:rsidP="00F239F9">
      <w:pPr>
        <w:jc w:val="both"/>
      </w:pPr>
    </w:p>
    <w:p w14:paraId="10039601" w14:textId="6A6B5668" w:rsidR="004E428A" w:rsidRPr="00796318" w:rsidRDefault="00CA3DB9" w:rsidP="00961781">
      <w:pPr>
        <w:jc w:val="both"/>
        <w:rPr>
          <w:rFonts w:eastAsia="TimesNewRomanPSMT"/>
        </w:rPr>
      </w:pPr>
      <w:r>
        <w:rPr>
          <w:rFonts w:eastAsia="TimesNewRomanPSMT"/>
          <w:lang w:val="en-US"/>
        </w:rPr>
        <w:t xml:space="preserve">                 </w:t>
      </w:r>
      <w:r w:rsidR="00796318" w:rsidRPr="00E816AE">
        <w:rPr>
          <w:rFonts w:eastAsia="TimesNewRomanPSMT"/>
        </w:rPr>
        <w:t>K</w:t>
      </w:r>
      <w:r w:rsidR="004E428A" w:rsidRPr="00E816AE">
        <w:rPr>
          <w:rFonts w:eastAsia="TimesNewRomanPSMT"/>
        </w:rPr>
        <w:t>elio</w:t>
      </w:r>
      <w:r w:rsidR="004E428A" w:rsidRPr="00796318">
        <w:rPr>
          <w:rFonts w:eastAsia="TimesNewRomanPSMT"/>
        </w:rPr>
        <w:t xml:space="preserve">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9"/>
        <w:gridCol w:w="2338"/>
        <w:gridCol w:w="2569"/>
        <w:gridCol w:w="2108"/>
      </w:tblGrid>
      <w:tr w:rsidR="004E428A" w14:paraId="74D2E286" w14:textId="77777777" w:rsidTr="00A42924">
        <w:tc>
          <w:tcPr>
            <w:tcW w:w="2619" w:type="dxa"/>
          </w:tcPr>
          <w:p w14:paraId="749E4F85" w14:textId="77777777" w:rsidR="004E428A" w:rsidRDefault="004E428A" w:rsidP="00A42924">
            <w:pPr>
              <w:jc w:val="both"/>
              <w:rPr>
                <w:rFonts w:eastAsia="Calibri"/>
                <w:sz w:val="22"/>
                <w:szCs w:val="22"/>
              </w:rPr>
            </w:pPr>
            <w:r>
              <w:rPr>
                <w:rFonts w:eastAsia="Calibri"/>
                <w:sz w:val="22"/>
                <w:szCs w:val="22"/>
              </w:rPr>
              <w:t>Kelio dangos konstrukcijos sluoksnis</w:t>
            </w:r>
          </w:p>
          <w:p w14:paraId="785D9321" w14:textId="77777777" w:rsidR="004E428A" w:rsidRDefault="004E428A" w:rsidP="00A42924">
            <w:pPr>
              <w:jc w:val="both"/>
              <w:rPr>
                <w:rFonts w:eastAsia="Calibri"/>
                <w:sz w:val="22"/>
                <w:szCs w:val="22"/>
              </w:rPr>
            </w:pPr>
          </w:p>
        </w:tc>
        <w:tc>
          <w:tcPr>
            <w:tcW w:w="2338" w:type="dxa"/>
          </w:tcPr>
          <w:p w14:paraId="38E255E5" w14:textId="77777777" w:rsidR="004E428A" w:rsidRDefault="004E428A" w:rsidP="00A42924">
            <w:pPr>
              <w:jc w:val="both"/>
              <w:rPr>
                <w:rFonts w:eastAsia="Calibri"/>
                <w:sz w:val="22"/>
                <w:szCs w:val="22"/>
              </w:rPr>
            </w:pPr>
            <w:r>
              <w:rPr>
                <w:rFonts w:eastAsia="Calibri"/>
                <w:sz w:val="22"/>
                <w:szCs w:val="22"/>
              </w:rPr>
              <w:t>Mažiausias užpildų ir priedų kiekis iš perdirbtų medžiagų, nepavojingų atliekų ir (ar) šalutinių gamybos produktų, proc.</w:t>
            </w:r>
          </w:p>
        </w:tc>
        <w:tc>
          <w:tcPr>
            <w:tcW w:w="2569" w:type="dxa"/>
          </w:tcPr>
          <w:p w14:paraId="5E06043D" w14:textId="77777777" w:rsidR="004E428A" w:rsidRDefault="004E428A" w:rsidP="00A42924">
            <w:pPr>
              <w:jc w:val="both"/>
              <w:rPr>
                <w:rFonts w:eastAsia="Calibri"/>
                <w:sz w:val="22"/>
                <w:szCs w:val="22"/>
              </w:rPr>
            </w:pPr>
            <w:r>
              <w:rPr>
                <w:rFonts w:eastAsia="Calibri"/>
                <w:sz w:val="22"/>
                <w:szCs w:val="22"/>
              </w:rPr>
              <w:t>Mažiausias antrinio panaudojimo užpildų ir kelių tiesimo medžiagų (kitam kelio konstrukcijos sluoksniui) kiekis, proc.</w:t>
            </w:r>
          </w:p>
        </w:tc>
        <w:tc>
          <w:tcPr>
            <w:tcW w:w="2108" w:type="dxa"/>
          </w:tcPr>
          <w:p w14:paraId="27DD6E08" w14:textId="77777777" w:rsidR="004E428A" w:rsidRDefault="004E428A" w:rsidP="00A42924">
            <w:pPr>
              <w:jc w:val="both"/>
              <w:rPr>
                <w:rFonts w:eastAsia="Calibri"/>
                <w:sz w:val="22"/>
                <w:szCs w:val="22"/>
              </w:rPr>
            </w:pPr>
            <w:r>
              <w:rPr>
                <w:rFonts w:eastAsia="Calibri"/>
                <w:sz w:val="22"/>
                <w:szCs w:val="22"/>
              </w:rPr>
              <w:t>Mažiausias pakartotinio panaudojimo užpildų ir kelių tiesimo medžiagų (tam pačiam kelio dangos konstrukcijos sluoksniui) kiekis, proc.</w:t>
            </w:r>
          </w:p>
        </w:tc>
      </w:tr>
      <w:tr w:rsidR="004E428A" w14:paraId="3BC7620F" w14:textId="77777777" w:rsidTr="00A42924">
        <w:tc>
          <w:tcPr>
            <w:tcW w:w="2619" w:type="dxa"/>
          </w:tcPr>
          <w:p w14:paraId="594922AB" w14:textId="77777777" w:rsidR="004E428A" w:rsidRDefault="004E428A" w:rsidP="00A42924">
            <w:pPr>
              <w:jc w:val="both"/>
              <w:rPr>
                <w:rFonts w:eastAsia="Calibri"/>
                <w:sz w:val="22"/>
                <w:szCs w:val="22"/>
              </w:rPr>
            </w:pPr>
            <w:r>
              <w:rPr>
                <w:rFonts w:eastAsia="Calibri"/>
                <w:sz w:val="22"/>
                <w:szCs w:val="22"/>
              </w:rPr>
              <w:t>Asfalto apatinis ir asfalto pagrindo dangos</w:t>
            </w:r>
          </w:p>
        </w:tc>
        <w:tc>
          <w:tcPr>
            <w:tcW w:w="2338" w:type="dxa"/>
            <w:vAlign w:val="center"/>
          </w:tcPr>
          <w:p w14:paraId="65C3DADA" w14:textId="77777777" w:rsidR="004E428A" w:rsidRDefault="004E428A" w:rsidP="00A42924">
            <w:pPr>
              <w:jc w:val="center"/>
              <w:rPr>
                <w:rFonts w:eastAsia="Calibri"/>
                <w:sz w:val="22"/>
                <w:szCs w:val="22"/>
              </w:rPr>
            </w:pPr>
            <w:r>
              <w:rPr>
                <w:rFonts w:eastAsia="Calibri"/>
                <w:sz w:val="22"/>
                <w:szCs w:val="22"/>
              </w:rPr>
              <w:t>0,3</w:t>
            </w:r>
          </w:p>
        </w:tc>
        <w:tc>
          <w:tcPr>
            <w:tcW w:w="2569" w:type="dxa"/>
            <w:vAlign w:val="center"/>
          </w:tcPr>
          <w:p w14:paraId="25AFCA25" w14:textId="77777777" w:rsidR="004E428A" w:rsidRDefault="004E428A" w:rsidP="00A42924">
            <w:pPr>
              <w:jc w:val="center"/>
              <w:rPr>
                <w:rFonts w:eastAsia="Calibri"/>
                <w:sz w:val="22"/>
                <w:szCs w:val="22"/>
              </w:rPr>
            </w:pPr>
            <w:r>
              <w:rPr>
                <w:rFonts w:eastAsia="Calibri"/>
                <w:sz w:val="22"/>
                <w:szCs w:val="22"/>
              </w:rPr>
              <w:t>15,0</w:t>
            </w:r>
          </w:p>
        </w:tc>
        <w:tc>
          <w:tcPr>
            <w:tcW w:w="2108" w:type="dxa"/>
            <w:vAlign w:val="center"/>
          </w:tcPr>
          <w:p w14:paraId="63EAA4F6" w14:textId="77777777" w:rsidR="004E428A" w:rsidRDefault="004E428A" w:rsidP="00A42924">
            <w:pPr>
              <w:jc w:val="center"/>
              <w:rPr>
                <w:rFonts w:eastAsia="Calibri"/>
                <w:sz w:val="22"/>
                <w:szCs w:val="22"/>
              </w:rPr>
            </w:pPr>
            <w:r>
              <w:rPr>
                <w:rFonts w:eastAsia="Calibri"/>
                <w:sz w:val="22"/>
                <w:szCs w:val="22"/>
              </w:rPr>
              <w:t>15,0</w:t>
            </w:r>
          </w:p>
        </w:tc>
      </w:tr>
      <w:tr w:rsidR="004E428A" w14:paraId="4182EB30" w14:textId="77777777" w:rsidTr="00A42924">
        <w:tc>
          <w:tcPr>
            <w:tcW w:w="2619" w:type="dxa"/>
          </w:tcPr>
          <w:p w14:paraId="6B09BA7B" w14:textId="77777777" w:rsidR="004E428A" w:rsidRDefault="004E428A" w:rsidP="00A42924">
            <w:pPr>
              <w:jc w:val="both"/>
              <w:rPr>
                <w:rFonts w:eastAsia="Calibri"/>
                <w:sz w:val="22"/>
                <w:szCs w:val="22"/>
              </w:rPr>
            </w:pPr>
            <w:r>
              <w:rPr>
                <w:rFonts w:eastAsia="Calibri"/>
                <w:sz w:val="22"/>
                <w:szCs w:val="22"/>
              </w:rPr>
              <w:t xml:space="preserve">Asfalto pagrindas  </w:t>
            </w:r>
          </w:p>
        </w:tc>
        <w:tc>
          <w:tcPr>
            <w:tcW w:w="2338" w:type="dxa"/>
            <w:vAlign w:val="center"/>
          </w:tcPr>
          <w:p w14:paraId="6F43E323" w14:textId="77777777" w:rsidR="004E428A" w:rsidRDefault="004E428A" w:rsidP="00A42924">
            <w:pPr>
              <w:jc w:val="center"/>
              <w:rPr>
                <w:rFonts w:eastAsia="Calibri"/>
                <w:sz w:val="22"/>
                <w:szCs w:val="22"/>
              </w:rPr>
            </w:pPr>
            <w:r>
              <w:rPr>
                <w:rFonts w:eastAsia="Calibri"/>
                <w:sz w:val="22"/>
                <w:szCs w:val="22"/>
              </w:rPr>
              <w:t>1,0</w:t>
            </w:r>
          </w:p>
        </w:tc>
        <w:tc>
          <w:tcPr>
            <w:tcW w:w="2569" w:type="dxa"/>
            <w:vAlign w:val="center"/>
          </w:tcPr>
          <w:p w14:paraId="1A6DA9A2" w14:textId="77777777" w:rsidR="004E428A" w:rsidRDefault="004E428A" w:rsidP="00A42924">
            <w:pPr>
              <w:jc w:val="center"/>
              <w:rPr>
                <w:rFonts w:eastAsia="Calibri"/>
                <w:sz w:val="22"/>
                <w:szCs w:val="22"/>
              </w:rPr>
            </w:pPr>
            <w:r>
              <w:rPr>
                <w:rFonts w:eastAsia="Calibri"/>
                <w:sz w:val="22"/>
                <w:szCs w:val="22"/>
              </w:rPr>
              <w:t>20,0</w:t>
            </w:r>
          </w:p>
        </w:tc>
        <w:tc>
          <w:tcPr>
            <w:tcW w:w="2108" w:type="dxa"/>
            <w:vAlign w:val="center"/>
          </w:tcPr>
          <w:p w14:paraId="7C115F53" w14:textId="77777777" w:rsidR="004E428A" w:rsidRDefault="004E428A" w:rsidP="00A42924">
            <w:pPr>
              <w:jc w:val="center"/>
              <w:rPr>
                <w:rFonts w:eastAsia="Calibri"/>
                <w:sz w:val="22"/>
                <w:szCs w:val="22"/>
              </w:rPr>
            </w:pPr>
            <w:r>
              <w:rPr>
                <w:rFonts w:eastAsia="Calibri"/>
                <w:sz w:val="22"/>
                <w:szCs w:val="22"/>
              </w:rPr>
              <w:t>20,0</w:t>
            </w:r>
          </w:p>
        </w:tc>
      </w:tr>
      <w:tr w:rsidR="004E428A" w14:paraId="6ADF462F" w14:textId="77777777" w:rsidTr="00A42924">
        <w:tc>
          <w:tcPr>
            <w:tcW w:w="2619" w:type="dxa"/>
          </w:tcPr>
          <w:p w14:paraId="568569FA" w14:textId="77777777" w:rsidR="004E428A" w:rsidRDefault="004E428A" w:rsidP="00A42924">
            <w:pPr>
              <w:jc w:val="both"/>
              <w:rPr>
                <w:rFonts w:eastAsia="Calibri"/>
                <w:sz w:val="22"/>
                <w:szCs w:val="22"/>
              </w:rPr>
            </w:pPr>
            <w:r>
              <w:rPr>
                <w:rFonts w:eastAsia="Calibri"/>
                <w:sz w:val="22"/>
                <w:szCs w:val="22"/>
              </w:rPr>
              <w:t>Pagrindas su rišikliais, šaltai regeneruotas pagrindas</w:t>
            </w:r>
          </w:p>
        </w:tc>
        <w:tc>
          <w:tcPr>
            <w:tcW w:w="2338" w:type="dxa"/>
            <w:vAlign w:val="center"/>
          </w:tcPr>
          <w:p w14:paraId="573F77FB" w14:textId="77777777" w:rsidR="004E428A" w:rsidRDefault="004E428A" w:rsidP="00A42924">
            <w:pPr>
              <w:jc w:val="center"/>
              <w:rPr>
                <w:rFonts w:eastAsia="Calibri"/>
                <w:sz w:val="22"/>
                <w:szCs w:val="22"/>
              </w:rPr>
            </w:pPr>
            <w:r>
              <w:rPr>
                <w:rFonts w:eastAsia="Calibri"/>
                <w:sz w:val="22"/>
                <w:szCs w:val="22"/>
              </w:rPr>
              <w:t>1,0</w:t>
            </w:r>
          </w:p>
        </w:tc>
        <w:tc>
          <w:tcPr>
            <w:tcW w:w="2569" w:type="dxa"/>
            <w:vAlign w:val="center"/>
          </w:tcPr>
          <w:p w14:paraId="38EAC20F" w14:textId="77777777" w:rsidR="004E428A" w:rsidRDefault="004E428A" w:rsidP="00A42924">
            <w:pPr>
              <w:jc w:val="center"/>
              <w:rPr>
                <w:rFonts w:eastAsia="Calibri"/>
                <w:sz w:val="22"/>
                <w:szCs w:val="22"/>
              </w:rPr>
            </w:pPr>
            <w:r>
              <w:rPr>
                <w:rFonts w:eastAsia="Calibri"/>
                <w:sz w:val="22"/>
                <w:szCs w:val="22"/>
              </w:rPr>
              <w:t>45,0</w:t>
            </w:r>
          </w:p>
        </w:tc>
        <w:tc>
          <w:tcPr>
            <w:tcW w:w="2108" w:type="dxa"/>
            <w:vAlign w:val="center"/>
          </w:tcPr>
          <w:p w14:paraId="2123862E" w14:textId="77777777" w:rsidR="004E428A" w:rsidRDefault="004E428A" w:rsidP="00A42924">
            <w:pPr>
              <w:jc w:val="center"/>
              <w:rPr>
                <w:rFonts w:eastAsia="Calibri"/>
                <w:sz w:val="22"/>
                <w:szCs w:val="22"/>
              </w:rPr>
            </w:pPr>
            <w:r>
              <w:rPr>
                <w:rFonts w:eastAsia="Calibri"/>
                <w:sz w:val="22"/>
                <w:szCs w:val="22"/>
              </w:rPr>
              <w:t>45,0</w:t>
            </w:r>
          </w:p>
        </w:tc>
      </w:tr>
      <w:tr w:rsidR="004E428A" w14:paraId="30D3CFED" w14:textId="77777777" w:rsidTr="00A42924">
        <w:tc>
          <w:tcPr>
            <w:tcW w:w="2619" w:type="dxa"/>
          </w:tcPr>
          <w:p w14:paraId="1294711D" w14:textId="77777777" w:rsidR="004E428A" w:rsidRDefault="004E428A" w:rsidP="00A42924">
            <w:pPr>
              <w:jc w:val="both"/>
              <w:rPr>
                <w:rFonts w:eastAsia="Calibri"/>
                <w:sz w:val="22"/>
                <w:szCs w:val="22"/>
              </w:rPr>
            </w:pPr>
            <w:r>
              <w:rPr>
                <w:rFonts w:eastAsia="Calibri"/>
                <w:sz w:val="22"/>
                <w:szCs w:val="22"/>
              </w:rPr>
              <w:t>Pagrindas be rišiklių</w:t>
            </w:r>
          </w:p>
        </w:tc>
        <w:tc>
          <w:tcPr>
            <w:tcW w:w="2338" w:type="dxa"/>
            <w:vAlign w:val="center"/>
          </w:tcPr>
          <w:p w14:paraId="63C418B6" w14:textId="77777777" w:rsidR="004E428A" w:rsidRDefault="004E428A" w:rsidP="00A42924">
            <w:pPr>
              <w:jc w:val="center"/>
              <w:rPr>
                <w:rFonts w:eastAsia="Calibri"/>
                <w:sz w:val="22"/>
                <w:szCs w:val="22"/>
              </w:rPr>
            </w:pPr>
            <w:r>
              <w:rPr>
                <w:rFonts w:eastAsia="Calibri"/>
                <w:sz w:val="22"/>
                <w:szCs w:val="22"/>
              </w:rPr>
              <w:t>20,0</w:t>
            </w:r>
          </w:p>
        </w:tc>
        <w:tc>
          <w:tcPr>
            <w:tcW w:w="2569" w:type="dxa"/>
            <w:vAlign w:val="center"/>
          </w:tcPr>
          <w:p w14:paraId="74F4DA47" w14:textId="77777777" w:rsidR="004E428A" w:rsidRDefault="004E428A" w:rsidP="00A42924">
            <w:pPr>
              <w:jc w:val="center"/>
              <w:rPr>
                <w:rFonts w:eastAsia="Calibri"/>
                <w:sz w:val="22"/>
                <w:szCs w:val="22"/>
              </w:rPr>
            </w:pPr>
            <w:r>
              <w:rPr>
                <w:rFonts w:eastAsia="Calibri"/>
                <w:sz w:val="22"/>
                <w:szCs w:val="22"/>
              </w:rPr>
              <w:t>50,0</w:t>
            </w:r>
          </w:p>
        </w:tc>
        <w:tc>
          <w:tcPr>
            <w:tcW w:w="2108" w:type="dxa"/>
            <w:vAlign w:val="center"/>
          </w:tcPr>
          <w:p w14:paraId="7066BFAA" w14:textId="77777777" w:rsidR="004E428A" w:rsidRDefault="004E428A" w:rsidP="00A42924">
            <w:pPr>
              <w:jc w:val="center"/>
              <w:rPr>
                <w:rFonts w:eastAsia="Calibri"/>
                <w:sz w:val="22"/>
                <w:szCs w:val="22"/>
              </w:rPr>
            </w:pPr>
            <w:r>
              <w:rPr>
                <w:rFonts w:eastAsia="Calibri"/>
                <w:sz w:val="22"/>
                <w:szCs w:val="22"/>
              </w:rPr>
              <w:t>50,0</w:t>
            </w:r>
          </w:p>
        </w:tc>
      </w:tr>
      <w:tr w:rsidR="004E428A" w14:paraId="1E178A66" w14:textId="77777777" w:rsidTr="00A42924">
        <w:trPr>
          <w:trHeight w:val="263"/>
        </w:trPr>
        <w:tc>
          <w:tcPr>
            <w:tcW w:w="2619" w:type="dxa"/>
          </w:tcPr>
          <w:p w14:paraId="48DC719E" w14:textId="77777777" w:rsidR="004E428A" w:rsidRDefault="004E428A" w:rsidP="00A42924">
            <w:pPr>
              <w:jc w:val="both"/>
              <w:rPr>
                <w:rFonts w:eastAsia="Calibri"/>
                <w:sz w:val="22"/>
                <w:szCs w:val="22"/>
              </w:rPr>
            </w:pPr>
            <w:r>
              <w:rPr>
                <w:rFonts w:eastAsia="Calibri"/>
                <w:sz w:val="22"/>
                <w:szCs w:val="22"/>
              </w:rPr>
              <w:t>Žemės sankasa ir pylimai</w:t>
            </w:r>
          </w:p>
        </w:tc>
        <w:tc>
          <w:tcPr>
            <w:tcW w:w="2338" w:type="dxa"/>
            <w:vAlign w:val="center"/>
          </w:tcPr>
          <w:p w14:paraId="4BFF8EEB" w14:textId="77777777" w:rsidR="004E428A" w:rsidRDefault="004E428A" w:rsidP="00A42924">
            <w:pPr>
              <w:jc w:val="center"/>
              <w:rPr>
                <w:rFonts w:eastAsia="Calibri"/>
                <w:sz w:val="22"/>
                <w:szCs w:val="22"/>
              </w:rPr>
            </w:pPr>
            <w:r>
              <w:rPr>
                <w:rFonts w:eastAsia="Calibri"/>
                <w:sz w:val="22"/>
                <w:szCs w:val="22"/>
              </w:rPr>
              <w:t>30,0</w:t>
            </w:r>
          </w:p>
        </w:tc>
        <w:tc>
          <w:tcPr>
            <w:tcW w:w="2569" w:type="dxa"/>
            <w:vAlign w:val="center"/>
          </w:tcPr>
          <w:p w14:paraId="261AA304" w14:textId="77777777" w:rsidR="004E428A" w:rsidRDefault="004E428A" w:rsidP="00A42924">
            <w:pPr>
              <w:jc w:val="center"/>
              <w:rPr>
                <w:rFonts w:eastAsia="Calibri"/>
                <w:sz w:val="22"/>
                <w:szCs w:val="22"/>
              </w:rPr>
            </w:pPr>
            <w:r>
              <w:rPr>
                <w:rFonts w:eastAsia="Calibri"/>
                <w:sz w:val="22"/>
                <w:szCs w:val="22"/>
              </w:rPr>
              <w:t>-</w:t>
            </w:r>
          </w:p>
        </w:tc>
        <w:tc>
          <w:tcPr>
            <w:tcW w:w="2108" w:type="dxa"/>
            <w:vAlign w:val="center"/>
          </w:tcPr>
          <w:p w14:paraId="66EC9B87" w14:textId="77777777" w:rsidR="004E428A" w:rsidRDefault="004E428A" w:rsidP="00A42924">
            <w:pPr>
              <w:jc w:val="center"/>
              <w:rPr>
                <w:rFonts w:eastAsia="Calibri"/>
                <w:sz w:val="22"/>
                <w:szCs w:val="22"/>
              </w:rPr>
            </w:pPr>
            <w:r>
              <w:rPr>
                <w:rFonts w:eastAsia="Calibri"/>
                <w:sz w:val="22"/>
                <w:szCs w:val="22"/>
              </w:rPr>
              <w:t>-</w:t>
            </w:r>
          </w:p>
        </w:tc>
      </w:tr>
      <w:tr w:rsidR="004E428A" w14:paraId="094BBB25" w14:textId="77777777" w:rsidTr="00A42924">
        <w:trPr>
          <w:trHeight w:val="282"/>
        </w:trPr>
        <w:tc>
          <w:tcPr>
            <w:tcW w:w="2619" w:type="dxa"/>
          </w:tcPr>
          <w:p w14:paraId="0825244E" w14:textId="77777777" w:rsidR="004E428A" w:rsidRDefault="004E428A" w:rsidP="00A42924">
            <w:pPr>
              <w:jc w:val="both"/>
              <w:rPr>
                <w:rFonts w:eastAsia="Calibri"/>
                <w:sz w:val="22"/>
                <w:szCs w:val="22"/>
              </w:rPr>
            </w:pPr>
            <w:r>
              <w:rPr>
                <w:rFonts w:eastAsia="Calibri"/>
                <w:sz w:val="22"/>
                <w:szCs w:val="22"/>
              </w:rPr>
              <w:t>Apdorota žemės sankasa</w:t>
            </w:r>
          </w:p>
        </w:tc>
        <w:tc>
          <w:tcPr>
            <w:tcW w:w="2338" w:type="dxa"/>
            <w:vAlign w:val="center"/>
          </w:tcPr>
          <w:p w14:paraId="13EE6F1F" w14:textId="77777777" w:rsidR="004E428A" w:rsidRDefault="004E428A" w:rsidP="00A42924">
            <w:pPr>
              <w:jc w:val="center"/>
              <w:rPr>
                <w:rFonts w:eastAsia="Calibri"/>
                <w:sz w:val="22"/>
                <w:szCs w:val="22"/>
              </w:rPr>
            </w:pPr>
            <w:r>
              <w:rPr>
                <w:rFonts w:eastAsia="Calibri"/>
                <w:sz w:val="22"/>
                <w:szCs w:val="22"/>
              </w:rPr>
              <w:t>3,0</w:t>
            </w:r>
          </w:p>
        </w:tc>
        <w:tc>
          <w:tcPr>
            <w:tcW w:w="2569" w:type="dxa"/>
            <w:vAlign w:val="center"/>
          </w:tcPr>
          <w:p w14:paraId="3D29C73D" w14:textId="77777777" w:rsidR="004E428A" w:rsidRDefault="004E428A" w:rsidP="00A42924">
            <w:pPr>
              <w:jc w:val="center"/>
              <w:rPr>
                <w:rFonts w:eastAsia="Calibri"/>
                <w:sz w:val="22"/>
                <w:szCs w:val="22"/>
              </w:rPr>
            </w:pPr>
            <w:r>
              <w:rPr>
                <w:rFonts w:eastAsia="Calibri"/>
                <w:sz w:val="22"/>
                <w:szCs w:val="22"/>
              </w:rPr>
              <w:t>-</w:t>
            </w:r>
          </w:p>
        </w:tc>
        <w:tc>
          <w:tcPr>
            <w:tcW w:w="2108" w:type="dxa"/>
            <w:vAlign w:val="center"/>
          </w:tcPr>
          <w:p w14:paraId="06CD33E0" w14:textId="77777777" w:rsidR="004E428A" w:rsidRDefault="004E428A" w:rsidP="00A42924">
            <w:pPr>
              <w:jc w:val="center"/>
              <w:rPr>
                <w:rFonts w:eastAsia="Calibri"/>
                <w:sz w:val="22"/>
                <w:szCs w:val="22"/>
              </w:rPr>
            </w:pPr>
            <w:r>
              <w:rPr>
                <w:rFonts w:eastAsia="Calibri"/>
                <w:sz w:val="22"/>
                <w:szCs w:val="22"/>
              </w:rPr>
              <w:t>-</w:t>
            </w:r>
          </w:p>
        </w:tc>
      </w:tr>
      <w:tr w:rsidR="004E428A" w14:paraId="5F8DAD07" w14:textId="77777777" w:rsidTr="00A42924">
        <w:tc>
          <w:tcPr>
            <w:tcW w:w="9634" w:type="dxa"/>
            <w:gridSpan w:val="4"/>
          </w:tcPr>
          <w:p w14:paraId="395738B5" w14:textId="77777777" w:rsidR="004E428A" w:rsidRDefault="004E428A" w:rsidP="00A42924">
            <w:pPr>
              <w:jc w:val="both"/>
              <w:rPr>
                <w:rFonts w:eastAsia="Calibri"/>
                <w:sz w:val="22"/>
                <w:szCs w:val="22"/>
              </w:rPr>
            </w:pPr>
            <w:r>
              <w:rPr>
                <w:rFonts w:eastAsia="Calibri"/>
                <w:sz w:val="22"/>
                <w:szCs w:val="22"/>
              </w:rPr>
              <w:t>Pastabos:</w:t>
            </w:r>
          </w:p>
          <w:p w14:paraId="191EA9A5" w14:textId="155F5B14" w:rsidR="004E428A" w:rsidRDefault="00E9790B" w:rsidP="00A42924">
            <w:pPr>
              <w:ind w:left="27" w:firstLine="716"/>
              <w:jc w:val="both"/>
              <w:rPr>
                <w:rFonts w:eastAsia="Calibri"/>
                <w:sz w:val="22"/>
                <w:szCs w:val="22"/>
              </w:rPr>
            </w:pPr>
            <w:r>
              <w:rPr>
                <w:rFonts w:eastAsia="TimesNewRomanPSMT"/>
                <w:sz w:val="22"/>
                <w:szCs w:val="22"/>
                <w:lang w:val="en-BB"/>
              </w:rPr>
              <w:t>1</w:t>
            </w:r>
            <w:r w:rsidR="004E428A">
              <w:rPr>
                <w:rFonts w:eastAsia="TimesNewRomanPSMT"/>
                <w:sz w:val="22"/>
                <w:szCs w:val="22"/>
              </w:rPr>
              <w:t>.</w:t>
            </w:r>
            <w:r w:rsidR="004E428A">
              <w:rPr>
                <w:rFonts w:eastAsia="TimesNewRomanPSMT"/>
                <w:sz w:val="22"/>
                <w:szCs w:val="22"/>
              </w:rPr>
              <w:tab/>
            </w:r>
            <w:r w:rsidR="004E428A">
              <w:rPr>
                <w:rFonts w:eastAsia="Calibri"/>
                <w:sz w:val="22"/>
                <w:szCs w:val="22"/>
              </w:rPr>
              <w:t>Esant tam tikroms aplinkybėms pakartotinio panaudojimo medžiagų arba antrinio panaudojimo medžiagų taikymas gali sukelti didesnę taršą arba sumažinti naudojimo trukmę, todėl gali būti taikomi mažesni nei lentelėje nurodyti mažiausi medžiagų kiekiai, tačiau tai turi būti pagrįsta skaičiavimais, bandymais, stebėjimais arba būvio ciklo analize</w:t>
            </w:r>
            <w:r>
              <w:rPr>
                <w:rFonts w:eastAsia="Calibri"/>
                <w:sz w:val="22"/>
                <w:szCs w:val="22"/>
                <w:lang w:val="en-BB"/>
              </w:rPr>
              <w:t>.</w:t>
            </w:r>
          </w:p>
          <w:p w14:paraId="485ED663" w14:textId="6DCF45D9" w:rsidR="004E428A" w:rsidRDefault="00E9790B" w:rsidP="00A42924">
            <w:pPr>
              <w:ind w:left="27" w:firstLine="716"/>
              <w:jc w:val="both"/>
              <w:rPr>
                <w:rFonts w:eastAsia="Calibri"/>
                <w:sz w:val="22"/>
                <w:szCs w:val="22"/>
              </w:rPr>
            </w:pPr>
            <w:r>
              <w:rPr>
                <w:rFonts w:eastAsia="TimesNewRomanPSMT"/>
                <w:sz w:val="22"/>
                <w:szCs w:val="22"/>
                <w:lang w:val="en-BB"/>
              </w:rPr>
              <w:t>2</w:t>
            </w:r>
            <w:r w:rsidR="004E428A">
              <w:rPr>
                <w:rFonts w:eastAsia="TimesNewRomanPSMT"/>
                <w:sz w:val="22"/>
                <w:szCs w:val="22"/>
              </w:rPr>
              <w:t>.</w:t>
            </w:r>
            <w:r w:rsidR="004E428A">
              <w:rPr>
                <w:rFonts w:eastAsia="TimesNewRomanPSMT"/>
                <w:sz w:val="22"/>
                <w:szCs w:val="22"/>
              </w:rPr>
              <w:tab/>
            </w:r>
            <w:r w:rsidR="004E428A">
              <w:rPr>
                <w:rFonts w:eastAsia="Calibri"/>
                <w:sz w:val="22"/>
                <w:szCs w:val="22"/>
              </w:rPr>
              <w:t xml:space="preserve">Dangos konstrukcijai įrengti naudotini medžiagų pavyzdžiai, pasirenkant: </w:t>
            </w:r>
          </w:p>
          <w:p w14:paraId="79537DAF" w14:textId="71F8ABFC" w:rsidR="004E428A" w:rsidRDefault="00E9790B" w:rsidP="00A42924">
            <w:pPr>
              <w:ind w:left="27" w:firstLine="716"/>
              <w:jc w:val="both"/>
              <w:rPr>
                <w:rFonts w:eastAsia="Calibri"/>
                <w:sz w:val="22"/>
                <w:szCs w:val="22"/>
              </w:rPr>
            </w:pPr>
            <w:r>
              <w:rPr>
                <w:rFonts w:eastAsia="Calibri"/>
                <w:sz w:val="22"/>
                <w:szCs w:val="22"/>
                <w:lang w:val="en-BB"/>
              </w:rPr>
              <w:t>2</w:t>
            </w:r>
            <w:r w:rsidR="004E428A">
              <w:rPr>
                <w:rFonts w:eastAsia="Calibri"/>
                <w:sz w:val="22"/>
                <w:szCs w:val="22"/>
              </w:rPr>
              <w:t>.1.</w:t>
            </w:r>
            <w:r w:rsidR="004E428A">
              <w:rPr>
                <w:rFonts w:eastAsia="Calibri"/>
                <w:sz w:val="22"/>
                <w:szCs w:val="22"/>
              </w:rPr>
              <w:tab/>
              <w:t>medžiagos, gautos perdirbus ar kitaip panaudojus atliekas, ir kurios atitinka Atliekų tvarkymo įstatyme ir kituose teisės aktuose nustatytus kriterijus ir sąlygas dėl atliekų nebelaikymo atliekomis: padangų gumos granulės, stiklo granulės, plastikas;</w:t>
            </w:r>
          </w:p>
          <w:p w14:paraId="1309AE18" w14:textId="784ED20D" w:rsidR="004E428A" w:rsidRDefault="00E9790B" w:rsidP="00A42924">
            <w:pPr>
              <w:ind w:left="27" w:firstLine="716"/>
              <w:jc w:val="both"/>
              <w:rPr>
                <w:rFonts w:eastAsia="Calibri"/>
                <w:sz w:val="22"/>
                <w:szCs w:val="22"/>
              </w:rPr>
            </w:pPr>
            <w:r>
              <w:rPr>
                <w:rFonts w:eastAsia="Calibri"/>
                <w:sz w:val="22"/>
                <w:szCs w:val="22"/>
                <w:lang w:val="en-BB"/>
              </w:rPr>
              <w:t>2</w:t>
            </w:r>
            <w:r w:rsidR="004E428A">
              <w:rPr>
                <w:rFonts w:eastAsia="Calibri"/>
                <w:sz w:val="22"/>
                <w:szCs w:val="22"/>
              </w:rPr>
              <w:t>.2.</w:t>
            </w:r>
            <w:r w:rsidR="004E428A">
              <w:rPr>
                <w:rFonts w:eastAsia="Calibri"/>
                <w:sz w:val="22"/>
                <w:szCs w:val="22"/>
              </w:rPr>
              <w:tab/>
              <w:t>statybinės atliekos, atliekų deginimo įrenginiuose susidarę nepavojingieji pelenai ir šlakas ir kt.</w:t>
            </w:r>
            <w:r>
              <w:rPr>
                <w:rFonts w:eastAsia="Calibri"/>
                <w:sz w:val="22"/>
                <w:szCs w:val="22"/>
                <w:lang w:val="en-BB"/>
              </w:rPr>
              <w:t>;</w:t>
            </w:r>
            <w:r w:rsidR="004E428A">
              <w:rPr>
                <w:rFonts w:eastAsia="Calibri"/>
                <w:sz w:val="22"/>
                <w:szCs w:val="22"/>
              </w:rPr>
              <w:t xml:space="preserve"> </w:t>
            </w:r>
          </w:p>
          <w:p w14:paraId="75688A95" w14:textId="0312B083" w:rsidR="004E428A" w:rsidRDefault="00E9790B" w:rsidP="00A42924">
            <w:pPr>
              <w:ind w:left="27" w:firstLine="716"/>
              <w:jc w:val="both"/>
              <w:rPr>
                <w:rFonts w:eastAsia="Calibri"/>
                <w:sz w:val="22"/>
                <w:szCs w:val="22"/>
              </w:rPr>
            </w:pPr>
            <w:r>
              <w:rPr>
                <w:rFonts w:eastAsia="Calibri"/>
                <w:sz w:val="22"/>
                <w:szCs w:val="22"/>
                <w:lang w:val="en-BB"/>
              </w:rPr>
              <w:t>2</w:t>
            </w:r>
            <w:r w:rsidR="004E428A">
              <w:rPr>
                <w:rFonts w:eastAsia="Calibri"/>
                <w:sz w:val="22"/>
                <w:szCs w:val="22"/>
              </w:rPr>
              <w:t>.3.</w:t>
            </w:r>
            <w:r w:rsidR="004E428A">
              <w:rPr>
                <w:rFonts w:eastAsia="Calibri"/>
                <w:sz w:val="22"/>
                <w:szCs w:val="22"/>
              </w:rPr>
              <w:tab/>
              <w:t>šalutinius gamybos produktus, atitinkančius aplinkos ministro 2012 m. sausio 17 d. įsakymu Nr. D1-46/4-63 „Dėl Gamybos liekanų priskyrimo prie šalutinių produktų tvarkos aprašo patvirtinimo</w:t>
            </w:r>
            <w:r>
              <w:rPr>
                <w:rFonts w:eastAsia="Calibri"/>
                <w:sz w:val="22"/>
                <w:szCs w:val="22"/>
                <w:lang w:val="en-US"/>
              </w:rPr>
              <w:t>”</w:t>
            </w:r>
            <w:r w:rsidR="004E428A">
              <w:rPr>
                <w:rFonts w:eastAsia="Calibri"/>
                <w:sz w:val="22"/>
                <w:szCs w:val="22"/>
              </w:rPr>
              <w:t xml:space="preserve"> produktus: betonas, medienos plaušas ir kt.;</w:t>
            </w:r>
          </w:p>
          <w:p w14:paraId="46997B5A" w14:textId="47C651D3" w:rsidR="004E428A" w:rsidRDefault="00E9790B" w:rsidP="00A42924">
            <w:pPr>
              <w:ind w:left="27" w:firstLine="716"/>
              <w:jc w:val="both"/>
              <w:rPr>
                <w:rFonts w:eastAsia="Calibri"/>
                <w:sz w:val="22"/>
                <w:szCs w:val="22"/>
              </w:rPr>
            </w:pPr>
            <w:r>
              <w:rPr>
                <w:rFonts w:eastAsia="Calibri"/>
                <w:sz w:val="22"/>
                <w:szCs w:val="22"/>
              </w:rPr>
              <w:t>2</w:t>
            </w:r>
            <w:r w:rsidR="004E428A">
              <w:rPr>
                <w:rFonts w:eastAsia="Calibri"/>
                <w:sz w:val="22"/>
                <w:szCs w:val="22"/>
              </w:rPr>
              <w:t>.4.</w:t>
            </w:r>
            <w:r w:rsidR="004E428A">
              <w:rPr>
                <w:rFonts w:eastAsia="Calibri"/>
                <w:sz w:val="22"/>
                <w:szCs w:val="22"/>
              </w:rPr>
              <w:tab/>
              <w:t xml:space="preserve">antrinio panaudojimo užpildus ir kelių tiesimo medžiagas (angl. </w:t>
            </w:r>
            <w:proofErr w:type="spellStart"/>
            <w:r w:rsidR="004E428A">
              <w:rPr>
                <w:rFonts w:eastAsia="Calibri"/>
                <w:i/>
                <w:iCs/>
                <w:sz w:val="22"/>
                <w:szCs w:val="22"/>
              </w:rPr>
              <w:t>recycling</w:t>
            </w:r>
            <w:proofErr w:type="spellEnd"/>
            <w:r w:rsidR="004E428A">
              <w:rPr>
                <w:rFonts w:eastAsia="Calibri"/>
                <w:sz w:val="22"/>
                <w:szCs w:val="22"/>
              </w:rPr>
              <w:t>): naudoto asfalto granulės, naudoti nesurištieji mišiniai ir kt. taikant šaltojo regeneravimo, karštojo regeneravimo ir kitus technologinius būdus kitam kelio dangos konstrukcijos sluoksniui;</w:t>
            </w:r>
          </w:p>
          <w:p w14:paraId="091E040A" w14:textId="47F02091" w:rsidR="004E428A" w:rsidRDefault="00E9790B" w:rsidP="00A42924">
            <w:pPr>
              <w:ind w:left="27" w:firstLine="716"/>
              <w:jc w:val="both"/>
              <w:rPr>
                <w:rFonts w:eastAsia="Calibri"/>
                <w:sz w:val="22"/>
                <w:szCs w:val="22"/>
              </w:rPr>
            </w:pPr>
            <w:r>
              <w:rPr>
                <w:rFonts w:eastAsia="Calibri"/>
                <w:sz w:val="22"/>
                <w:szCs w:val="22"/>
              </w:rPr>
              <w:t>2</w:t>
            </w:r>
            <w:r w:rsidR="004E428A">
              <w:rPr>
                <w:rFonts w:eastAsia="Calibri"/>
                <w:sz w:val="22"/>
                <w:szCs w:val="22"/>
              </w:rPr>
              <w:t>.5.</w:t>
            </w:r>
            <w:r w:rsidR="004E428A">
              <w:rPr>
                <w:rFonts w:eastAsia="Calibri"/>
                <w:sz w:val="22"/>
                <w:szCs w:val="22"/>
              </w:rPr>
              <w:tab/>
              <w:t xml:space="preserve">pakartotinio panaudojimo užpildus ir kelių tiesimo medžiagas (angl. </w:t>
            </w:r>
            <w:proofErr w:type="spellStart"/>
            <w:r w:rsidR="004E428A">
              <w:rPr>
                <w:rFonts w:eastAsia="Calibri"/>
                <w:i/>
                <w:iCs/>
                <w:sz w:val="22"/>
                <w:szCs w:val="22"/>
              </w:rPr>
              <w:t>re-use</w:t>
            </w:r>
            <w:proofErr w:type="spellEnd"/>
            <w:r w:rsidR="004E428A">
              <w:rPr>
                <w:rFonts w:eastAsia="Calibri"/>
                <w:sz w:val="22"/>
                <w:szCs w:val="22"/>
              </w:rPr>
              <w:t>): naudoto asfalto granulės, naudoti nesurištieji mišiniai ir kt. taikant šaltojo regeneravimo, karštojo regeneravimo ir kitus technologinius būdus tam pačiam kelio konstrukcijos sluoksniui.</w:t>
            </w:r>
          </w:p>
        </w:tc>
      </w:tr>
    </w:tbl>
    <w:p w14:paraId="5933C4A0" w14:textId="77777777" w:rsidR="004E428A" w:rsidRDefault="004E428A" w:rsidP="004E428A">
      <w:pPr>
        <w:jc w:val="both"/>
        <w:rPr>
          <w:rFonts w:eastAsia="TimesNewRomanPSMT"/>
        </w:rPr>
      </w:pPr>
    </w:p>
    <w:p w14:paraId="2DE5A75A" w14:textId="77777777" w:rsidR="00F40D82" w:rsidRDefault="00F40D82" w:rsidP="00F40D82">
      <w:pPr>
        <w:jc w:val="both"/>
        <w:rPr>
          <w:rFonts w:eastAsia="TimesNewRomanPSMT"/>
        </w:rPr>
      </w:pPr>
      <w:r w:rsidRPr="000552B5">
        <w:rPr>
          <w:rFonts w:eastAsia="TimesNewRomanPSMT"/>
          <w:b/>
          <w:bCs/>
        </w:rPr>
        <w:lastRenderedPageBreak/>
        <w:t>Pastaba.</w:t>
      </w:r>
      <w:r>
        <w:rPr>
          <w:rFonts w:eastAsia="TimesNewRomanPSMT"/>
        </w:rPr>
        <w:t xml:space="preserve"> Prieš klojant asfalto dangą, patikrinti pagrindų sutankinimą (atlikti jų dinaminį bandymą ir pateikti bandymo rezultatus). Sutankinimo deformacijos modulis E</w:t>
      </w:r>
      <w:r>
        <w:rPr>
          <w:rFonts w:eastAsia="TimesNewRomanPSMT"/>
          <w:sz w:val="16"/>
          <w:szCs w:val="16"/>
        </w:rPr>
        <w:t xml:space="preserve">v2 </w:t>
      </w:r>
      <w:r>
        <w:rPr>
          <w:rFonts w:eastAsia="TimesNewRomanPSMT"/>
        </w:rPr>
        <w:t xml:space="preserve">ar </w:t>
      </w:r>
      <w:proofErr w:type="spellStart"/>
      <w:r>
        <w:rPr>
          <w:rFonts w:eastAsia="TimesNewRomanPSMT"/>
        </w:rPr>
        <w:t>E</w:t>
      </w:r>
      <w:r>
        <w:rPr>
          <w:rFonts w:eastAsia="TimesNewRomanPSMT"/>
          <w:sz w:val="16"/>
          <w:szCs w:val="16"/>
        </w:rPr>
        <w:t>vd</w:t>
      </w:r>
      <w:proofErr w:type="spellEnd"/>
      <w:r>
        <w:rPr>
          <w:rFonts w:eastAsia="TimesNewRomanPSMT"/>
        </w:rPr>
        <w:t xml:space="preserve"> turi atitikti kelio ar gatvės dangai keliamus reikalavimus.   </w:t>
      </w:r>
    </w:p>
    <w:p w14:paraId="399EDC27" w14:textId="77777777" w:rsidR="00F40D82" w:rsidRDefault="00F40D82" w:rsidP="004E428A">
      <w:pPr>
        <w:jc w:val="both"/>
        <w:rPr>
          <w:rFonts w:eastAsia="TimesNewRomanPSMT"/>
        </w:rPr>
      </w:pPr>
    </w:p>
    <w:p w14:paraId="06112351" w14:textId="128131A4" w:rsidR="00C76B91" w:rsidRDefault="008B19D5" w:rsidP="004B2A5C">
      <w:pPr>
        <w:suppressAutoHyphens w:val="0"/>
        <w:spacing w:before="100" w:beforeAutospacing="1" w:after="100" w:afterAutospacing="1" w:line="276" w:lineRule="auto"/>
        <w:jc w:val="both"/>
      </w:pPr>
      <w:r w:rsidRPr="008B19D5">
        <w:rPr>
          <w:b/>
          <w:bCs/>
          <w:lang w:eastAsia="lt-LT"/>
        </w:rPr>
        <w:t>Medžiagoms įvertinti pateikite įrodančius dokumentus (sertifikatai ir pan.)</w:t>
      </w:r>
    </w:p>
    <w:sectPr w:rsidR="00C76B9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B6F4B"/>
    <w:multiLevelType w:val="hybridMultilevel"/>
    <w:tmpl w:val="106A01AE"/>
    <w:lvl w:ilvl="0" w:tplc="D4545B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2F0C1A89"/>
    <w:multiLevelType w:val="hybridMultilevel"/>
    <w:tmpl w:val="E13C4508"/>
    <w:lvl w:ilvl="0" w:tplc="3FAC018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2F586D87"/>
    <w:multiLevelType w:val="hybridMultilevel"/>
    <w:tmpl w:val="3C3C59B6"/>
    <w:lvl w:ilvl="0" w:tplc="04270001">
      <w:start w:val="1"/>
      <w:numFmt w:val="bullet"/>
      <w:lvlText w:val=""/>
      <w:lvlJc w:val="left"/>
      <w:pPr>
        <w:ind w:left="6720" w:hanging="360"/>
      </w:pPr>
      <w:rPr>
        <w:rFonts w:ascii="Symbol" w:hAnsi="Symbol" w:hint="default"/>
      </w:rPr>
    </w:lvl>
    <w:lvl w:ilvl="1" w:tplc="04270003" w:tentative="1">
      <w:start w:val="1"/>
      <w:numFmt w:val="bullet"/>
      <w:lvlText w:val="o"/>
      <w:lvlJc w:val="left"/>
      <w:pPr>
        <w:ind w:left="7440" w:hanging="360"/>
      </w:pPr>
      <w:rPr>
        <w:rFonts w:ascii="Courier New" w:hAnsi="Courier New" w:cs="Courier New" w:hint="default"/>
      </w:rPr>
    </w:lvl>
    <w:lvl w:ilvl="2" w:tplc="04270005" w:tentative="1">
      <w:start w:val="1"/>
      <w:numFmt w:val="bullet"/>
      <w:lvlText w:val=""/>
      <w:lvlJc w:val="left"/>
      <w:pPr>
        <w:ind w:left="8160" w:hanging="360"/>
      </w:pPr>
      <w:rPr>
        <w:rFonts w:ascii="Wingdings" w:hAnsi="Wingdings" w:hint="default"/>
      </w:rPr>
    </w:lvl>
    <w:lvl w:ilvl="3" w:tplc="04270001" w:tentative="1">
      <w:start w:val="1"/>
      <w:numFmt w:val="bullet"/>
      <w:lvlText w:val=""/>
      <w:lvlJc w:val="left"/>
      <w:pPr>
        <w:ind w:left="8880" w:hanging="360"/>
      </w:pPr>
      <w:rPr>
        <w:rFonts w:ascii="Symbol" w:hAnsi="Symbol" w:hint="default"/>
      </w:rPr>
    </w:lvl>
    <w:lvl w:ilvl="4" w:tplc="04270003" w:tentative="1">
      <w:start w:val="1"/>
      <w:numFmt w:val="bullet"/>
      <w:lvlText w:val="o"/>
      <w:lvlJc w:val="left"/>
      <w:pPr>
        <w:ind w:left="9600" w:hanging="360"/>
      </w:pPr>
      <w:rPr>
        <w:rFonts w:ascii="Courier New" w:hAnsi="Courier New" w:cs="Courier New" w:hint="default"/>
      </w:rPr>
    </w:lvl>
    <w:lvl w:ilvl="5" w:tplc="04270005" w:tentative="1">
      <w:start w:val="1"/>
      <w:numFmt w:val="bullet"/>
      <w:lvlText w:val=""/>
      <w:lvlJc w:val="left"/>
      <w:pPr>
        <w:ind w:left="10320" w:hanging="360"/>
      </w:pPr>
      <w:rPr>
        <w:rFonts w:ascii="Wingdings" w:hAnsi="Wingdings" w:hint="default"/>
      </w:rPr>
    </w:lvl>
    <w:lvl w:ilvl="6" w:tplc="04270001" w:tentative="1">
      <w:start w:val="1"/>
      <w:numFmt w:val="bullet"/>
      <w:lvlText w:val=""/>
      <w:lvlJc w:val="left"/>
      <w:pPr>
        <w:ind w:left="11040" w:hanging="360"/>
      </w:pPr>
      <w:rPr>
        <w:rFonts w:ascii="Symbol" w:hAnsi="Symbol" w:hint="default"/>
      </w:rPr>
    </w:lvl>
    <w:lvl w:ilvl="7" w:tplc="04270003" w:tentative="1">
      <w:start w:val="1"/>
      <w:numFmt w:val="bullet"/>
      <w:lvlText w:val="o"/>
      <w:lvlJc w:val="left"/>
      <w:pPr>
        <w:ind w:left="11760" w:hanging="360"/>
      </w:pPr>
      <w:rPr>
        <w:rFonts w:ascii="Courier New" w:hAnsi="Courier New" w:cs="Courier New" w:hint="default"/>
      </w:rPr>
    </w:lvl>
    <w:lvl w:ilvl="8" w:tplc="04270005" w:tentative="1">
      <w:start w:val="1"/>
      <w:numFmt w:val="bullet"/>
      <w:lvlText w:val=""/>
      <w:lvlJc w:val="left"/>
      <w:pPr>
        <w:ind w:left="12480" w:hanging="360"/>
      </w:pPr>
      <w:rPr>
        <w:rFonts w:ascii="Wingdings" w:hAnsi="Wingdings" w:hint="default"/>
      </w:rPr>
    </w:lvl>
  </w:abstractNum>
  <w:abstractNum w:abstractNumId="3" w15:restartNumberingAfterBreak="0">
    <w:nsid w:val="30A27D9A"/>
    <w:multiLevelType w:val="hybridMultilevel"/>
    <w:tmpl w:val="134C8AC0"/>
    <w:lvl w:ilvl="0" w:tplc="11EAAC7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496847399">
    <w:abstractNumId w:val="2"/>
  </w:num>
  <w:num w:numId="2" w16cid:durableId="2121341812">
    <w:abstractNumId w:val="0"/>
  </w:num>
  <w:num w:numId="3" w16cid:durableId="1142622028">
    <w:abstractNumId w:val="1"/>
  </w:num>
  <w:num w:numId="4" w16cid:durableId="1875190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39F9"/>
    <w:rsid w:val="00030689"/>
    <w:rsid w:val="00073E98"/>
    <w:rsid w:val="000C080C"/>
    <w:rsid w:val="000C0977"/>
    <w:rsid w:val="000D6139"/>
    <w:rsid w:val="0012490E"/>
    <w:rsid w:val="00140557"/>
    <w:rsid w:val="00187114"/>
    <w:rsid w:val="00201511"/>
    <w:rsid w:val="002120D9"/>
    <w:rsid w:val="002472EA"/>
    <w:rsid w:val="00322B8B"/>
    <w:rsid w:val="00356008"/>
    <w:rsid w:val="004448E2"/>
    <w:rsid w:val="00445A70"/>
    <w:rsid w:val="00447E85"/>
    <w:rsid w:val="004A011B"/>
    <w:rsid w:val="004A26DB"/>
    <w:rsid w:val="004B2A5C"/>
    <w:rsid w:val="004E428A"/>
    <w:rsid w:val="004F3B7A"/>
    <w:rsid w:val="004F5434"/>
    <w:rsid w:val="0053660A"/>
    <w:rsid w:val="00560C06"/>
    <w:rsid w:val="00641666"/>
    <w:rsid w:val="0065628A"/>
    <w:rsid w:val="006571AB"/>
    <w:rsid w:val="00667C75"/>
    <w:rsid w:val="00667F74"/>
    <w:rsid w:val="00705AA5"/>
    <w:rsid w:val="0075422D"/>
    <w:rsid w:val="00770305"/>
    <w:rsid w:val="00796318"/>
    <w:rsid w:val="007A6646"/>
    <w:rsid w:val="007D76D3"/>
    <w:rsid w:val="008529B5"/>
    <w:rsid w:val="00886823"/>
    <w:rsid w:val="008B19D5"/>
    <w:rsid w:val="008B5D8A"/>
    <w:rsid w:val="00907CD5"/>
    <w:rsid w:val="00935EFD"/>
    <w:rsid w:val="00950EE6"/>
    <w:rsid w:val="00961781"/>
    <w:rsid w:val="00963225"/>
    <w:rsid w:val="009848B9"/>
    <w:rsid w:val="0099682E"/>
    <w:rsid w:val="009C6162"/>
    <w:rsid w:val="00A56C0F"/>
    <w:rsid w:val="00A7604F"/>
    <w:rsid w:val="00AB62F5"/>
    <w:rsid w:val="00B14E35"/>
    <w:rsid w:val="00B45AE6"/>
    <w:rsid w:val="00B52ECE"/>
    <w:rsid w:val="00C219C2"/>
    <w:rsid w:val="00C241DA"/>
    <w:rsid w:val="00C5356F"/>
    <w:rsid w:val="00C76002"/>
    <w:rsid w:val="00C76B91"/>
    <w:rsid w:val="00CA3DB9"/>
    <w:rsid w:val="00CF1EC1"/>
    <w:rsid w:val="00CF350D"/>
    <w:rsid w:val="00CF45D1"/>
    <w:rsid w:val="00D64E37"/>
    <w:rsid w:val="00D84CCC"/>
    <w:rsid w:val="00DF0891"/>
    <w:rsid w:val="00E46E02"/>
    <w:rsid w:val="00E722E6"/>
    <w:rsid w:val="00E816AE"/>
    <w:rsid w:val="00E92A90"/>
    <w:rsid w:val="00E9790B"/>
    <w:rsid w:val="00EA24D5"/>
    <w:rsid w:val="00EB45D7"/>
    <w:rsid w:val="00EF349F"/>
    <w:rsid w:val="00F239F9"/>
    <w:rsid w:val="00F40D82"/>
    <w:rsid w:val="00FB6F9F"/>
    <w:rsid w:val="00FD7A73"/>
    <w:rsid w:val="00FE6F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DB5E4"/>
  <w15:chartTrackingRefBased/>
  <w15:docId w15:val="{5B71654A-4309-495C-9B96-D13E14499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39F9"/>
    <w:pPr>
      <w:suppressAutoHyphens/>
      <w:spacing w:after="0" w:line="240" w:lineRule="auto"/>
    </w:pPr>
    <w:rPr>
      <w:rFonts w:ascii="Times New Roman" w:eastAsia="Times New Roman" w:hAnsi="Times New Roman" w:cs="Times New Roman"/>
      <w:sz w:val="24"/>
      <w:szCs w:val="24"/>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20151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1511"/>
    <w:rPr>
      <w:rFonts w:ascii="Segoe UI" w:eastAsia="Times New Roman" w:hAnsi="Segoe UI" w:cs="Segoe UI"/>
      <w:sz w:val="18"/>
      <w:szCs w:val="18"/>
      <w:lang w:eastAsia="zh-CN"/>
    </w:rPr>
  </w:style>
  <w:style w:type="paragraph" w:styleId="Sraopastraipa">
    <w:name w:val="List Paragraph"/>
    <w:basedOn w:val="prastasis"/>
    <w:uiPriority w:val="34"/>
    <w:qFormat/>
    <w:rsid w:val="0012490E"/>
    <w:pPr>
      <w:ind w:left="720"/>
      <w:contextualSpacing/>
    </w:pPr>
  </w:style>
  <w:style w:type="paragraph" w:styleId="Betarp">
    <w:name w:val="No Spacing"/>
    <w:uiPriority w:val="1"/>
    <w:qFormat/>
    <w:rsid w:val="00705AA5"/>
    <w:pPr>
      <w:spacing w:after="0" w:line="240" w:lineRule="auto"/>
    </w:pPr>
    <w:rPr>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83997">
      <w:bodyDiv w:val="1"/>
      <w:marLeft w:val="0"/>
      <w:marRight w:val="0"/>
      <w:marTop w:val="0"/>
      <w:marBottom w:val="0"/>
      <w:divBdr>
        <w:top w:val="none" w:sz="0" w:space="0" w:color="auto"/>
        <w:left w:val="none" w:sz="0" w:space="0" w:color="auto"/>
        <w:bottom w:val="none" w:sz="0" w:space="0" w:color="auto"/>
        <w:right w:val="none" w:sz="0" w:space="0" w:color="auto"/>
      </w:divBdr>
      <w:divsChild>
        <w:div w:id="1327787113">
          <w:marLeft w:val="0"/>
          <w:marRight w:val="0"/>
          <w:marTop w:val="0"/>
          <w:marBottom w:val="0"/>
          <w:divBdr>
            <w:top w:val="none" w:sz="0" w:space="0" w:color="auto"/>
            <w:left w:val="none" w:sz="0" w:space="0" w:color="auto"/>
            <w:bottom w:val="none" w:sz="0" w:space="0" w:color="auto"/>
            <w:right w:val="none" w:sz="0" w:space="0" w:color="auto"/>
          </w:divBdr>
        </w:div>
        <w:div w:id="795415634">
          <w:marLeft w:val="0"/>
          <w:marRight w:val="0"/>
          <w:marTop w:val="0"/>
          <w:marBottom w:val="0"/>
          <w:divBdr>
            <w:top w:val="none" w:sz="0" w:space="0" w:color="auto"/>
            <w:left w:val="none" w:sz="0" w:space="0" w:color="auto"/>
            <w:bottom w:val="none" w:sz="0" w:space="0" w:color="auto"/>
            <w:right w:val="none" w:sz="0" w:space="0" w:color="auto"/>
          </w:divBdr>
        </w:div>
      </w:divsChild>
    </w:div>
    <w:div w:id="1559364678">
      <w:bodyDiv w:val="1"/>
      <w:marLeft w:val="0"/>
      <w:marRight w:val="0"/>
      <w:marTop w:val="0"/>
      <w:marBottom w:val="0"/>
      <w:divBdr>
        <w:top w:val="none" w:sz="0" w:space="0" w:color="auto"/>
        <w:left w:val="none" w:sz="0" w:space="0" w:color="auto"/>
        <w:bottom w:val="none" w:sz="0" w:space="0" w:color="auto"/>
        <w:right w:val="none" w:sz="0" w:space="0" w:color="auto"/>
      </w:divBdr>
      <w:divsChild>
        <w:div w:id="487524058">
          <w:marLeft w:val="0"/>
          <w:marRight w:val="0"/>
          <w:marTop w:val="0"/>
          <w:marBottom w:val="0"/>
          <w:divBdr>
            <w:top w:val="none" w:sz="0" w:space="0" w:color="auto"/>
            <w:left w:val="none" w:sz="0" w:space="0" w:color="auto"/>
            <w:bottom w:val="none" w:sz="0" w:space="0" w:color="auto"/>
            <w:right w:val="none" w:sz="0" w:space="0" w:color="auto"/>
          </w:divBdr>
        </w:div>
        <w:div w:id="18919176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1DA56-6AE5-4DF6-8E90-F43484318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7392</Words>
  <Characters>4214</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Benaitis</dc:creator>
  <cp:keywords/>
  <dc:description/>
  <cp:lastModifiedBy>Rimvydas Slapsys</cp:lastModifiedBy>
  <cp:revision>22</cp:revision>
  <cp:lastPrinted>2024-01-24T12:15:00Z</cp:lastPrinted>
  <dcterms:created xsi:type="dcterms:W3CDTF">2023-01-10T11:30:00Z</dcterms:created>
  <dcterms:modified xsi:type="dcterms:W3CDTF">2026-01-19T10:35:00Z</dcterms:modified>
</cp:coreProperties>
</file>