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Default="006B02B6" w:rsidP="00B35758">
      <w:pPr>
        <w:jc w:val="center"/>
        <w:rPr>
          <w:sz w:val="22"/>
          <w:szCs w:val="22"/>
        </w:rPr>
      </w:pPr>
      <w:r>
        <w:rPr>
          <w:sz w:val="22"/>
          <w:szCs w:val="22"/>
        </w:rPr>
        <w:t>TARPTAUTINIO VIEŠOJO KONKURSO</w:t>
      </w:r>
    </w:p>
    <w:p w:rsidR="006672BD" w:rsidRPr="007A7217" w:rsidRDefault="006672BD" w:rsidP="00B35758">
      <w:pPr>
        <w:jc w:val="center"/>
        <w:rPr>
          <w:sz w:val="22"/>
          <w:szCs w:val="22"/>
        </w:rPr>
      </w:pPr>
    </w:p>
    <w:p w:rsidR="006B02B6" w:rsidRDefault="006672BD" w:rsidP="006B02B6">
      <w:pPr>
        <w:jc w:val="center"/>
        <w:rPr>
          <w:b/>
          <w:sz w:val="22"/>
          <w:szCs w:val="22"/>
        </w:rPr>
      </w:pPr>
      <w:r w:rsidRPr="006672BD">
        <w:rPr>
          <w:b/>
          <w:sz w:val="22"/>
          <w:szCs w:val="22"/>
        </w:rPr>
        <w:t xml:space="preserve">Magnetinio rezonanso tomografijos sistema </w:t>
      </w:r>
    </w:p>
    <w:p w:rsidR="008258E0" w:rsidRDefault="008258E0" w:rsidP="006B02B6">
      <w:pPr>
        <w:jc w:val="center"/>
        <w:rPr>
          <w:b/>
          <w:sz w:val="22"/>
          <w:szCs w:val="22"/>
        </w:rPr>
      </w:pPr>
    </w:p>
    <w:p w:rsidR="00B35758" w:rsidRDefault="00B35758" w:rsidP="00B35758">
      <w:pPr>
        <w:jc w:val="center"/>
        <w:rPr>
          <w:sz w:val="22"/>
          <w:szCs w:val="22"/>
        </w:rPr>
      </w:pPr>
      <w:r w:rsidRPr="006B02B6">
        <w:rPr>
          <w:sz w:val="22"/>
          <w:szCs w:val="22"/>
        </w:rPr>
        <w:t>ATVIRO KONKURSO SĄLYGOS</w:t>
      </w:r>
    </w:p>
    <w:p w:rsidR="006672BD" w:rsidRPr="006B02B6" w:rsidRDefault="006672BD"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8258E0">
        <w:rPr>
          <w:bCs/>
          <w:sz w:val="22"/>
          <w:szCs w:val="22"/>
        </w:rPr>
        <w:t>MRT</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C53EE1">
        <w:rPr>
          <w:sz w:val="22"/>
          <w:szCs w:val="22"/>
          <w:lang w:eastAsia="lt-LT"/>
        </w:rPr>
        <w:t>;</w:t>
      </w:r>
    </w:p>
    <w:p w:rsidR="00C53EE1" w:rsidRPr="007A7217" w:rsidRDefault="00C53EE1" w:rsidP="006C16A2">
      <w:pPr>
        <w:ind w:left="-907" w:firstLine="907"/>
        <w:rPr>
          <w:sz w:val="22"/>
          <w:szCs w:val="22"/>
        </w:rPr>
      </w:pPr>
      <w:r>
        <w:rPr>
          <w:sz w:val="22"/>
          <w:szCs w:val="22"/>
          <w:lang w:eastAsia="lt-LT"/>
        </w:rPr>
        <w:t xml:space="preserve">8. </w:t>
      </w:r>
      <w:r w:rsidRPr="00C53EE1">
        <w:rPr>
          <w:sz w:val="22"/>
          <w:szCs w:val="22"/>
          <w:lang w:eastAsia="lt-LT"/>
        </w:rPr>
        <w:t>Tiekėjo deklaracija dėl Nacionalinio</w:t>
      </w:r>
      <w:r>
        <w:rPr>
          <w:sz w:val="22"/>
          <w:szCs w:val="22"/>
          <w:lang w:eastAsia="lt-LT"/>
        </w:rPr>
        <w:t xml:space="preserve">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6672BD">
        <w:rPr>
          <w:rFonts w:cs="Times New Roman"/>
          <w:b/>
          <w:color w:val="548DD4" w:themeColor="text2" w:themeTint="99"/>
          <w:sz w:val="22"/>
          <w:szCs w:val="22"/>
          <w:lang w:val="lt-LT"/>
        </w:rPr>
        <w:t>m</w:t>
      </w:r>
      <w:r w:rsidR="006672BD" w:rsidRPr="006672BD">
        <w:rPr>
          <w:rFonts w:cs="Times New Roman"/>
          <w:b/>
          <w:color w:val="548DD4" w:themeColor="text2" w:themeTint="99"/>
          <w:sz w:val="22"/>
          <w:szCs w:val="22"/>
          <w:lang w:val="lt-LT"/>
        </w:rPr>
        <w:t>agnetini</w:t>
      </w:r>
      <w:r w:rsidR="006672BD">
        <w:rPr>
          <w:rFonts w:cs="Times New Roman"/>
          <w:b/>
          <w:color w:val="548DD4" w:themeColor="text2" w:themeTint="99"/>
          <w:sz w:val="22"/>
          <w:szCs w:val="22"/>
          <w:lang w:val="lt-LT"/>
        </w:rPr>
        <w:t>o rezonanso tomografijos sistemą</w:t>
      </w:r>
      <w:r w:rsidR="006672BD" w:rsidRPr="006672BD">
        <w:rPr>
          <w:rFonts w:cs="Times New Roman"/>
          <w:b/>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4021CE">
      <w:pPr>
        <w:pStyle w:val="Body2"/>
        <w:tabs>
          <w:tab w:val="left" w:pos="709"/>
        </w:tabs>
        <w:spacing w:after="0"/>
        <w:ind w:firstLine="567"/>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4021CE" w:rsidRPr="004021CE">
        <w:rPr>
          <w:rFonts w:eastAsia="Arial Unicode MS"/>
          <w:b/>
          <w:bCs/>
          <w:color w:val="4F81BD" w:themeColor="accent1"/>
          <w:sz w:val="22"/>
          <w:szCs w:val="22"/>
          <w:bdr w:val="nil"/>
        </w:rPr>
        <w:t>magnetini</w:t>
      </w:r>
      <w:r w:rsidR="004021CE">
        <w:rPr>
          <w:rFonts w:eastAsia="Arial Unicode MS"/>
          <w:b/>
          <w:bCs/>
          <w:color w:val="4F81BD" w:themeColor="accent1"/>
          <w:sz w:val="22"/>
          <w:szCs w:val="22"/>
          <w:bdr w:val="nil"/>
        </w:rPr>
        <w:t>o rezonanso tomografijos sistema</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FA476E">
        <w:rPr>
          <w:rFonts w:eastAsia="Arial Unicode MS"/>
          <w:iCs/>
          <w:sz w:val="22"/>
          <w:szCs w:val="22"/>
          <w:bdr w:val="nil"/>
          <w:shd w:val="clear" w:color="auto" w:fill="FFFFFF"/>
        </w:rPr>
        <w:t>2026-01-12</w:t>
      </w:r>
      <w:r w:rsidR="005E6B75" w:rsidRPr="005E6B7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proofErr w:type="gramStart"/>
      <w:r w:rsidR="005E6B75" w:rsidRPr="005E6B75">
        <w:rPr>
          <w:rFonts w:eastAsia="Arial Unicode MS"/>
          <w:iCs/>
          <w:sz w:val="22"/>
          <w:szCs w:val="22"/>
          <w:bdr w:val="nil"/>
          <w:shd w:val="clear" w:color="auto" w:fill="FFFFFF"/>
        </w:rPr>
        <w:t>dėl</w:t>
      </w:r>
      <w:proofErr w:type="gramEnd"/>
      <w:r w:rsidR="005E6B75" w:rsidRPr="005E6B75">
        <w:rPr>
          <w:rFonts w:eastAsia="Arial Unicode MS"/>
          <w:iCs/>
          <w:sz w:val="22"/>
          <w:szCs w:val="22"/>
          <w:bdr w:val="nil"/>
          <w:shd w:val="clear" w:color="auto" w:fill="FFFFFF"/>
        </w:rPr>
        <w:t xml:space="preserve"> </w:t>
      </w:r>
      <w:r w:rsidR="00404E05" w:rsidRPr="00BB4113">
        <w:rPr>
          <w:rFonts w:eastAsia="Arial Unicode MS"/>
          <w:bCs/>
          <w:iCs/>
          <w:sz w:val="22"/>
          <w:szCs w:val="22"/>
          <w:bdr w:val="nil"/>
          <w:shd w:val="clear" w:color="auto" w:fill="FFFFFF"/>
        </w:rPr>
        <w:t xml:space="preserve">magnetinio rezonanso tomografijos sistemos </w:t>
      </w:r>
      <w:r w:rsidR="00132370">
        <w:rPr>
          <w:rFonts w:eastAsia="Arial Unicode MS"/>
          <w:bCs/>
          <w:iCs/>
          <w:sz w:val="22"/>
          <w:szCs w:val="22"/>
          <w:bdr w:val="nil"/>
          <w:shd w:val="clear" w:color="auto" w:fill="FFFFFF"/>
        </w:rPr>
        <w:t>pirkimo</w:t>
      </w:r>
      <w:r w:rsidRPr="00820D86">
        <w:rPr>
          <w:rFonts w:eastAsia="Arial Unicode MS"/>
          <w:sz w:val="22"/>
          <w:szCs w:val="22"/>
          <w:bdr w:val="nil"/>
          <w:shd w:val="clear" w:color="auto" w:fill="FFFFFF"/>
          <w:lang w:val="en-US"/>
        </w:rPr>
        <w:t xml:space="preserve"> (Nr. </w:t>
      </w:r>
      <w:r w:rsidR="00132370">
        <w:rPr>
          <w:rFonts w:eastAsia="Arial Unicode MS"/>
          <w:i/>
          <w:iCs/>
          <w:sz w:val="22"/>
          <w:szCs w:val="22"/>
          <w:bdr w:val="nil"/>
          <w:shd w:val="clear" w:color="auto" w:fill="FFFFFF"/>
        </w:rPr>
        <w:t>6147059</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1134F3" w:rsidRPr="001134F3" w:rsidRDefault="00AA47CC" w:rsidP="008F0355">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5D474B">
        <w:rPr>
          <w:sz w:val="22"/>
          <w:szCs w:val="22"/>
          <w:lang w:eastAsia="lt-LT"/>
        </w:rPr>
        <w:t xml:space="preserve">2.7. </w:t>
      </w:r>
      <w:r w:rsidR="008F0355" w:rsidRPr="008F0355">
        <w:rPr>
          <w:rFonts w:eastAsia="Arial Unicode MS"/>
          <w:sz w:val="22"/>
          <w:szCs w:val="22"/>
          <w:bdr w:val="nil"/>
          <w:lang w:val="en-US"/>
        </w:rPr>
        <w:t xml:space="preserve">Šis pirkimas nėra skirstomas į pirkimo </w:t>
      </w:r>
      <w:proofErr w:type="gramStart"/>
      <w:r w:rsidR="008F0355" w:rsidRPr="008F0355">
        <w:rPr>
          <w:rFonts w:eastAsia="Arial Unicode MS"/>
          <w:sz w:val="22"/>
          <w:szCs w:val="22"/>
          <w:bdr w:val="nil"/>
          <w:lang w:val="en-US"/>
        </w:rPr>
        <w:t>dalis</w:t>
      </w:r>
      <w:proofErr w:type="gramEnd"/>
      <w:r w:rsidR="008F0355" w:rsidRPr="008F0355">
        <w:rPr>
          <w:rFonts w:eastAsia="Arial Unicode MS"/>
          <w:sz w:val="22"/>
          <w:szCs w:val="22"/>
          <w:bdr w:val="nil"/>
          <w:lang w:val="en-US"/>
        </w:rPr>
        <w:t xml:space="preserve"> (viso viena pirkimo </w:t>
      </w:r>
      <w:r w:rsidR="008F0355" w:rsidRPr="003E1FFE">
        <w:rPr>
          <w:rFonts w:eastAsia="Arial Unicode MS"/>
          <w:sz w:val="22"/>
          <w:szCs w:val="22"/>
          <w:bdr w:val="nil"/>
          <w:lang w:val="en-US"/>
        </w:rPr>
        <w:t>dalis), atsižv</w:t>
      </w:r>
      <w:r w:rsidR="00A858E9" w:rsidRPr="003E1FFE">
        <w:rPr>
          <w:rFonts w:eastAsia="Arial Unicode MS"/>
          <w:sz w:val="22"/>
          <w:szCs w:val="22"/>
          <w:bdr w:val="nil"/>
          <w:lang w:val="en-US"/>
        </w:rPr>
        <w:t>el</w:t>
      </w:r>
      <w:r w:rsidR="008F0355" w:rsidRPr="003E1FFE">
        <w:rPr>
          <w:rFonts w:eastAsia="Arial Unicode MS"/>
          <w:sz w:val="22"/>
          <w:szCs w:val="22"/>
          <w:bdr w:val="nil"/>
          <w:lang w:val="en-US"/>
        </w:rPr>
        <w:t>g</w:t>
      </w:r>
      <w:r w:rsidR="00A858E9" w:rsidRPr="003E1FFE">
        <w:rPr>
          <w:rFonts w:eastAsia="Arial Unicode MS"/>
          <w:sz w:val="22"/>
          <w:szCs w:val="22"/>
          <w:bdr w:val="nil"/>
          <w:lang w:val="en-US"/>
        </w:rPr>
        <w:t>iant</w:t>
      </w:r>
      <w:r w:rsidR="008F0355" w:rsidRPr="003E1FFE">
        <w:rPr>
          <w:rFonts w:eastAsia="Arial Unicode MS"/>
          <w:sz w:val="22"/>
          <w:szCs w:val="22"/>
          <w:bdr w:val="nil"/>
          <w:lang w:val="en-US"/>
        </w:rPr>
        <w:t xml:space="preserve"> į tai, kad netikslinga pirkimo objektą skaidyti į dalis, kadangi numatoma įsigyti </w:t>
      </w:r>
      <w:r w:rsidR="003E1FFE" w:rsidRPr="003E1FFE">
        <w:rPr>
          <w:rFonts w:eastAsia="Arial Unicode MS"/>
          <w:sz w:val="22"/>
          <w:szCs w:val="22"/>
          <w:bdr w:val="nil"/>
          <w:lang w:val="en-US"/>
        </w:rPr>
        <w:t>iš tarpusavyje susijusių komponentų, reikalingų magnetinio rezonanso tyrimams atlikti, sudarytą sistemą</w:t>
      </w:r>
      <w:r w:rsidR="008F0355" w:rsidRPr="003E1FFE">
        <w:rPr>
          <w:rFonts w:eastAsia="Arial Unicode MS"/>
          <w:sz w:val="22"/>
          <w:szCs w:val="22"/>
          <w:bdr w:val="nil"/>
          <w:lang w:val="en-US"/>
        </w:rPr>
        <w:t>. Dalyvis gali pateikti</w:t>
      </w:r>
      <w:r w:rsidR="008F0355" w:rsidRPr="008F0355">
        <w:rPr>
          <w:rFonts w:eastAsia="Arial Unicode MS"/>
          <w:sz w:val="22"/>
          <w:szCs w:val="22"/>
          <w:bdr w:val="nil"/>
          <w:lang w:val="en-US"/>
        </w:rPr>
        <w:t xml:space="preserve"> tik vieną pasiūlymą visam pirkimui</w:t>
      </w:r>
      <w:r w:rsidR="008F0355">
        <w:rPr>
          <w:rFonts w:eastAsia="Arial Unicode MS"/>
          <w:sz w:val="22"/>
          <w:szCs w:val="22"/>
          <w:bdr w:val="nil"/>
          <w:lang w:val="en-US"/>
        </w:rPr>
        <w:t>. Pasiūlymas tur</w:t>
      </w:r>
      <w:r w:rsidR="008F0355" w:rsidRPr="008F0355">
        <w:rPr>
          <w:rFonts w:eastAsia="Arial Unicode MS"/>
          <w:sz w:val="22"/>
          <w:szCs w:val="22"/>
          <w:bdr w:val="nil"/>
          <w:lang w:val="en-US"/>
        </w:rPr>
        <w:t>i būti pateiktas visai pirkimo sąlygų techninėje specifikacijoje nurodytai apimčiai.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w:t>
      </w:r>
      <w:r w:rsidR="00525048">
        <w:rPr>
          <w:sz w:val="22"/>
          <w:szCs w:val="22"/>
          <w:lang w:eastAsia="ar-SA"/>
        </w:rPr>
        <w:t>.4 punktu</w:t>
      </w:r>
      <w:r w:rsidR="00794FD4" w:rsidRPr="00086228">
        <w:rPr>
          <w:sz w:val="22"/>
          <w:szCs w:val="22"/>
          <w:lang w:eastAsia="ar-SA"/>
        </w:rPr>
        <w:t>.</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EF42C7" w:rsidRDefault="007A7217" w:rsidP="007A7217">
      <w:pPr>
        <w:suppressAutoHyphens/>
        <w:ind w:firstLine="709"/>
        <w:jc w:val="both"/>
        <w:rPr>
          <w:rFonts w:eastAsia="Arial Unicode MS"/>
          <w:color w:val="000000"/>
          <w:sz w:val="16"/>
          <w:szCs w:val="16"/>
          <w:bdr w:val="nil"/>
          <w:lang w:eastAsia="lt-LT"/>
        </w:rPr>
      </w:pPr>
      <w:bookmarkStart w:id="0" w:name="_GoBack"/>
      <w:bookmarkEnd w:id="0"/>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1) tiekėjo, kuris yra fizinis asmuo, per pastaruosius 5 metus buvo priimtas ir įsiteisėjęs apkaltinamasis teismo </w:t>
            </w:r>
            <w:r w:rsidRPr="00E718B5">
              <w:rPr>
                <w:rFonts w:ascii="Times New Roman" w:hAnsi="Times New Roman" w:cs="Times New Roman"/>
                <w:color w:val="000000"/>
                <w:lang w:eastAsia="lt-LT"/>
              </w:rPr>
              <w:lastRenderedPageBreak/>
              <w:t>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w:t>
            </w:r>
            <w:r w:rsidRPr="00C54A7B">
              <w:rPr>
                <w:rFonts w:ascii="Times New Roman" w:hAnsi="Times New Roman" w:cs="Times New Roman"/>
                <w:bCs/>
                <w:color w:val="000000"/>
                <w:lang w:eastAsia="lt-LT"/>
              </w:rPr>
              <w:lastRenderedPageBreak/>
              <w:t>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Laikoma, kad atitinkamos padėties dėl interesų konflikto negalima ištaisyti, jeigu į interesų konfliktą patekę asmenys nulėmė viešojo pirkimo komisijos ar perkančiosios </w:t>
            </w:r>
            <w:r w:rsidRPr="00C54A7B">
              <w:rPr>
                <w:rFonts w:ascii="Times New Roman" w:hAnsi="Times New Roman" w:cs="Times New Roman"/>
                <w:color w:val="000000"/>
                <w:lang w:eastAsia="lt-LT"/>
              </w:rPr>
              <w:lastRenderedPageBreak/>
              <w:t>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F37F8" w:rsidRDefault="00CF37F8" w:rsidP="00C54A7B">
            <w:pPr>
              <w:suppressAutoHyphens/>
              <w:spacing w:after="40"/>
              <w:jc w:val="both"/>
              <w:rPr>
                <w:rFonts w:ascii="Times New Roman" w:hAnsi="Times New Roman" w:cs="Times New Roman"/>
                <w:color w:val="000000"/>
                <w:u w:val="single"/>
                <w:lang w:eastAsia="lt-LT"/>
              </w:rPr>
            </w:pPr>
            <w:r w:rsidRPr="00CF37F8">
              <w:rPr>
                <w:rStyle w:val="Hyperlink"/>
                <w:rFonts w:ascii="Times New Roman" w:hAnsi="Times New Roman" w:cs="Times New Roman"/>
                <w:lang w:eastAsia="lt-LT"/>
              </w:rPr>
              <w:t>https://vpt.lrv.lt/lt/nuorodos/kiti-duomenys/powerbi/melaginga-informacija-pateikusiu-tiekeju-sarasas-3/</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54A7B">
              <w:rPr>
                <w:rFonts w:ascii="Times New Roman" w:hAnsi="Times New Roman"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F37F8" w:rsidRDefault="00CF37F8" w:rsidP="00C54A7B">
            <w:pPr>
              <w:suppressAutoHyphens/>
              <w:spacing w:after="40"/>
              <w:jc w:val="both"/>
              <w:rPr>
                <w:rFonts w:ascii="Times New Roman" w:hAnsi="Times New Roman" w:cs="Times New Roman"/>
                <w:color w:val="000000"/>
                <w:lang w:eastAsia="lt-LT"/>
              </w:rPr>
            </w:pPr>
            <w:r w:rsidRPr="00CF37F8">
              <w:rPr>
                <w:rStyle w:val="Hyperlink"/>
                <w:rFonts w:ascii="Times New Roman" w:hAnsi="Times New Roman" w:cs="Times New Roman"/>
                <w:lang w:eastAsia="lt-LT"/>
              </w:rPr>
              <w:t>https://vpt.lrv.lt/lt/nuorodos/kiti-duomenys/powerbi/nepatikimi-tiekejai-1/</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F42C7"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6"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EF42C7" w:rsidP="007C37D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EF42C7"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Pr="00EB0348">
        <w:rPr>
          <w:rFonts w:eastAsia="Times New Roman"/>
          <w:sz w:val="22"/>
          <w:szCs w:val="22"/>
        </w:rPr>
        <w:t>6</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EB0348" w:rsidRPr="00EB0348" w:rsidRDefault="00EB0348" w:rsidP="00EB034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(6 priedas) pateiktos informacijos teisingumą.</w:t>
      </w:r>
    </w:p>
    <w:p w:rsidR="00EB0348" w:rsidRPr="002534ED"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sidR="00965A2E">
        <w:rPr>
          <w:rFonts w:eastAsia="Calibri"/>
          <w:sz w:val="22"/>
          <w:lang w:eastAsia="lt-LT"/>
        </w:rPr>
        <w:t xml:space="preserve"> (8 priedas)</w:t>
      </w:r>
      <w:r w:rsidRPr="00EB0348">
        <w:rPr>
          <w:rFonts w:eastAsia="Calibri"/>
          <w:sz w:val="22"/>
          <w:lang w:eastAsia="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w:t>
      </w:r>
      <w:r w:rsidRPr="00993DE5">
        <w:rPr>
          <w:rFonts w:eastAsia="Calibri"/>
          <w:sz w:val="22"/>
          <w:lang w:eastAsia="lt-LT"/>
        </w:rPr>
        <w:t xml:space="preserve">dalyje </w:t>
      </w:r>
      <w:r w:rsidR="007235D4" w:rsidRPr="002534ED">
        <w:rPr>
          <w:rFonts w:eastAsia="Calibri"/>
          <w:sz w:val="22"/>
          <w:lang w:eastAsia="lt-LT"/>
        </w:rPr>
        <w:t>(taikoma prekėms, kurių BVPŽ kodai yra 48814000-7 (Medicininės informacijos sistemos) (taikoma į MRT sistemos valdymo konsolę įdiegtai programinei įrangai (techninės specifikacijos 9.6 punktas) ir į perkančiosios organizacijos pateiktą kompiuterinę įrangą instaliuojamai tyrimų duomenų apdorojimo bei analizės programinei įrangai (techninės specifikacijos 10 punktas)), 30213000-5 (Asmeniniai kompiuteriai) (taikoma MRT sistemos konsolės valdymo kompiuteriui (techninės specifikacijos 9.1 punktas)) ir 31154000-0 (Nenutrūkstamojo maitinimo šaltiniai) (taikoma nepertraukiamo elektros maitinimo šaltiniui, skirtam pagrindinės įrangos dalies - MRT aparato apsaugai nuo trumpalaikių elektros energijos tiekimo iš el. tinklo sutrikimų (techninės specifikacijos 11.4 punktas))).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2534ED">
        <w:rPr>
          <w:rFonts w:eastAsia="Calibri"/>
          <w:sz w:val="22"/>
          <w:lang w:eastAsia="lt-LT"/>
        </w:rPr>
        <w:t>Dokumentai, kuriuose nenurodytas jų galiojimo terminas, turi būti išduoti ar atspausdinti iš informacinės</w:t>
      </w:r>
      <w:r w:rsidRPr="00EB0348">
        <w:rPr>
          <w:rFonts w:eastAsia="Calibri"/>
          <w:sz w:val="22"/>
          <w:lang w:eastAsia="lt-LT"/>
        </w:rPr>
        <w:t xml:space="preserve"> sistemos ne anksčiau kaip likus 3 mėnesiams iki tos dienos, kurią perkančiosios organizacijos prašymu tiekėjas turi pateikti dokumentus.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B1912">
        <w:rPr>
          <w:rFonts w:eastAsia="Arial Unicode MS"/>
          <w:sz w:val="22"/>
          <w:szCs w:val="22"/>
          <w:lang w:eastAsia="lt-LT"/>
        </w:rPr>
        <w:t xml:space="preserve"> (8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val="en-US"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00CD213A" w:rsidRPr="00CD213A">
        <w:rPr>
          <w:rFonts w:eastAsia="Arial Unicode MS"/>
          <w:sz w:val="22"/>
          <w:lang w:eastAsia="lt-LT"/>
        </w:rPr>
        <w:t>(taikoma prekėms, kurių BVPŽ kodai yra 48814000-7 (Medicininės informacijos sistemos) (taikoma į MRT sistemos valdymo konsolę įdiegtai programinei įrangai (techninės specifikacijos 9.6 punktas) ir į perkančiosios organizacijos pateiktą kompiuterinę įrangą instaliuojamai tyrimų duomenų apdorojimo bei analizės programinei įrangai (techninės specifikacijos 10 punktas)), 30213000-5 (Asmeniniai kompiuteriai) (taikoma MRT sistemos konsolės valdymo kompiuteriui (techninės specifikacijos 9.1 punktas)) ir 31154000-0 (Nenutrūkstamojo maitinimo šaltiniai) (taikoma nepertraukiamo elektros maitinimo šaltiniui, skirtam pagrindinės įrangos dalies - MRT aparato apsaugai nuo trumpalaikių elektros energijos tiekimo iš el. tinklo sutrikimų (techninės specifikacijos 11.4 punktas))).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lastRenderedPageBreak/>
        <w:t xml:space="preserve"> </w:t>
      </w:r>
      <w:r w:rsidRPr="00EB0348">
        <w:rPr>
          <w:rFonts w:eastAsia="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D1CA2" w:rsidRPr="00EB0348" w:rsidRDefault="00AD1CA2" w:rsidP="007A7217">
      <w:pPr>
        <w:suppressAutoHyphens/>
        <w:ind w:firstLine="567"/>
        <w:jc w:val="both"/>
        <w:rPr>
          <w:rFonts w:eastAsia="Arial Unicode MS"/>
          <w:sz w:val="18"/>
          <w:szCs w:val="18"/>
          <w:bdr w:val="nil"/>
          <w:lang w:eastAsia="lt-LT"/>
        </w:rPr>
      </w:pPr>
    </w:p>
    <w:p w:rsidR="00EB0348" w:rsidRDefault="00EB034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64665E" w:rsidRPr="0064665E">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lastRenderedPageBreak/>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464DA7">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464DA7">
        <w:rPr>
          <w:rFonts w:cs="Times New Roman"/>
          <w:b/>
          <w:iCs/>
          <w:color w:val="548DD4" w:themeColor="text2" w:themeTint="99"/>
          <w:sz w:val="22"/>
          <w:szCs w:val="22"/>
        </w:rPr>
        <w:t>m</w:t>
      </w:r>
      <w:r w:rsidR="00464DA7" w:rsidRPr="00EB2326">
        <w:rPr>
          <w:rFonts w:cs="Times New Roman"/>
          <w:b/>
          <w:iCs/>
          <w:color w:val="548DD4" w:themeColor="text2" w:themeTint="99"/>
          <w:sz w:val="22"/>
          <w:szCs w:val="22"/>
        </w:rPr>
        <w:t xml:space="preserve">. </w:t>
      </w:r>
      <w:r w:rsidR="003B6783" w:rsidRPr="00EB2326">
        <w:rPr>
          <w:rFonts w:cs="Times New Roman"/>
          <w:b/>
          <w:iCs/>
          <w:color w:val="548DD4" w:themeColor="text2" w:themeTint="99"/>
          <w:sz w:val="22"/>
          <w:szCs w:val="22"/>
        </w:rPr>
        <w:t>vasario 23</w:t>
      </w:r>
      <w:r w:rsidRPr="00EB2326">
        <w:rPr>
          <w:rFonts w:cs="Times New Roman"/>
          <w:b/>
          <w:iCs/>
          <w:color w:val="548DD4" w:themeColor="text2" w:themeTint="99"/>
          <w:sz w:val="22"/>
          <w:szCs w:val="22"/>
        </w:rPr>
        <w:t xml:space="preserve"> d. </w:t>
      </w:r>
      <w:r w:rsidR="003B6783" w:rsidRPr="00EB2326">
        <w:rPr>
          <w:rFonts w:cs="Times New Roman"/>
          <w:b/>
          <w:iCs/>
          <w:color w:val="548DD4" w:themeColor="text2" w:themeTint="99"/>
          <w:sz w:val="22"/>
          <w:szCs w:val="22"/>
        </w:rPr>
        <w:t>09</w:t>
      </w:r>
      <w:r w:rsidRPr="00EB2326">
        <w:rPr>
          <w:rFonts w:cs="Times New Roman"/>
          <w:b/>
          <w:iCs/>
          <w:color w:val="548DD4" w:themeColor="text2" w:themeTint="99"/>
          <w:sz w:val="22"/>
          <w:szCs w:val="22"/>
        </w:rPr>
        <w:t xml:space="preserve"> val.</w:t>
      </w:r>
      <w:r w:rsidRPr="0004206C">
        <w:rPr>
          <w:rFonts w:cs="Times New Roman"/>
          <w:b/>
          <w:iCs/>
          <w:color w:val="548DD4" w:themeColor="text2" w:themeTint="99"/>
          <w:sz w:val="22"/>
          <w:szCs w:val="22"/>
        </w:rPr>
        <w:t xml:space="preserve">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00831E77">
        <w:rPr>
          <w:rFonts w:eastAsia="Arial Unicode MS"/>
          <w:color w:val="000000"/>
          <w:sz w:val="22"/>
          <w:szCs w:val="22"/>
          <w:bdr w:val="nil"/>
          <w:lang w:eastAsia="en-GB"/>
        </w:rPr>
        <w:t>;</w:t>
      </w:r>
    </w:p>
    <w:p w:rsidR="00831E77" w:rsidRDefault="00831E77" w:rsidP="00831E77">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5.11.7.</w:t>
      </w:r>
      <w:r w:rsidRPr="00831E77">
        <w:rPr>
          <w:rFonts w:ascii="Cambria" w:eastAsia="Arial Unicode MS" w:hAnsi="Cambria"/>
          <w:b/>
          <w:sz w:val="22"/>
          <w:szCs w:val="22"/>
          <w:lang w:eastAsia="en-GB"/>
        </w:rPr>
        <w:t xml:space="preserve"> </w:t>
      </w:r>
      <w:r w:rsidRPr="00831E77">
        <w:rPr>
          <w:rFonts w:eastAsia="Arial Unicode MS"/>
          <w:color w:val="000000"/>
          <w:sz w:val="22"/>
          <w:szCs w:val="22"/>
          <w:bdr w:val="nil"/>
          <w:lang w:eastAsia="en-GB"/>
        </w:rPr>
        <w:t>Tiekėjo deklaracija dėl Nacionalinio saugumo reikalavimų atitikties (8 priedas)</w:t>
      </w:r>
      <w:r>
        <w:rPr>
          <w:rFonts w:eastAsia="Arial Unicode MS"/>
          <w:color w:val="000000"/>
          <w:sz w:val="22"/>
          <w:szCs w:val="22"/>
          <w:bdr w:val="nil"/>
          <w:lang w:eastAsia="en-GB"/>
        </w:rPr>
        <w:t>;</w:t>
      </w:r>
    </w:p>
    <w:p w:rsidR="00AC42E6" w:rsidRPr="00AC42E6" w:rsidRDefault="00AC42E6" w:rsidP="00AC42E6">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w:t>
      </w:r>
      <w:r w:rsidRPr="00AC42E6">
        <w:rPr>
          <w:rFonts w:eastAsia="Arial Unicode MS"/>
          <w:color w:val="000000"/>
          <w:sz w:val="22"/>
          <w:szCs w:val="22"/>
          <w:bdr w:val="nil"/>
          <w:lang w:eastAsia="en-GB"/>
        </w:rPr>
        <w:t>5.11.</w:t>
      </w:r>
      <w:r>
        <w:rPr>
          <w:rFonts w:eastAsia="Arial Unicode MS"/>
          <w:color w:val="000000"/>
          <w:sz w:val="22"/>
          <w:szCs w:val="22"/>
          <w:bdr w:val="nil"/>
          <w:lang w:eastAsia="en-GB"/>
        </w:rPr>
        <w:t>8</w:t>
      </w:r>
      <w:r w:rsidRPr="00AC42E6">
        <w:rPr>
          <w:rFonts w:eastAsia="Arial Unicode MS"/>
          <w:color w:val="000000"/>
          <w:sz w:val="22"/>
          <w:szCs w:val="22"/>
          <w:bdr w:val="nil"/>
          <w:lang w:eastAsia="en-GB"/>
        </w:rPr>
        <w:t>. užpildytas pirkimo dokumentų 4 priedas „Techninė specifikacija“. Tiekėjas privalo nurodyti siūlomų prekių technines char</w:t>
      </w:r>
      <w:r w:rsidR="00C546EC">
        <w:rPr>
          <w:rFonts w:eastAsia="Arial Unicode MS"/>
          <w:color w:val="000000"/>
          <w:sz w:val="22"/>
          <w:szCs w:val="22"/>
          <w:bdr w:val="nil"/>
          <w:lang w:eastAsia="en-GB"/>
        </w:rPr>
        <w:t>akteristikas. Stulpelyje „Siūloma</w:t>
      </w:r>
      <w:r w:rsidRPr="00AC42E6">
        <w:rPr>
          <w:rFonts w:eastAsia="Arial Unicode MS"/>
          <w:color w:val="000000"/>
          <w:sz w:val="22"/>
          <w:szCs w:val="22"/>
          <w:bdr w:val="nil"/>
          <w:lang w:eastAsia="en-GB"/>
        </w:rPr>
        <w:t xml:space="preserve"> parametr</w:t>
      </w:r>
      <w:r w:rsidR="00C546EC">
        <w:rPr>
          <w:rFonts w:eastAsia="Arial Unicode MS"/>
          <w:color w:val="000000"/>
          <w:sz w:val="22"/>
          <w:szCs w:val="22"/>
          <w:bdr w:val="nil"/>
          <w:lang w:eastAsia="en-GB"/>
        </w:rPr>
        <w:t>o</w:t>
      </w:r>
      <w:r w:rsidRPr="00AC42E6">
        <w:rPr>
          <w:rFonts w:eastAsia="Arial Unicode MS"/>
          <w:color w:val="000000"/>
          <w:sz w:val="22"/>
          <w:szCs w:val="22"/>
          <w:bdr w:val="nil"/>
          <w:lang w:eastAsia="en-GB"/>
        </w:rPr>
        <w:t xml:space="preserve"> reikšmės” turi būti nurodyti tikslūs ir konkretūs siūlomos prekės duomenys, nepaliekant lentelėje pateiktų dydžių reikšmių tolerancijų ir tokių reikšmių, kaip „lygiavertė“, „atitinka“, „taip” ir pan. Užpildytas dokumentas privalo būti pateiktas ne skenuota forma, bet prisegant atskiru dokumentu Microsoft Word formatu.</w:t>
      </w:r>
    </w:p>
    <w:p w:rsidR="00B900A1" w:rsidRPr="00B900A1" w:rsidRDefault="00831E77" w:rsidP="00233FF5">
      <w:pPr>
        <w:shd w:val="clear" w:color="auto" w:fill="D9D9D9" w:themeFill="background1" w:themeFillShade="D9"/>
        <w:tabs>
          <w:tab w:val="left" w:pos="851"/>
          <w:tab w:val="left" w:pos="1276"/>
        </w:tabs>
        <w:ind w:firstLine="567"/>
        <w:jc w:val="both"/>
        <w:rPr>
          <w:rFonts w:eastAsia="Arial Unicode MS"/>
          <w:sz w:val="22"/>
          <w:szCs w:val="22"/>
          <w:bdr w:val="nil"/>
        </w:rPr>
      </w:pPr>
      <w:r>
        <w:rPr>
          <w:rFonts w:eastAsia="Arial Unicode MS"/>
          <w:sz w:val="22"/>
          <w:szCs w:val="22"/>
          <w:bdr w:val="nil"/>
        </w:rPr>
        <w:t xml:space="preserve"> </w:t>
      </w:r>
      <w:r w:rsidR="00B900A1" w:rsidRPr="00B900A1">
        <w:rPr>
          <w:rFonts w:eastAsia="Arial Unicode MS"/>
          <w:sz w:val="22"/>
          <w:szCs w:val="22"/>
          <w:bdr w:val="nil"/>
        </w:rPr>
        <w:t>5.11.</w:t>
      </w:r>
      <w:r w:rsidR="00C546EC">
        <w:rPr>
          <w:rFonts w:eastAsia="Arial Unicode MS"/>
          <w:sz w:val="22"/>
          <w:szCs w:val="22"/>
          <w:bdr w:val="nil"/>
        </w:rPr>
        <w:t>9</w:t>
      </w:r>
      <w:r w:rsidR="00B900A1" w:rsidRPr="00B900A1">
        <w:rPr>
          <w:rFonts w:eastAsia="Arial Unicode MS"/>
          <w:sz w:val="22"/>
          <w:szCs w:val="22"/>
          <w:bdr w:val="nil"/>
        </w:rPr>
        <w:t xml:space="preserve">. </w:t>
      </w:r>
      <w:r w:rsidR="00B900A1" w:rsidRPr="00B900A1">
        <w:rPr>
          <w:rFonts w:eastAsia="Arial Unicode MS"/>
          <w:sz w:val="22"/>
          <w:szCs w:val="22"/>
          <w:bdr w:val="nil"/>
          <w:lang w:eastAsia="lt-LT"/>
        </w:rPr>
        <w:t>Tiekėjas turi pateikti p</w:t>
      </w:r>
      <w:r w:rsidR="00B900A1"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00B900A1"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B900A1" w:rsidRPr="00B900A1">
        <w:rPr>
          <w:rFonts w:eastAsia="Arial Unicode MS"/>
          <w:sz w:val="22"/>
          <w:szCs w:val="22"/>
          <w:bdr w:val="nil"/>
        </w:rPr>
        <w:t xml:space="preserve">. </w:t>
      </w:r>
      <w:r w:rsidR="00B900A1" w:rsidRPr="00B900A1">
        <w:rPr>
          <w:rFonts w:eastAsia="Arial Unicode MS"/>
          <w:sz w:val="22"/>
          <w:szCs w:val="22"/>
          <w:u w:val="single"/>
          <w:bdr w:val="nil"/>
        </w:rPr>
        <w:t>Originaliame firmos gamintojos dokumente privalo būti atžyma, kurį techninės specifikacijos lentelės parametrą p</w:t>
      </w:r>
      <w:r w:rsidR="007C71EC">
        <w:rPr>
          <w:rFonts w:eastAsia="Arial Unicode MS"/>
          <w:sz w:val="22"/>
          <w:szCs w:val="22"/>
          <w:u w:val="single"/>
          <w:bdr w:val="nil"/>
        </w:rPr>
        <w:t>atvirtina nurodytas parametras ir turi būti užpildytas</w:t>
      </w:r>
      <w:r w:rsidR="00B900A1" w:rsidRPr="00B900A1">
        <w:rPr>
          <w:rFonts w:eastAsia="Arial Unicode MS"/>
          <w:sz w:val="22"/>
          <w:szCs w:val="22"/>
          <w:u w:val="single"/>
          <w:bdr w:val="nil"/>
        </w:rPr>
        <w:t xml:space="preserve"> šių pirkimo dokumentų </w:t>
      </w:r>
      <w:r w:rsidR="000E7A0F">
        <w:rPr>
          <w:rFonts w:eastAsia="Arial Unicode MS"/>
          <w:sz w:val="22"/>
          <w:szCs w:val="22"/>
          <w:u w:val="single"/>
          <w:bdr w:val="nil"/>
        </w:rPr>
        <w:t>4</w:t>
      </w:r>
      <w:r w:rsidR="00B900A1" w:rsidRPr="00B900A1">
        <w:rPr>
          <w:rFonts w:eastAsia="Arial Unicode MS"/>
          <w:sz w:val="22"/>
          <w:szCs w:val="22"/>
          <w:u w:val="single"/>
          <w:bdr w:val="nil"/>
        </w:rPr>
        <w:t xml:space="preserve"> priedo „</w:t>
      </w:r>
      <w:r w:rsidR="000E7A0F" w:rsidRPr="000E7A0F">
        <w:rPr>
          <w:rFonts w:eastAsia="Arial Unicode MS"/>
          <w:sz w:val="22"/>
          <w:szCs w:val="22"/>
          <w:u w:val="single"/>
          <w:bdr w:val="nil"/>
        </w:rPr>
        <w:t>Techninė specifikacija</w:t>
      </w:r>
      <w:r w:rsidR="00B900A1" w:rsidRPr="00B900A1">
        <w:rPr>
          <w:rFonts w:eastAsia="Arial Unicode MS"/>
          <w:sz w:val="22"/>
          <w:szCs w:val="22"/>
          <w:u w:val="single"/>
          <w:bdr w:val="nil"/>
        </w:rPr>
        <w:t xml:space="preserve">“ </w:t>
      </w:r>
      <w:r w:rsidR="000E7A0F">
        <w:rPr>
          <w:rFonts w:eastAsia="Arial Unicode MS"/>
          <w:sz w:val="22"/>
          <w:szCs w:val="22"/>
          <w:u w:val="single"/>
          <w:bdr w:val="nil"/>
        </w:rPr>
        <w:t>s</w:t>
      </w:r>
      <w:r w:rsidR="007C71EC">
        <w:rPr>
          <w:rFonts w:eastAsia="Arial Unicode MS"/>
          <w:sz w:val="22"/>
          <w:szCs w:val="22"/>
          <w:u w:val="single"/>
          <w:bdr w:val="nil"/>
        </w:rPr>
        <w:t>tulpelis</w:t>
      </w:r>
      <w:r w:rsidR="000E7A0F" w:rsidRPr="000E7A0F">
        <w:rPr>
          <w:rFonts w:eastAsia="Arial Unicode MS"/>
          <w:sz w:val="22"/>
          <w:szCs w:val="22"/>
          <w:u w:val="single"/>
          <w:bdr w:val="nil"/>
        </w:rPr>
        <w:t xml:space="preserve"> </w:t>
      </w:r>
      <w:r w:rsidR="00B900A1" w:rsidRPr="00631949">
        <w:rPr>
          <w:rFonts w:eastAsia="Arial Unicode MS"/>
          <w:sz w:val="22"/>
          <w:szCs w:val="22"/>
          <w:u w:val="single"/>
          <w:bdr w:val="nil"/>
        </w:rPr>
        <w:t>„</w:t>
      </w:r>
      <w:r w:rsidR="000E7A0F" w:rsidRPr="000E7A0F">
        <w:rPr>
          <w:rFonts w:eastAsia="Arial Unicode MS"/>
          <w:bCs/>
          <w:color w:val="000000" w:themeColor="text1"/>
          <w:sz w:val="22"/>
          <w:szCs w:val="22"/>
          <w:u w:val="single"/>
          <w:bdr w:val="nil"/>
        </w:rPr>
        <w:t>Kartu su pasiūlymu pateikiamo dokumento p</w:t>
      </w:r>
      <w:r w:rsidR="007C71EC">
        <w:rPr>
          <w:rFonts w:eastAsia="Arial Unicode MS"/>
          <w:bCs/>
          <w:color w:val="000000" w:themeColor="text1"/>
          <w:sz w:val="22"/>
          <w:szCs w:val="22"/>
          <w:u w:val="single"/>
          <w:bdr w:val="nil"/>
        </w:rPr>
        <w:t>avadinimas bei puslapio numeris</w:t>
      </w:r>
      <w:r w:rsidR="00B900A1" w:rsidRPr="00B900A1">
        <w:rPr>
          <w:rFonts w:eastAsia="Arial Unicode MS"/>
          <w:sz w:val="22"/>
          <w:szCs w:val="22"/>
          <w:u w:val="single"/>
          <w:bdr w:val="nil"/>
        </w:rPr>
        <w:t>.</w:t>
      </w:r>
      <w:r w:rsidR="00B900A1" w:rsidRPr="00B900A1">
        <w:rPr>
          <w:rFonts w:eastAsia="Arial Unicode MS"/>
          <w:sz w:val="22"/>
          <w:szCs w:val="22"/>
          <w:bdr w:val="nil"/>
        </w:rPr>
        <w:t xml:space="preserve"> </w:t>
      </w:r>
      <w:r w:rsidR="00B900A1" w:rsidRPr="00B900A1">
        <w:rPr>
          <w:rFonts w:eastAsia="Arial Unicode MS"/>
          <w:iCs/>
          <w:sz w:val="22"/>
          <w:szCs w:val="22"/>
          <w:bdr w:val="nil"/>
        </w:rPr>
        <w:t>Pateikiamos skaitmeninės dokumentų kopijos</w:t>
      </w:r>
      <w:r w:rsidR="00B900A1"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w:t>
      </w:r>
      <w:r w:rsidRPr="00B900A1">
        <w:rPr>
          <w:rFonts w:eastAsia="Arial Unicode MS"/>
          <w:bCs/>
          <w:iCs/>
          <w:color w:val="000000"/>
          <w:sz w:val="22"/>
          <w:szCs w:val="22"/>
          <w:bdr w:val="nil"/>
          <w:shd w:val="clear" w:color="auto" w:fill="D9D9D9" w:themeFill="background1" w:themeFillShade="D9"/>
        </w:rPr>
        <w:lastRenderedPageBreak/>
        <w:t>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C71EC">
        <w:rPr>
          <w:rFonts w:eastAsia="Arial Unicode MS"/>
          <w:sz w:val="22"/>
          <w:szCs w:val="22"/>
          <w:bdr w:val="nil"/>
          <w:lang w:eastAsia="en-GB"/>
        </w:rPr>
        <w:t>10</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815B5D"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w:t>
      </w:r>
      <w:r w:rsidR="007C71EC">
        <w:rPr>
          <w:rFonts w:eastAsia="Arial Unicode MS"/>
          <w:iCs/>
          <w:sz w:val="22"/>
          <w:szCs w:val="22"/>
          <w:bdr w:val="nil"/>
          <w:lang w:eastAsia="en-GB"/>
        </w:rPr>
        <w:t>1</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 xml:space="preserve">Pasiūlymas turi būti pasirašytas tiekėjo vadovo arba </w:t>
      </w:r>
      <w:proofErr w:type="gramStart"/>
      <w:r w:rsidR="00201315" w:rsidRPr="00201315">
        <w:rPr>
          <w:rFonts w:cs="Times New Roman"/>
          <w:sz w:val="22"/>
          <w:szCs w:val="22"/>
        </w:rPr>
        <w:t>jo</w:t>
      </w:r>
      <w:proofErr w:type="gramEnd"/>
      <w:r w:rsidR="00201315" w:rsidRPr="00201315">
        <w:rPr>
          <w:rFonts w:cs="Times New Roman"/>
          <w:sz w:val="22"/>
          <w:szCs w:val="22"/>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w:t>
      </w:r>
      <w:r w:rsidRPr="007A7217">
        <w:rPr>
          <w:rFonts w:cs="Times New Roman"/>
          <w:sz w:val="22"/>
          <w:szCs w:val="22"/>
          <w:lang w:val="pt-PT"/>
        </w:rPr>
        <w:lastRenderedPageBreak/>
        <w:t xml:space="preserve">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C524CA">
        <w:rPr>
          <w:b/>
          <w:iCs/>
          <w:color w:val="548DD4" w:themeColor="text2" w:themeTint="99"/>
          <w:sz w:val="22"/>
          <w:szCs w:val="22"/>
        </w:rPr>
        <w:t>6</w:t>
      </w:r>
      <w:r w:rsidR="009A3013" w:rsidRPr="00AD5535">
        <w:rPr>
          <w:b/>
          <w:iCs/>
          <w:color w:val="548DD4" w:themeColor="text2" w:themeTint="99"/>
          <w:sz w:val="22"/>
          <w:szCs w:val="22"/>
        </w:rPr>
        <w:t xml:space="preserve"> m. </w:t>
      </w:r>
      <w:r w:rsidR="00C524CA">
        <w:rPr>
          <w:b/>
          <w:iCs/>
          <w:color w:val="548DD4" w:themeColor="text2" w:themeTint="99"/>
          <w:sz w:val="22"/>
          <w:szCs w:val="22"/>
        </w:rPr>
        <w:t>vasario</w:t>
      </w:r>
      <w:r w:rsidR="000706F8" w:rsidRPr="00AD5535">
        <w:rPr>
          <w:b/>
          <w:iCs/>
          <w:color w:val="548DD4" w:themeColor="text2" w:themeTint="99"/>
          <w:sz w:val="22"/>
          <w:szCs w:val="22"/>
        </w:rPr>
        <w:t xml:space="preserve"> </w:t>
      </w:r>
      <w:r w:rsidR="00684AEF">
        <w:rPr>
          <w:b/>
          <w:iCs/>
          <w:color w:val="548DD4" w:themeColor="text2" w:themeTint="99"/>
          <w:sz w:val="22"/>
          <w:szCs w:val="22"/>
        </w:rPr>
        <w:t>23</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684AEF">
        <w:rPr>
          <w:b/>
          <w:iCs/>
          <w:color w:val="548DD4" w:themeColor="text2" w:themeTint="99"/>
          <w:sz w:val="22"/>
          <w:szCs w:val="22"/>
        </w:rPr>
        <w:t>09</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C524CA">
        <w:rPr>
          <w:b/>
          <w:iCs/>
          <w:color w:val="548DD4" w:themeColor="text2" w:themeTint="99"/>
          <w:sz w:val="22"/>
          <w:szCs w:val="22"/>
          <w:u w:val="single"/>
        </w:rPr>
        <w:t>6</w:t>
      </w:r>
      <w:r w:rsidRPr="00AD5535">
        <w:rPr>
          <w:b/>
          <w:iCs/>
          <w:color w:val="548DD4" w:themeColor="text2" w:themeTint="99"/>
          <w:sz w:val="22"/>
          <w:szCs w:val="22"/>
          <w:u w:val="single"/>
        </w:rPr>
        <w:t xml:space="preserve"> m.</w:t>
      </w:r>
      <w:r w:rsidR="00C524CA">
        <w:rPr>
          <w:b/>
          <w:iCs/>
          <w:color w:val="548DD4" w:themeColor="text2" w:themeTint="99"/>
          <w:sz w:val="22"/>
          <w:szCs w:val="22"/>
          <w:u w:val="single"/>
        </w:rPr>
        <w:t xml:space="preserve"> vasario </w:t>
      </w:r>
      <w:r w:rsidR="002A5A44" w:rsidRPr="00AD5535">
        <w:rPr>
          <w:b/>
          <w:iCs/>
          <w:color w:val="548DD4" w:themeColor="text2" w:themeTint="99"/>
          <w:sz w:val="22"/>
          <w:szCs w:val="22"/>
          <w:u w:val="single"/>
        </w:rPr>
        <w:t xml:space="preserve"> </w:t>
      </w:r>
      <w:r w:rsidR="00684AEF">
        <w:rPr>
          <w:b/>
          <w:iCs/>
          <w:color w:val="548DD4" w:themeColor="text2" w:themeTint="99"/>
          <w:sz w:val="22"/>
          <w:szCs w:val="22"/>
          <w:u w:val="single"/>
        </w:rPr>
        <w:t>23</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684AEF">
        <w:rPr>
          <w:b/>
          <w:iCs/>
          <w:color w:val="548DD4" w:themeColor="text2" w:themeTint="99"/>
          <w:sz w:val="22"/>
          <w:szCs w:val="22"/>
          <w:u w:val="single"/>
        </w:rPr>
        <w:t>09</w:t>
      </w:r>
      <w:r w:rsidRPr="00AD5535">
        <w:rPr>
          <w:b/>
          <w:iCs/>
          <w:color w:val="548DD4" w:themeColor="text2" w:themeTint="99"/>
          <w:sz w:val="22"/>
          <w:szCs w:val="22"/>
          <w:u w:val="single"/>
        </w:rPr>
        <w:t xml:space="preserve">.00 – </w:t>
      </w:r>
      <w:r w:rsidR="00684AEF">
        <w:rPr>
          <w:b/>
          <w:iCs/>
          <w:color w:val="548DD4" w:themeColor="text2" w:themeTint="99"/>
          <w:sz w:val="22"/>
          <w:szCs w:val="22"/>
          <w:u w:val="single"/>
        </w:rPr>
        <w:t>09</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lastRenderedPageBreak/>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DC2850" w:rsidRPr="00DC2850" w:rsidRDefault="008673A7" w:rsidP="00323CE5">
      <w:pPr>
        <w:suppressAutoHyphens/>
        <w:ind w:firstLine="567"/>
        <w:jc w:val="both"/>
        <w:rPr>
          <w:sz w:val="22"/>
          <w:szCs w:val="22"/>
          <w:lang w:val="es-ES_tradnl"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 xml:space="preserve">nurodytus </w:t>
      </w:r>
      <w:r w:rsidRPr="00DC2850">
        <w:rPr>
          <w:sz w:val="22"/>
          <w:szCs w:val="22"/>
          <w:lang w:eastAsia="lt-LT"/>
        </w:rPr>
        <w:t>kvalifikacijos reikalavimus ir reikalaujamus kokybė</w:t>
      </w:r>
      <w:r w:rsidRPr="00DC2850">
        <w:rPr>
          <w:sz w:val="22"/>
          <w:szCs w:val="22"/>
          <w:lang w:val="es-ES_tradnl" w:eastAsia="lt-LT"/>
        </w:rPr>
        <w:t>s vadybos sistemos ir (arba) aplinkos apsaugos vadybos sistemos standartus (</w:t>
      </w:r>
      <w:r w:rsidRPr="00DC2850">
        <w:rPr>
          <w:sz w:val="22"/>
          <w:szCs w:val="22"/>
          <w:lang w:eastAsia="lt-LT"/>
        </w:rPr>
        <w:t>jeigu taikytina)</w:t>
      </w:r>
      <w:r w:rsidRPr="00DC2850">
        <w:rPr>
          <w:sz w:val="22"/>
          <w:szCs w:val="22"/>
          <w:lang w:val="es-ES_tradnl" w:eastAsia="lt-LT"/>
        </w:rPr>
        <w:t>.</w:t>
      </w:r>
    </w:p>
    <w:p w:rsidR="00DC2850" w:rsidRPr="00DC2850" w:rsidRDefault="00DC2850" w:rsidP="00DC2850">
      <w:pPr>
        <w:suppressAutoHyphens/>
        <w:ind w:firstLine="567"/>
        <w:jc w:val="both"/>
        <w:rPr>
          <w:rFonts w:eastAsia="Arial Unicode MS"/>
          <w:color w:val="000000"/>
          <w:sz w:val="22"/>
          <w:szCs w:val="22"/>
          <w:bdr w:val="nil"/>
          <w:lang w:val="en-US" w:eastAsia="lt-LT"/>
        </w:rPr>
      </w:pPr>
      <w:r w:rsidRPr="00DC2850">
        <w:rPr>
          <w:rFonts w:eastAsia="Arial Unicode MS"/>
          <w:sz w:val="22"/>
          <w:szCs w:val="22"/>
          <w:bdr w:val="nil"/>
          <w:lang w:val="es-ES_tradnl" w:eastAsia="lt-LT"/>
        </w:rPr>
        <w:t>11.1.7.</w:t>
      </w:r>
      <w:r w:rsidRPr="00DC2850">
        <w:rPr>
          <w:rFonts w:eastAsia="Arial Unicode MS"/>
          <w:sz w:val="22"/>
          <w:szCs w:val="22"/>
          <w:bdr w:val="nil"/>
          <w:lang w:val="it-IT" w:eastAsia="lt-LT"/>
        </w:rPr>
        <w:t xml:space="preserve"> Perkančioji organizacija iš ekonomiškai naudingiausią pasiūlymą pateikusio tiekėjo reikalaus pateikti vieną (esant poreikiui – kelis) VPĮ 39 straipsnio 3 dalyje ir </w:t>
      </w:r>
      <w:r w:rsidRPr="00DC2850">
        <w:rPr>
          <w:rFonts w:eastAsia="Arial Unicode MS"/>
          <w:sz w:val="22"/>
          <w:szCs w:val="22"/>
          <w:lang w:eastAsia="lt-LT"/>
        </w:rPr>
        <w:t xml:space="preserve">51 straipsnio 12 dalyje </w:t>
      </w:r>
      <w:r w:rsidRPr="00DC2850">
        <w:rPr>
          <w:rFonts w:eastAsia="Arial Unicode MS"/>
          <w:sz w:val="22"/>
          <w:szCs w:val="22"/>
          <w:bdr w:val="nil"/>
          <w:lang w:val="it-IT" w:eastAsia="lt-LT"/>
        </w:rPr>
        <w:t xml:space="preserve">numatytą dokumentą. Perkančioji organizacija bet kuriuo pirkimo procedūros metu turi teisę pareikalauti dalyvių pateikti visus ar dalį dokumentų, nurodytų VPĮ 39 straipsnio 3 dalyje ir </w:t>
      </w:r>
      <w:r w:rsidRPr="00DC2850">
        <w:rPr>
          <w:rFonts w:eastAsia="Arial Unicode MS"/>
          <w:sz w:val="22"/>
          <w:szCs w:val="22"/>
          <w:lang w:eastAsia="lt-LT"/>
        </w:rPr>
        <w:t>51 straipsnio 12 dalyje</w:t>
      </w:r>
      <w:r w:rsidRPr="00DC2850">
        <w:rPr>
          <w:rFonts w:eastAsia="Arial Unicode MS"/>
          <w:sz w:val="22"/>
          <w:szCs w:val="22"/>
          <w:bdr w:val="nil"/>
          <w:lang w:val="it-IT" w:eastAsia="lt-LT"/>
        </w:rPr>
        <w:t xml:space="preserve"> (jei taikytina).</w:t>
      </w:r>
      <w:r w:rsidRPr="00DC2850">
        <w:rPr>
          <w:rFonts w:eastAsia="Arial Unicode MS"/>
          <w:color w:val="000000"/>
          <w:sz w:val="22"/>
          <w:szCs w:val="22"/>
          <w:bdr w:val="nil"/>
          <w:lang w:val="en-US" w:eastAsia="lt-LT"/>
        </w:rPr>
        <w:tab/>
      </w:r>
    </w:p>
    <w:p w:rsidR="00B35758" w:rsidRPr="007A7217" w:rsidRDefault="00B35758" w:rsidP="008673A7">
      <w:pPr>
        <w:suppressAutoHyphens/>
        <w:spacing w:after="40"/>
        <w:ind w:firstLine="567"/>
        <w:jc w:val="both"/>
        <w:rPr>
          <w:color w:val="000000"/>
          <w:sz w:val="22"/>
          <w:szCs w:val="22"/>
          <w:lang w:eastAsia="lt-LT"/>
        </w:rPr>
      </w:pPr>
      <w:r w:rsidRPr="00DC2850">
        <w:rPr>
          <w:color w:val="000000"/>
          <w:sz w:val="22"/>
          <w:szCs w:val="22"/>
          <w:lang w:eastAsia="lt-LT"/>
        </w:rPr>
        <w:t xml:space="preserve">11.2. </w:t>
      </w:r>
      <w:r w:rsidR="005303C0" w:rsidRPr="00DC2850">
        <w:rPr>
          <w:color w:val="000000"/>
          <w:sz w:val="22"/>
          <w:szCs w:val="22"/>
          <w:lang w:eastAsia="lt-LT"/>
        </w:rPr>
        <w:t>Jeigu kandidatas ar dalyvis pateikė</w:t>
      </w:r>
      <w:r w:rsidR="005303C0" w:rsidRPr="005303C0">
        <w:rPr>
          <w:color w:val="000000"/>
          <w:sz w:val="22"/>
          <w:szCs w:val="22"/>
          <w:lang w:eastAsia="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organizacijos prašymu nepateikė ar nepatikslino pateiktos netikslios ar neišsamios informacijos dėl </w:t>
      </w:r>
      <w:r w:rsidR="0090382D" w:rsidRPr="0090382D">
        <w:rPr>
          <w:rFonts w:eastAsia="Arial Unicode MS" w:cs="Arial Unicode MS"/>
          <w:color w:val="000000"/>
          <w:sz w:val="22"/>
          <w:szCs w:val="22"/>
          <w:bdr w:val="nil"/>
          <w:lang w:val="en-US" w:eastAsia="en-GB"/>
        </w:rPr>
        <w:t>Nacionalinio saugumo reikalavimų atitikties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14.1. </w:t>
      </w:r>
      <w:r w:rsidR="00147765" w:rsidRPr="00147765">
        <w:rPr>
          <w:rFonts w:cs="Times New Roman"/>
          <w:sz w:val="22"/>
          <w:szCs w:val="22"/>
          <w:lang w:val="lt-LT"/>
        </w:rPr>
        <w:t>Perkančioji organizacija ekonomiškai naudingiausią pasiūlymą išrenka pagal kainos ir kokybės santykį. Ekonomiškai naudingiausiu pasiūlymu laikomas pasiūlymas, kurio ekonominis naudingumas (E) yra didžiausias</w:t>
      </w:r>
      <w:r w:rsidRPr="00740EB5">
        <w:rPr>
          <w:rFonts w:cs="Times New Roman"/>
          <w:sz w:val="22"/>
          <w:szCs w:val="22"/>
          <w:lang w:val="lt-LT"/>
        </w:rPr>
        <w:t>.</w:t>
      </w: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14.2. </w:t>
      </w:r>
      <w:r w:rsidR="00147765" w:rsidRPr="00147765">
        <w:rPr>
          <w:rFonts w:cs="Times New Roman"/>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40EB5">
        <w:rPr>
          <w:rFonts w:cs="Times New Roman"/>
          <w:sz w:val="22"/>
          <w:szCs w:val="22"/>
          <w:lang w:val="lt-LT"/>
        </w:rPr>
        <w:t>.</w:t>
      </w:r>
    </w:p>
    <w:p w:rsidR="00650917" w:rsidRDefault="00AD1E1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14.3. </w:t>
      </w:r>
      <w:r w:rsidR="007514A5" w:rsidRPr="007514A5">
        <w:rPr>
          <w:rFonts w:eastAsia="Calibri"/>
          <w:color w:val="000000" w:themeColor="text1"/>
          <w:sz w:val="22"/>
          <w:szCs w:val="22"/>
        </w:rPr>
        <w:t>Didžiausia priimtina pasiūlymo kaina yra</w:t>
      </w:r>
      <w:r w:rsidR="00925AAF">
        <w:rPr>
          <w:rFonts w:eastAsia="Calibri"/>
          <w:color w:val="000000" w:themeColor="text1"/>
          <w:sz w:val="22"/>
          <w:szCs w:val="22"/>
        </w:rPr>
        <w:t xml:space="preserve"> </w:t>
      </w:r>
      <w:r w:rsidR="00650917">
        <w:rPr>
          <w:rFonts w:eastAsia="Calibri"/>
          <w:color w:val="000000" w:themeColor="text1"/>
          <w:sz w:val="22"/>
          <w:szCs w:val="22"/>
        </w:rPr>
        <w:t>„</w:t>
      </w:r>
      <w:r w:rsidR="00650917" w:rsidRPr="00650917">
        <w:rPr>
          <w:rFonts w:eastAsia="Calibri"/>
          <w:color w:val="000000" w:themeColor="text1"/>
          <w:sz w:val="22"/>
          <w:szCs w:val="22"/>
        </w:rPr>
        <w:t>Magnetinio rezonanso tomografijos sistema</w:t>
      </w:r>
      <w:r w:rsidR="00650917">
        <w:rPr>
          <w:rFonts w:eastAsia="Calibri"/>
          <w:color w:val="000000" w:themeColor="text1"/>
          <w:sz w:val="22"/>
          <w:szCs w:val="22"/>
        </w:rPr>
        <w:t>“</w:t>
      </w:r>
      <w:r w:rsidR="0025190A">
        <w:rPr>
          <w:rFonts w:eastAsia="Calibri"/>
          <w:color w:val="000000" w:themeColor="text1"/>
          <w:sz w:val="22"/>
          <w:szCs w:val="22"/>
        </w:rPr>
        <w:t>,</w:t>
      </w:r>
      <w:r w:rsidR="00650917">
        <w:rPr>
          <w:rFonts w:eastAsia="Calibri"/>
          <w:color w:val="000000" w:themeColor="text1"/>
          <w:sz w:val="22"/>
          <w:szCs w:val="22"/>
        </w:rPr>
        <w:t xml:space="preserve"> 1 vnt. - </w:t>
      </w:r>
      <w:r w:rsidR="007514A5" w:rsidRPr="007514A5">
        <w:rPr>
          <w:rFonts w:eastAsia="Calibri"/>
          <w:color w:val="000000" w:themeColor="text1"/>
          <w:sz w:val="22"/>
          <w:szCs w:val="22"/>
        </w:rPr>
        <w:t xml:space="preserve"> </w:t>
      </w:r>
      <w:r w:rsidR="00650917" w:rsidRPr="00650917">
        <w:rPr>
          <w:rFonts w:eastAsia="Calibri"/>
          <w:color w:val="000000" w:themeColor="text1"/>
          <w:sz w:val="22"/>
          <w:szCs w:val="22"/>
        </w:rPr>
        <w:t>1 500 000,00</w:t>
      </w:r>
      <w:r w:rsidR="003806F4">
        <w:rPr>
          <w:rFonts w:eastAsia="Calibri"/>
          <w:color w:val="000000" w:themeColor="text1"/>
          <w:sz w:val="22"/>
          <w:szCs w:val="22"/>
        </w:rPr>
        <w:t xml:space="preserve"> Eur (su PVM). Šią kainą</w:t>
      </w:r>
      <w:r w:rsidR="003806F4" w:rsidRPr="003806F4">
        <w:rPr>
          <w:rFonts w:eastAsia="Calibri"/>
          <w:color w:val="000000" w:themeColor="text1"/>
          <w:sz w:val="22"/>
          <w:szCs w:val="22"/>
        </w:rPr>
        <w:t xml:space="preserve"> vir</w:t>
      </w:r>
      <w:r w:rsidR="003806F4">
        <w:rPr>
          <w:rFonts w:eastAsia="Calibri"/>
          <w:color w:val="000000" w:themeColor="text1"/>
          <w:sz w:val="22"/>
          <w:szCs w:val="22"/>
        </w:rPr>
        <w:t>šijantys pasiūlymai bus atmesti;</w:t>
      </w:r>
    </w:p>
    <w:p w:rsidR="00925AAF" w:rsidRDefault="00925AAF" w:rsidP="00BF036D">
      <w:pPr>
        <w:tabs>
          <w:tab w:val="left" w:pos="993"/>
          <w:tab w:val="left" w:pos="1134"/>
          <w:tab w:val="left" w:pos="1276"/>
          <w:tab w:val="left" w:pos="1440"/>
          <w:tab w:val="left" w:pos="1560"/>
          <w:tab w:val="left" w:pos="2127"/>
        </w:tabs>
        <w:ind w:firstLine="567"/>
        <w:jc w:val="both"/>
        <w:rPr>
          <w:rFonts w:ascii="Cambria" w:hAnsi="Cambria"/>
          <w:b/>
          <w:sz w:val="22"/>
          <w:szCs w:val="22"/>
        </w:rPr>
      </w:pPr>
    </w:p>
    <w:p w:rsidR="00BF036D" w:rsidRPr="00ED435B" w:rsidRDefault="00BF036D" w:rsidP="00BF036D">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t>14.</w:t>
      </w:r>
      <w:r>
        <w:rPr>
          <w:rFonts w:ascii="Cambria" w:hAnsi="Cambria"/>
          <w:b/>
          <w:sz w:val="22"/>
          <w:szCs w:val="22"/>
        </w:rPr>
        <w:t>4</w:t>
      </w:r>
      <w:r w:rsidRPr="00ED435B">
        <w:rPr>
          <w:rFonts w:ascii="Cambria" w:hAnsi="Cambria"/>
          <w:b/>
          <w:sz w:val="22"/>
          <w:szCs w:val="22"/>
        </w:rPr>
        <w:t xml:space="preserve">. </w:t>
      </w:r>
      <w:r w:rsidR="00925AAF">
        <w:rPr>
          <w:rFonts w:ascii="Cambria" w:hAnsi="Cambria"/>
          <w:b/>
          <w:sz w:val="22"/>
          <w:szCs w:val="22"/>
        </w:rPr>
        <w:t xml:space="preserve">pirkimo </w:t>
      </w:r>
      <w:r>
        <w:rPr>
          <w:rFonts w:ascii="Cambria" w:eastAsia="Arial Unicode MS" w:hAnsi="Cambria"/>
          <w:bCs/>
          <w:sz w:val="22"/>
          <w:szCs w:val="22"/>
          <w:bdr w:val="nil"/>
          <w:lang w:eastAsia="ar-SA"/>
        </w:rPr>
        <w:t>„</w:t>
      </w:r>
      <w:r w:rsidR="00147765" w:rsidRPr="00147765">
        <w:rPr>
          <w:rFonts w:ascii="Cambria" w:hAnsi="Cambria"/>
          <w:b/>
          <w:bCs/>
          <w:sz w:val="22"/>
          <w:szCs w:val="22"/>
        </w:rPr>
        <w:t>Magnetinio rezonanso tomografijos sistema</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EC6F8D" w:rsidRPr="00EC6F8D" w:rsidRDefault="00962785"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14.4.1. </w:t>
      </w:r>
      <w:r w:rsidR="00EC6F8D" w:rsidRPr="00EC6F8D">
        <w:rPr>
          <w:rFonts w:eastAsia="Calibri"/>
          <w:color w:val="000000" w:themeColor="text1"/>
          <w:sz w:val="22"/>
          <w:szCs w:val="22"/>
        </w:rPr>
        <w:t>Numatytų vertinimo kriterijų lyginamieji svoriai:</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1) Kaina (K) – 70;</w:t>
      </w:r>
    </w:p>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EC6F8D">
        <w:rPr>
          <w:rFonts w:eastAsia="Calibri"/>
          <w:color w:val="000000" w:themeColor="text1"/>
          <w:sz w:val="22"/>
          <w:szCs w:val="22"/>
        </w:rPr>
        <w:t>2) Techniniai pranašumai (T) – 30;</w:t>
      </w: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Vertinimo kriterijai ir jų parametrų lyginamieji svoriai: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003"/>
        <w:gridCol w:w="2042"/>
        <w:gridCol w:w="1328"/>
        <w:gridCol w:w="2554"/>
      </w:tblGrid>
      <w:tr w:rsidR="00EC6F8D" w:rsidRPr="00EC6F8D" w:rsidTr="005866B4">
        <w:tc>
          <w:tcPr>
            <w:tcW w:w="5870" w:type="dxa"/>
            <w:gridSpan w:val="3"/>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b/>
                <w:bCs/>
                <w:color w:val="000000" w:themeColor="text1"/>
                <w:sz w:val="22"/>
                <w:szCs w:val="22"/>
              </w:rPr>
            </w:pPr>
            <w:r w:rsidRPr="00EC6F8D">
              <w:rPr>
                <w:rFonts w:eastAsia="Calibri"/>
                <w:b/>
                <w:bCs/>
                <w:color w:val="000000" w:themeColor="text1"/>
                <w:sz w:val="22"/>
                <w:szCs w:val="22"/>
              </w:rPr>
              <w:t>Vertinimo kriterijai</w:t>
            </w:r>
          </w:p>
        </w:tc>
        <w:tc>
          <w:tcPr>
            <w:tcW w:w="1328"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Parametro lyginamasis svoris</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hanging="70"/>
              <w:contextualSpacing/>
              <w:jc w:val="center"/>
              <w:rPr>
                <w:rFonts w:eastAsia="Calibri"/>
                <w:b/>
                <w:bCs/>
                <w:color w:val="000000" w:themeColor="text1"/>
                <w:sz w:val="22"/>
                <w:szCs w:val="22"/>
              </w:rPr>
            </w:pPr>
            <w:r w:rsidRPr="00EC6F8D">
              <w:rPr>
                <w:rFonts w:eastAsia="Calibri"/>
                <w:b/>
                <w:bCs/>
                <w:color w:val="000000" w:themeColor="text1"/>
                <w:sz w:val="22"/>
                <w:szCs w:val="22"/>
              </w:rPr>
              <w:t>Lyginamasis svoris ekonominio naudingumo įvertinime</w:t>
            </w:r>
          </w:p>
        </w:tc>
      </w:tr>
      <w:tr w:rsidR="00EC6F8D" w:rsidRPr="00EC6F8D" w:rsidTr="005866B4">
        <w:tc>
          <w:tcPr>
            <w:tcW w:w="7198"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Kaina (K)</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X=70</w:t>
            </w:r>
          </w:p>
        </w:tc>
      </w:tr>
      <w:tr w:rsidR="00EC6F8D" w:rsidRPr="00EC6F8D" w:rsidTr="005866B4">
        <w:tc>
          <w:tcPr>
            <w:tcW w:w="7198" w:type="dxa"/>
            <w:gridSpan w:val="4"/>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Techniniai pranašumai (T)</w:t>
            </w:r>
          </w:p>
        </w:tc>
        <w:tc>
          <w:tcPr>
            <w:tcW w:w="2554"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Y=30</w:t>
            </w:r>
          </w:p>
        </w:tc>
      </w:tr>
      <w:tr w:rsidR="00EC6F8D" w:rsidRPr="00EC6F8D" w:rsidTr="005866B4">
        <w:tc>
          <w:tcPr>
            <w:tcW w:w="825" w:type="dxa"/>
            <w:shd w:val="clear" w:color="auto" w:fill="auto"/>
            <w:vAlign w:val="center"/>
            <w:hideMark/>
          </w:tcPr>
          <w:p w:rsidR="00EC6F8D" w:rsidRPr="00EC6F8D" w:rsidRDefault="00EC6F8D"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center"/>
              <w:rPr>
                <w:rFonts w:eastAsia="Calibri"/>
                <w:b/>
                <w:bCs/>
                <w:color w:val="000000" w:themeColor="text1"/>
                <w:sz w:val="22"/>
                <w:szCs w:val="22"/>
              </w:rPr>
            </w:pPr>
            <w:r w:rsidRPr="00EC6F8D">
              <w:rPr>
                <w:rFonts w:eastAsia="Calibri"/>
                <w:b/>
                <w:bCs/>
                <w:color w:val="000000" w:themeColor="text1"/>
                <w:sz w:val="22"/>
                <w:szCs w:val="22"/>
              </w:rPr>
              <w:t>Nr.</w:t>
            </w:r>
          </w:p>
        </w:tc>
        <w:tc>
          <w:tcPr>
            <w:tcW w:w="3003"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Parametrai</w:t>
            </w:r>
          </w:p>
        </w:tc>
        <w:tc>
          <w:tcPr>
            <w:tcW w:w="2042"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contextualSpacing/>
              <w:jc w:val="both"/>
              <w:rPr>
                <w:rFonts w:eastAsia="Calibri"/>
                <w:b/>
                <w:bCs/>
                <w:color w:val="000000" w:themeColor="text1"/>
                <w:sz w:val="22"/>
                <w:szCs w:val="22"/>
              </w:rPr>
            </w:pPr>
            <w:r w:rsidRPr="00EC6F8D">
              <w:rPr>
                <w:rFonts w:eastAsia="Calibri"/>
                <w:b/>
                <w:bCs/>
                <w:color w:val="000000" w:themeColor="text1"/>
                <w:sz w:val="22"/>
                <w:szCs w:val="22"/>
              </w:rPr>
              <w:t>Vertinimo būdas</w:t>
            </w:r>
          </w:p>
        </w:tc>
        <w:tc>
          <w:tcPr>
            <w:tcW w:w="1328"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p>
        </w:tc>
        <w:tc>
          <w:tcPr>
            <w:tcW w:w="2554" w:type="dxa"/>
            <w:shd w:val="clear" w:color="auto" w:fill="auto"/>
            <w:vAlign w:val="center"/>
            <w:hideMark/>
          </w:tcPr>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b/>
                <w:bCs/>
                <w:color w:val="000000" w:themeColor="text1"/>
                <w:sz w:val="22"/>
                <w:szCs w:val="22"/>
              </w:rPr>
            </w:pPr>
            <w:r w:rsidRPr="00EC6F8D">
              <w:rPr>
                <w:rFonts w:eastAsia="Calibri"/>
                <w:b/>
                <w:bCs/>
                <w:color w:val="000000" w:themeColor="text1"/>
                <w:sz w:val="22"/>
                <w:szCs w:val="22"/>
              </w:rPr>
              <w:t> </w:t>
            </w:r>
          </w:p>
        </w:tc>
      </w:tr>
      <w:tr w:rsidR="0022154A"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color w:val="000000" w:themeColor="text1"/>
                <w:sz w:val="22"/>
                <w:szCs w:val="22"/>
              </w:rPr>
              <w:lastRenderedPageBreak/>
              <w:t>T</w:t>
            </w:r>
            <w:r w:rsidRPr="0022154A">
              <w:rPr>
                <w:color w:val="000000" w:themeColor="text1"/>
                <w:sz w:val="22"/>
                <w:szCs w:val="22"/>
                <w:vertAlign w:val="subscript"/>
              </w:rPr>
              <w:t>1</w:t>
            </w:r>
          </w:p>
        </w:tc>
        <w:tc>
          <w:tcPr>
            <w:tcW w:w="3003"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rPr>
                <w:color w:val="000000" w:themeColor="text1"/>
                <w:sz w:val="22"/>
                <w:szCs w:val="22"/>
              </w:rPr>
            </w:pPr>
            <w:r w:rsidRPr="0022154A">
              <w:rPr>
                <w:color w:val="000000" w:themeColor="text1"/>
                <w:sz w:val="22"/>
                <w:szCs w:val="22"/>
                <w:lang w:val="pt-BR"/>
              </w:rPr>
              <w:t>Pilnai sandarus magnetas, nereikalaujantis avarinio helio nutekėjimo vamzdžio įrengimo (avarijos atveju, kuomet ritės magneto viduje praranda superlaidumą, helis neprarandamas)</w:t>
            </w:r>
          </w:p>
        </w:tc>
        <w:tc>
          <w:tcPr>
            <w:tcW w:w="2042"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color w:val="000000" w:themeColor="text1"/>
                <w:sz w:val="22"/>
                <w:szCs w:val="22"/>
              </w:rPr>
              <w:t>Statinis: (yra/nėra)</w:t>
            </w:r>
          </w:p>
        </w:tc>
        <w:tc>
          <w:tcPr>
            <w:tcW w:w="1328"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left="522" w:hanging="491"/>
              <w:jc w:val="center"/>
              <w:rPr>
                <w:color w:val="000000" w:themeColor="text1"/>
                <w:sz w:val="22"/>
                <w:szCs w:val="22"/>
              </w:rPr>
            </w:pPr>
            <w:r w:rsidRPr="0022154A">
              <w:rPr>
                <w:color w:val="000000" w:themeColor="text1"/>
                <w:sz w:val="22"/>
                <w:szCs w:val="22"/>
              </w:rPr>
              <w:t>L</w:t>
            </w:r>
            <w:r w:rsidRPr="0022154A">
              <w:rPr>
                <w:color w:val="000000" w:themeColor="text1"/>
                <w:sz w:val="22"/>
                <w:szCs w:val="22"/>
                <w:vertAlign w:val="subscript"/>
              </w:rPr>
              <w:t>1</w:t>
            </w:r>
            <w:r w:rsidRPr="0022154A">
              <w:rPr>
                <w:color w:val="000000" w:themeColor="text1"/>
                <w:sz w:val="22"/>
                <w:szCs w:val="22"/>
              </w:rPr>
              <w:t xml:space="preserve"> = 0,3</w:t>
            </w:r>
          </w:p>
        </w:tc>
        <w:tc>
          <w:tcPr>
            <w:tcW w:w="2554"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rFonts w:eastAsia="Times New Roman"/>
                <w:color w:val="000000" w:themeColor="text1"/>
                <w:sz w:val="22"/>
                <w:szCs w:val="22"/>
                <w:lang w:val="pt-PT"/>
              </w:rPr>
              <w:t>Įrašyti parametro vertę: yra/nėra</w:t>
            </w:r>
          </w:p>
        </w:tc>
      </w:tr>
      <w:tr w:rsidR="0022154A"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right="-81"/>
              <w:jc w:val="center"/>
              <w:rPr>
                <w:color w:val="000000" w:themeColor="text1"/>
                <w:sz w:val="22"/>
                <w:szCs w:val="22"/>
              </w:rPr>
            </w:pPr>
            <w:r w:rsidRPr="0022154A">
              <w:rPr>
                <w:color w:val="000000" w:themeColor="text1"/>
                <w:sz w:val="22"/>
                <w:szCs w:val="22"/>
              </w:rPr>
              <w:t>T</w:t>
            </w:r>
            <w:r w:rsidRPr="0022154A">
              <w:rPr>
                <w:color w:val="000000" w:themeColor="text1"/>
                <w:sz w:val="22"/>
                <w:szCs w:val="22"/>
                <w:vertAlign w:val="subscript"/>
              </w:rPr>
              <w:t>2</w:t>
            </w:r>
          </w:p>
        </w:tc>
        <w:tc>
          <w:tcPr>
            <w:tcW w:w="3003"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rPr>
                <w:rFonts w:eastAsia="Calibri"/>
                <w:color w:val="000000" w:themeColor="text1"/>
                <w:sz w:val="22"/>
                <w:szCs w:val="22"/>
              </w:rPr>
            </w:pPr>
            <w:r w:rsidRPr="0022154A">
              <w:rPr>
                <w:color w:val="000000" w:themeColor="text1"/>
                <w:sz w:val="22"/>
                <w:szCs w:val="22"/>
              </w:rPr>
              <w:t>Garantuojamas nemokamas magnetinio rezonanso tomografijos sistemos darbingumo atstatymas, įvykus savaiminiam ir nesavaiminiam helio nutekėjimui ir magnetinio lauko praradimui, 10 metų laikotarpyje nuo eksploatacijos pradžios (</w:t>
            </w:r>
            <w:r w:rsidRPr="0022154A">
              <w:rPr>
                <w:i/>
                <w:color w:val="000000" w:themeColor="text1"/>
                <w:sz w:val="22"/>
                <w:szCs w:val="22"/>
              </w:rPr>
              <w:t>kartu su pasiūlymu konkursui pateikiamas atitinkamas tiekėjo ir/arba gamintojo įsipareigojimas</w:t>
            </w:r>
            <w:r w:rsidRPr="0022154A">
              <w:rPr>
                <w:color w:val="000000" w:themeColor="text1"/>
                <w:sz w:val="22"/>
                <w:szCs w:val="22"/>
              </w:rPr>
              <w:t>)</w:t>
            </w:r>
          </w:p>
        </w:tc>
        <w:tc>
          <w:tcPr>
            <w:tcW w:w="2042"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rFonts w:eastAsia="Times New Roman"/>
                <w:color w:val="000000" w:themeColor="text1"/>
                <w:sz w:val="22"/>
                <w:szCs w:val="22"/>
              </w:rPr>
            </w:pPr>
            <w:r w:rsidRPr="0022154A">
              <w:rPr>
                <w:color w:val="000000" w:themeColor="text1"/>
                <w:sz w:val="22"/>
                <w:szCs w:val="22"/>
              </w:rPr>
              <w:t>Statinis: (yra/nėra)</w:t>
            </w:r>
          </w:p>
        </w:tc>
        <w:tc>
          <w:tcPr>
            <w:tcW w:w="1328"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left="522" w:hanging="491"/>
              <w:jc w:val="center"/>
              <w:rPr>
                <w:color w:val="000000" w:themeColor="text1"/>
                <w:sz w:val="22"/>
                <w:szCs w:val="22"/>
              </w:rPr>
            </w:pPr>
            <w:r w:rsidRPr="0022154A">
              <w:rPr>
                <w:color w:val="000000" w:themeColor="text1"/>
                <w:sz w:val="22"/>
                <w:szCs w:val="22"/>
              </w:rPr>
              <w:t>L</w:t>
            </w:r>
            <w:r w:rsidRPr="0022154A">
              <w:rPr>
                <w:color w:val="000000" w:themeColor="text1"/>
                <w:sz w:val="22"/>
                <w:szCs w:val="22"/>
                <w:vertAlign w:val="subscript"/>
              </w:rPr>
              <w:t>2</w:t>
            </w:r>
            <w:r w:rsidRPr="0022154A">
              <w:rPr>
                <w:color w:val="000000" w:themeColor="text1"/>
                <w:sz w:val="22"/>
                <w:szCs w:val="22"/>
              </w:rPr>
              <w:t xml:space="preserve"> = 0,3</w:t>
            </w:r>
          </w:p>
        </w:tc>
        <w:tc>
          <w:tcPr>
            <w:tcW w:w="2554"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rFonts w:eastAsia="Times New Roman"/>
                <w:color w:val="000000" w:themeColor="text1"/>
                <w:sz w:val="22"/>
                <w:szCs w:val="22"/>
                <w:lang w:val="pt-PT"/>
              </w:rPr>
              <w:t>Įrašyti parametro vertę: yra/nėra</w:t>
            </w:r>
          </w:p>
        </w:tc>
      </w:tr>
      <w:tr w:rsidR="0022154A" w:rsidRPr="00EC6F8D" w:rsidTr="005866B4">
        <w:tc>
          <w:tcPr>
            <w:tcW w:w="825"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right="-81"/>
              <w:jc w:val="center"/>
              <w:rPr>
                <w:color w:val="000000" w:themeColor="text1"/>
                <w:sz w:val="22"/>
                <w:szCs w:val="22"/>
              </w:rPr>
            </w:pPr>
            <w:r w:rsidRPr="0022154A">
              <w:rPr>
                <w:color w:val="000000" w:themeColor="text1"/>
                <w:sz w:val="22"/>
                <w:szCs w:val="22"/>
              </w:rPr>
              <w:t>T</w:t>
            </w:r>
            <w:r w:rsidRPr="0022154A">
              <w:rPr>
                <w:color w:val="000000" w:themeColor="text1"/>
                <w:sz w:val="22"/>
                <w:szCs w:val="22"/>
                <w:vertAlign w:val="subscript"/>
              </w:rPr>
              <w:t>3</w:t>
            </w:r>
          </w:p>
        </w:tc>
        <w:tc>
          <w:tcPr>
            <w:tcW w:w="3003"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4D5864">
            <w:pPr>
              <w:rPr>
                <w:color w:val="000000" w:themeColor="text1"/>
                <w:sz w:val="22"/>
                <w:szCs w:val="22"/>
                <w:bdr w:val="none" w:sz="0" w:space="0" w:color="auto" w:frame="1"/>
              </w:rPr>
            </w:pPr>
            <w:r w:rsidRPr="0022154A">
              <w:rPr>
                <w:color w:val="000000" w:themeColor="text1"/>
                <w:sz w:val="22"/>
                <w:szCs w:val="22"/>
                <w:bdr w:val="none" w:sz="0" w:space="0" w:color="auto" w:frame="1"/>
              </w:rPr>
              <w:t xml:space="preserve">Siūlomo </w:t>
            </w:r>
            <w:r w:rsidRPr="0022154A">
              <w:rPr>
                <w:color w:val="000000" w:themeColor="text1"/>
                <w:sz w:val="22"/>
                <w:szCs w:val="22"/>
              </w:rPr>
              <w:t xml:space="preserve"> magnetini</w:t>
            </w:r>
            <w:r w:rsidR="004D5864">
              <w:rPr>
                <w:color w:val="000000" w:themeColor="text1"/>
                <w:sz w:val="22"/>
                <w:szCs w:val="22"/>
              </w:rPr>
              <w:t>o rezonanso tomografijos aparato</w:t>
            </w:r>
            <w:r w:rsidRPr="0022154A">
              <w:rPr>
                <w:color w:val="000000" w:themeColor="text1"/>
                <w:sz w:val="22"/>
                <w:szCs w:val="22"/>
                <w:bdr w:val="none" w:sz="0" w:space="0" w:color="auto" w:frame="1"/>
              </w:rPr>
              <w:t xml:space="preserve">  suvartojamos elektros energijos kiekis per parą (apskaičiuotas remiantis COCIR metodikomis)</w:t>
            </w:r>
          </w:p>
        </w:tc>
        <w:tc>
          <w:tcPr>
            <w:tcW w:w="2042"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color w:val="000000" w:themeColor="text1"/>
                <w:sz w:val="22"/>
                <w:szCs w:val="22"/>
              </w:rPr>
            </w:pPr>
            <w:r w:rsidRPr="0022154A">
              <w:rPr>
                <w:color w:val="000000" w:themeColor="text1"/>
                <w:sz w:val="22"/>
                <w:szCs w:val="22"/>
              </w:rPr>
              <w:t>Palyginamasis: interpoliacinis</w:t>
            </w:r>
          </w:p>
        </w:tc>
        <w:tc>
          <w:tcPr>
            <w:tcW w:w="1328"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ind w:left="522" w:hanging="491"/>
              <w:jc w:val="center"/>
              <w:rPr>
                <w:color w:val="000000" w:themeColor="text1"/>
                <w:sz w:val="22"/>
                <w:szCs w:val="22"/>
              </w:rPr>
            </w:pPr>
            <w:r w:rsidRPr="0022154A">
              <w:rPr>
                <w:color w:val="000000" w:themeColor="text1"/>
                <w:sz w:val="22"/>
                <w:szCs w:val="22"/>
              </w:rPr>
              <w:t>L</w:t>
            </w:r>
            <w:r w:rsidRPr="0022154A">
              <w:rPr>
                <w:color w:val="000000" w:themeColor="text1"/>
                <w:sz w:val="22"/>
                <w:szCs w:val="22"/>
                <w:vertAlign w:val="subscript"/>
              </w:rPr>
              <w:t>3</w:t>
            </w:r>
            <w:r w:rsidR="004D5864">
              <w:rPr>
                <w:color w:val="000000" w:themeColor="text1"/>
                <w:sz w:val="22"/>
                <w:szCs w:val="22"/>
              </w:rPr>
              <w:t xml:space="preserve"> = 0,4</w:t>
            </w:r>
          </w:p>
        </w:tc>
        <w:tc>
          <w:tcPr>
            <w:tcW w:w="2554" w:type="dxa"/>
            <w:tcBorders>
              <w:top w:val="single" w:sz="4" w:space="0" w:color="auto"/>
              <w:left w:val="single" w:sz="4" w:space="0" w:color="auto"/>
              <w:bottom w:val="single" w:sz="4" w:space="0" w:color="auto"/>
              <w:right w:val="single" w:sz="4" w:space="0" w:color="auto"/>
            </w:tcBorders>
            <w:vAlign w:val="center"/>
          </w:tcPr>
          <w:p w:rsidR="0022154A" w:rsidRPr="0022154A" w:rsidRDefault="0022154A" w:rsidP="0022154A">
            <w:pPr>
              <w:jc w:val="center"/>
              <w:rPr>
                <w:rFonts w:eastAsia="Times New Roman"/>
                <w:color w:val="000000" w:themeColor="text1"/>
                <w:sz w:val="22"/>
                <w:szCs w:val="22"/>
                <w:lang w:val="pt-PT"/>
              </w:rPr>
            </w:pPr>
            <w:r w:rsidRPr="0022154A">
              <w:rPr>
                <w:rFonts w:eastAsia="Times New Roman"/>
                <w:color w:val="000000" w:themeColor="text1"/>
                <w:sz w:val="22"/>
                <w:szCs w:val="22"/>
                <w:lang w:val="pt-PT"/>
              </w:rPr>
              <w:t>Įrašyti konkrečią parametro vertę</w:t>
            </w:r>
          </w:p>
        </w:tc>
      </w:tr>
    </w:tbl>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Pr="00EC6F8D" w:rsidRDefault="007E565C"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14.4.2. </w:t>
      </w:r>
      <w:r w:rsidR="00EC6F8D" w:rsidRPr="00EC6F8D">
        <w:rPr>
          <w:rFonts w:eastAsia="Calibri"/>
          <w:color w:val="000000" w:themeColor="text1"/>
          <w:sz w:val="22"/>
          <w:szCs w:val="22"/>
        </w:rPr>
        <w:t>Pasiūlymo ekonominio naudingumo (kainos ir kokybės santykio) apskaičiavimo tvarka (formulė) yra pateikiama žemiau:</w:t>
      </w:r>
    </w:p>
    <w:p w:rsid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1. Pasiūlymo ekonominis naudingumas (E) apskaičiuojamas sudedant tiekėjo pasiūlymo kainos (K) ir techninių pranašumų (T) balus:</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EC6F8D">
        <w:rPr>
          <w:rFonts w:eastAsia="Calibri"/>
          <w:color w:val="000000" w:themeColor="text1"/>
          <w:sz w:val="22"/>
          <w:szCs w:val="22"/>
        </w:rPr>
        <w:t>E = K + T</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2. Pasiūlymo kainos (K) balai apskaičiuojami mažiausios pasiūlytos kainos (K</w:t>
      </w:r>
      <w:r w:rsidRPr="00BB33E4">
        <w:rPr>
          <w:rFonts w:eastAsia="Calibri"/>
          <w:color w:val="000000" w:themeColor="text1"/>
          <w:sz w:val="22"/>
          <w:szCs w:val="22"/>
          <w:vertAlign w:val="subscript"/>
        </w:rPr>
        <w:t>min</w:t>
      </w:r>
      <w:r w:rsidRPr="00EC6F8D">
        <w:rPr>
          <w:rFonts w:eastAsia="Calibri"/>
          <w:color w:val="000000" w:themeColor="text1"/>
          <w:sz w:val="22"/>
          <w:szCs w:val="22"/>
        </w:rPr>
        <w:t>) ir vertinamo pasiūlymo kainos (K</w:t>
      </w:r>
      <w:r w:rsidRPr="00BB33E4">
        <w:rPr>
          <w:rFonts w:eastAsia="Calibri"/>
          <w:color w:val="000000" w:themeColor="text1"/>
          <w:sz w:val="22"/>
          <w:szCs w:val="22"/>
          <w:vertAlign w:val="subscript"/>
        </w:rPr>
        <w:t>v</w:t>
      </w:r>
      <w:r w:rsidRPr="00EC6F8D">
        <w:rPr>
          <w:rFonts w:eastAsia="Calibri"/>
          <w:color w:val="000000" w:themeColor="text1"/>
          <w:sz w:val="22"/>
          <w:szCs w:val="22"/>
        </w:rPr>
        <w:t>) santykį padauginant iš kainos lyginamojo svorio (X):</w:t>
      </w:r>
    </w:p>
    <w:p w:rsidR="00187253" w:rsidRPr="00EC6F8D"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EC6F8D" w:rsidRDefault="00EC6F8D" w:rsidP="001872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center"/>
        <w:rPr>
          <w:rFonts w:eastAsia="Calibri"/>
          <w:color w:val="000000" w:themeColor="text1"/>
          <w:sz w:val="22"/>
          <w:szCs w:val="22"/>
        </w:rPr>
      </w:pPr>
      <w:r w:rsidRPr="00EC6F8D">
        <w:rPr>
          <w:rFonts w:eastAsia="Calibri"/>
          <w:noProof/>
          <w:color w:val="000000" w:themeColor="text1"/>
          <w:sz w:val="22"/>
          <w:szCs w:val="22"/>
          <w:lang w:eastAsia="lt-LT"/>
        </w:rPr>
        <w:drawing>
          <wp:inline distT="0" distB="0" distL="0" distR="0" wp14:anchorId="24FCA731" wp14:editId="0BA6C710">
            <wp:extent cx="920198" cy="368990"/>
            <wp:effectExtent l="0" t="0" r="0" b="0"/>
            <wp:docPr id="16"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F532B6-C52E-4287-B711-FD0E8D601790}"/>
                        </a:ext>
                      </a:extLst>
                    </pic:cNvPr>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0198" cy="3689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87253" w:rsidRDefault="00187253"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7601DC" w:rsidRDefault="007601DC"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lang w:val="pt-BR"/>
        </w:rPr>
        <w:t>3.</w:t>
      </w:r>
      <w:r w:rsidRPr="007601DC">
        <w:t xml:space="preserve"> </w:t>
      </w:r>
      <w:r w:rsidRPr="007601DC">
        <w:rPr>
          <w:rFonts w:eastAsia="Calibri"/>
          <w:color w:val="000000" w:themeColor="text1"/>
          <w:sz w:val="22"/>
          <w:szCs w:val="22"/>
          <w:lang w:val="pt-BR"/>
        </w:rPr>
        <w:t>Siūlomo objekto techniniai pranašumai įvertinami dviem skirtingais vertinimo būdais, todėl parametrų įvertinimas apskaičiuojamas skirtingais metodais:</w:t>
      </w:r>
    </w:p>
    <w:p w:rsidR="008A54E9" w:rsidRPr="008A54E9" w:rsidRDefault="008A54E9" w:rsidP="008A54E9">
      <w:pPr>
        <w:ind w:firstLine="567"/>
        <w:jc w:val="both"/>
        <w:rPr>
          <w:rFonts w:eastAsia="Arial Unicode MS"/>
          <w:color w:val="000000" w:themeColor="text1"/>
          <w:sz w:val="22"/>
          <w:szCs w:val="22"/>
          <w:bdr w:val="none" w:sz="0" w:space="0" w:color="auto" w:frame="1"/>
          <w:lang w:val="pt-BR"/>
        </w:rPr>
      </w:pPr>
      <w:r w:rsidRPr="008A54E9">
        <w:rPr>
          <w:rFonts w:eastAsia="Arial Unicode MS"/>
          <w:color w:val="000000" w:themeColor="text1"/>
          <w:sz w:val="22"/>
          <w:szCs w:val="22"/>
          <w:bdr w:val="none" w:sz="0" w:space="0" w:color="auto" w:frame="1"/>
          <w:lang w:val="pt-BR"/>
        </w:rPr>
        <w:t xml:space="preserve">3.1. Siūlomo objekto </w:t>
      </w:r>
      <w:bookmarkStart w:id="2" w:name="_Hlk204239453"/>
      <w:r w:rsidRPr="008A54E9">
        <w:rPr>
          <w:rFonts w:eastAsia="Arial Unicode MS"/>
          <w:color w:val="000000" w:themeColor="text1"/>
          <w:sz w:val="22"/>
          <w:szCs w:val="22"/>
          <w:bdr w:val="none" w:sz="0" w:space="0" w:color="auto" w:frame="1"/>
          <w:lang w:val="pt-BR"/>
        </w:rPr>
        <w:t>T</w:t>
      </w:r>
      <w:r w:rsidRPr="008A54E9">
        <w:rPr>
          <w:rFonts w:eastAsia="Arial Unicode MS"/>
          <w:color w:val="000000" w:themeColor="text1"/>
          <w:sz w:val="22"/>
          <w:szCs w:val="22"/>
          <w:bdr w:val="none" w:sz="0" w:space="0" w:color="auto" w:frame="1"/>
          <w:vertAlign w:val="subscript"/>
          <w:lang w:val="pt-BR"/>
        </w:rPr>
        <w:t>1</w:t>
      </w:r>
      <w:r w:rsidRPr="008A54E9">
        <w:rPr>
          <w:rFonts w:eastAsia="Arial Unicode MS"/>
          <w:color w:val="000000" w:themeColor="text1"/>
          <w:sz w:val="22"/>
          <w:szCs w:val="22"/>
          <w:bdr w:val="none" w:sz="0" w:space="0" w:color="auto" w:frame="1"/>
          <w:lang w:val="pt-BR"/>
        </w:rPr>
        <w:t xml:space="preserve"> ir T</w:t>
      </w:r>
      <w:r w:rsidRPr="008A54E9">
        <w:rPr>
          <w:rFonts w:eastAsia="Arial Unicode MS"/>
          <w:color w:val="000000" w:themeColor="text1"/>
          <w:sz w:val="22"/>
          <w:szCs w:val="22"/>
          <w:bdr w:val="none" w:sz="0" w:space="0" w:color="auto" w:frame="1"/>
          <w:vertAlign w:val="subscript"/>
          <w:lang w:val="pt-BR"/>
        </w:rPr>
        <w:t>2</w:t>
      </w:r>
      <w:r w:rsidRPr="008A54E9">
        <w:rPr>
          <w:rFonts w:eastAsia="Arial Unicode MS"/>
          <w:color w:val="000000" w:themeColor="text1"/>
          <w:sz w:val="22"/>
          <w:szCs w:val="22"/>
          <w:bdr w:val="none" w:sz="0" w:space="0" w:color="auto" w:frame="1"/>
          <w:lang w:val="pt-BR"/>
        </w:rPr>
        <w:t xml:space="preserve"> </w:t>
      </w:r>
      <w:bookmarkEnd w:id="2"/>
      <w:r w:rsidRPr="008A54E9">
        <w:rPr>
          <w:rFonts w:eastAsia="Arial Unicode MS"/>
          <w:color w:val="000000" w:themeColor="text1"/>
          <w:sz w:val="22"/>
          <w:szCs w:val="22"/>
          <w:bdr w:val="none" w:sz="0" w:space="0" w:color="auto" w:frame="1"/>
          <w:lang w:val="pt-BR"/>
        </w:rPr>
        <w:t>techniniai parametrai aprašomi statiniu vertinimo būdu ir neturi skaitinių išraiškų (yra arba nėra), todėl parametro įvertinimas apskaičiuojamas pagal formulę:</w:t>
      </w:r>
    </w:p>
    <w:p w:rsidR="008A54E9" w:rsidRPr="008A54E9" w:rsidRDefault="008A54E9" w:rsidP="008A54E9">
      <w:pPr>
        <w:ind w:firstLine="567"/>
        <w:jc w:val="both"/>
        <w:rPr>
          <w:rFonts w:eastAsia="Arial Unicode MS"/>
          <w:color w:val="000000" w:themeColor="text1"/>
          <w:sz w:val="22"/>
          <w:szCs w:val="22"/>
          <w:bdr w:val="none" w:sz="0" w:space="0" w:color="auto" w:frame="1"/>
          <w:lang w:val="pt-BR"/>
        </w:rPr>
      </w:pPr>
      <w:r w:rsidRPr="008A54E9">
        <w:rPr>
          <w:rFonts w:eastAsia="Arial Unicode MS"/>
          <w:color w:val="000000" w:themeColor="text1"/>
          <w:sz w:val="22"/>
          <w:szCs w:val="22"/>
          <w:bdr w:val="none" w:sz="0" w:space="0" w:color="auto" w:frame="1"/>
          <w:lang w:val="pt-BR"/>
        </w:rPr>
        <w:t>jei siūlomas objektas turi nurodytą pranašumą: T</w:t>
      </w:r>
      <w:r w:rsidRPr="008A54E9">
        <w:rPr>
          <w:rFonts w:eastAsia="Arial Unicode MS"/>
          <w:color w:val="000000" w:themeColor="text1"/>
          <w:sz w:val="22"/>
          <w:szCs w:val="22"/>
          <w:bdr w:val="none" w:sz="0" w:space="0" w:color="auto" w:frame="1"/>
          <w:vertAlign w:val="subscript"/>
          <w:lang w:val="pt-BR"/>
        </w:rPr>
        <w:t>i</w:t>
      </w:r>
      <w:r w:rsidRPr="008A54E9">
        <w:rPr>
          <w:rFonts w:eastAsia="Arial Unicode MS"/>
          <w:color w:val="000000" w:themeColor="text1"/>
          <w:sz w:val="22"/>
          <w:szCs w:val="22"/>
          <w:bdr w:val="none" w:sz="0" w:space="0" w:color="auto" w:frame="1"/>
          <w:lang w:val="pt-BR"/>
        </w:rPr>
        <w:t xml:space="preserve"> = L</w:t>
      </w:r>
      <w:r w:rsidRPr="008A54E9">
        <w:rPr>
          <w:rFonts w:eastAsia="Arial Unicode MS"/>
          <w:color w:val="000000" w:themeColor="text1"/>
          <w:sz w:val="22"/>
          <w:szCs w:val="22"/>
          <w:bdr w:val="none" w:sz="0" w:space="0" w:color="auto" w:frame="1"/>
          <w:vertAlign w:val="subscript"/>
          <w:lang w:val="pt-BR"/>
        </w:rPr>
        <w:t>i</w:t>
      </w:r>
      <w:r w:rsidRPr="008A54E9">
        <w:rPr>
          <w:rFonts w:eastAsia="Arial Unicode MS"/>
          <w:color w:val="000000" w:themeColor="text1"/>
          <w:sz w:val="22"/>
          <w:szCs w:val="22"/>
          <w:bdr w:val="none" w:sz="0" w:space="0" w:color="auto" w:frame="1"/>
          <w:lang w:val="pt-BR"/>
        </w:rPr>
        <w:t>;</w:t>
      </w:r>
    </w:p>
    <w:p w:rsidR="008A54E9" w:rsidRPr="008A54E9" w:rsidRDefault="008A54E9" w:rsidP="008A54E9">
      <w:pPr>
        <w:ind w:firstLine="567"/>
        <w:rPr>
          <w:rFonts w:eastAsia="Arial Unicode MS"/>
          <w:color w:val="000000" w:themeColor="text1"/>
          <w:sz w:val="22"/>
          <w:szCs w:val="22"/>
          <w:bdr w:val="none" w:sz="0" w:space="0" w:color="auto" w:frame="1"/>
          <w:lang w:val="it-IT"/>
        </w:rPr>
      </w:pPr>
      <w:r w:rsidRPr="008A54E9">
        <w:rPr>
          <w:rFonts w:eastAsia="Arial Unicode MS"/>
          <w:color w:val="000000" w:themeColor="text1"/>
          <w:sz w:val="22"/>
          <w:szCs w:val="22"/>
          <w:bdr w:val="none" w:sz="0" w:space="0" w:color="auto" w:frame="1"/>
          <w:lang w:val="it-IT"/>
        </w:rPr>
        <w:t>jei siūlomas objektas neturi nurodyto pranašumo: T</w:t>
      </w:r>
      <w:r w:rsidRPr="008A54E9">
        <w:rPr>
          <w:rFonts w:eastAsia="Arial Unicode MS"/>
          <w:color w:val="000000" w:themeColor="text1"/>
          <w:sz w:val="22"/>
          <w:szCs w:val="22"/>
          <w:bdr w:val="none" w:sz="0" w:space="0" w:color="auto" w:frame="1"/>
          <w:vertAlign w:val="subscript"/>
          <w:lang w:val="it-IT"/>
        </w:rPr>
        <w:t>i</w:t>
      </w:r>
      <w:r w:rsidRPr="008A54E9">
        <w:rPr>
          <w:rFonts w:eastAsia="Arial Unicode MS"/>
          <w:color w:val="000000" w:themeColor="text1"/>
          <w:sz w:val="22"/>
          <w:szCs w:val="22"/>
          <w:bdr w:val="none" w:sz="0" w:space="0" w:color="auto" w:frame="1"/>
          <w:lang w:val="it-IT"/>
        </w:rPr>
        <w:t xml:space="preserve"> = 0;</w:t>
      </w:r>
    </w:p>
    <w:p w:rsidR="008A54E9" w:rsidRPr="008A54E9" w:rsidRDefault="008A54E9" w:rsidP="008A54E9">
      <w:pPr>
        <w:rPr>
          <w:rFonts w:eastAsia="Arial Unicode MS"/>
          <w:color w:val="000000" w:themeColor="text1"/>
          <w:sz w:val="22"/>
          <w:szCs w:val="22"/>
          <w:bdr w:val="none" w:sz="0" w:space="0" w:color="auto" w:frame="1"/>
          <w:lang w:val="it-IT"/>
        </w:rPr>
      </w:pPr>
    </w:p>
    <w:p w:rsidR="008A54E9" w:rsidRPr="008A54E9" w:rsidRDefault="00820A58" w:rsidP="008A54E9">
      <w:pPr>
        <w:shd w:val="clear" w:color="auto" w:fill="FFFFFF"/>
        <w:ind w:firstLine="567"/>
        <w:jc w:val="both"/>
        <w:rPr>
          <w:rFonts w:eastAsia="Arial Unicode MS"/>
          <w:noProof/>
          <w:color w:val="000000" w:themeColor="text1"/>
          <w:sz w:val="22"/>
          <w:szCs w:val="22"/>
        </w:rPr>
      </w:pPr>
      <w:r>
        <w:rPr>
          <w:rFonts w:eastAsia="Arial Unicode MS"/>
          <w:noProof/>
          <w:color w:val="000000" w:themeColor="text1"/>
          <w:sz w:val="22"/>
          <w:szCs w:val="22"/>
          <w:bdr w:val="nil"/>
        </w:rPr>
        <w:t>3</w:t>
      </w:r>
      <w:r w:rsidR="008A54E9" w:rsidRPr="008A54E9">
        <w:rPr>
          <w:rFonts w:eastAsia="Arial Unicode MS"/>
          <w:noProof/>
          <w:color w:val="000000" w:themeColor="text1"/>
          <w:sz w:val="22"/>
          <w:szCs w:val="22"/>
          <w:bdr w:val="nil"/>
        </w:rPr>
        <w:t>.2. Siūlomo objekto T</w:t>
      </w:r>
      <w:r w:rsidR="008A54E9" w:rsidRPr="008A54E9">
        <w:rPr>
          <w:rFonts w:eastAsia="Arial Unicode MS"/>
          <w:noProof/>
          <w:color w:val="000000" w:themeColor="text1"/>
          <w:sz w:val="22"/>
          <w:szCs w:val="22"/>
          <w:bdr w:val="nil"/>
          <w:vertAlign w:val="subscript"/>
        </w:rPr>
        <w:t>3</w:t>
      </w:r>
      <w:r w:rsidR="008A54E9" w:rsidRPr="008A54E9">
        <w:rPr>
          <w:rFonts w:eastAsia="Arial Unicode MS"/>
          <w:noProof/>
          <w:color w:val="000000" w:themeColor="text1"/>
          <w:sz w:val="22"/>
          <w:szCs w:val="22"/>
          <w:bdr w:val="nil"/>
        </w:rPr>
        <w:t xml:space="preserve"> techninis parametras aprašomas palyginamuoju interpoliaciniu vertinimo būdu, todėl parametro įvertinimas apskaičiuojamas pagal metodiką:</w:t>
      </w:r>
    </w:p>
    <w:p w:rsidR="008A54E9" w:rsidRPr="008A54E9" w:rsidRDefault="008A54E9" w:rsidP="008A54E9">
      <w:pPr>
        <w:shd w:val="clear" w:color="auto" w:fill="FFFFFF"/>
        <w:ind w:firstLine="567"/>
        <w:jc w:val="both"/>
        <w:rPr>
          <w:rFonts w:eastAsia="Arial Unicode MS"/>
          <w:noProof/>
          <w:color w:val="000000" w:themeColor="text1"/>
          <w:sz w:val="22"/>
          <w:szCs w:val="22"/>
          <w:bdr w:val="nil"/>
        </w:rPr>
      </w:pPr>
      <w:r w:rsidRPr="008A54E9">
        <w:rPr>
          <w:rFonts w:eastAsia="Arial Unicode MS"/>
          <w:noProof/>
          <w:color w:val="000000" w:themeColor="text1"/>
          <w:sz w:val="22"/>
          <w:szCs w:val="22"/>
          <w:bdr w:val="nil"/>
        </w:rPr>
        <w:t>Jei siūlomas objektas turi parametro T</w:t>
      </w:r>
      <w:r w:rsidRPr="008A54E9">
        <w:rPr>
          <w:rFonts w:eastAsia="Arial Unicode MS"/>
          <w:noProof/>
          <w:color w:val="000000" w:themeColor="text1"/>
          <w:sz w:val="22"/>
          <w:szCs w:val="22"/>
          <w:bdr w:val="nil"/>
          <w:vertAlign w:val="subscript"/>
        </w:rPr>
        <w:t>3,</w:t>
      </w:r>
      <w:r w:rsidRPr="008A54E9">
        <w:rPr>
          <w:rFonts w:eastAsia="Arial Unicode MS"/>
          <w:noProof/>
          <w:color w:val="000000" w:themeColor="text1"/>
          <w:sz w:val="22"/>
          <w:szCs w:val="22"/>
          <w:bdr w:val="nil"/>
        </w:rPr>
        <w:t xml:space="preserve"> mažiausią skaitinę vertę (T</w:t>
      </w:r>
      <w:r w:rsidRPr="008A54E9">
        <w:rPr>
          <w:rFonts w:eastAsia="Arial Unicode MS"/>
          <w:noProof/>
          <w:color w:val="000000" w:themeColor="text1"/>
          <w:sz w:val="22"/>
          <w:szCs w:val="22"/>
          <w:bdr w:val="nil"/>
          <w:vertAlign w:val="subscript"/>
        </w:rPr>
        <w:t>min</w:t>
      </w:r>
      <w:r w:rsidRPr="008A54E9">
        <w:rPr>
          <w:rFonts w:eastAsia="Arial Unicode MS"/>
          <w:noProof/>
          <w:color w:val="000000" w:themeColor="text1"/>
          <w:sz w:val="22"/>
          <w:szCs w:val="22"/>
          <w:bdr w:val="nil"/>
        </w:rPr>
        <w:t>) gauna maksimalų balų skaičių pagal lyginamąjį svorį: T</w:t>
      </w:r>
      <w:r w:rsidRPr="008A54E9">
        <w:rPr>
          <w:rFonts w:eastAsia="Arial Unicode MS"/>
          <w:noProof/>
          <w:color w:val="000000" w:themeColor="text1"/>
          <w:sz w:val="22"/>
          <w:szCs w:val="22"/>
          <w:bdr w:val="nil"/>
          <w:vertAlign w:val="subscript"/>
        </w:rPr>
        <w:t>i</w:t>
      </w:r>
      <w:r w:rsidRPr="008A54E9">
        <w:rPr>
          <w:rFonts w:eastAsia="Arial Unicode MS"/>
          <w:noProof/>
          <w:color w:val="000000" w:themeColor="text1"/>
          <w:sz w:val="22"/>
          <w:szCs w:val="22"/>
          <w:bdr w:val="nil"/>
        </w:rPr>
        <w:t xml:space="preserve"> = L</w:t>
      </w:r>
      <w:r w:rsidRPr="008A54E9">
        <w:rPr>
          <w:rFonts w:eastAsia="Arial Unicode MS"/>
          <w:noProof/>
          <w:color w:val="000000" w:themeColor="text1"/>
          <w:sz w:val="22"/>
          <w:szCs w:val="22"/>
          <w:bdr w:val="nil"/>
          <w:vertAlign w:val="subscript"/>
        </w:rPr>
        <w:t>i</w:t>
      </w:r>
      <w:r w:rsidRPr="008A54E9">
        <w:rPr>
          <w:rFonts w:eastAsia="Arial Unicode MS"/>
          <w:noProof/>
          <w:color w:val="000000" w:themeColor="text1"/>
          <w:sz w:val="22"/>
          <w:szCs w:val="22"/>
          <w:bdr w:val="nil"/>
        </w:rPr>
        <w:t>. Didžiausią parametro T</w:t>
      </w:r>
      <w:r w:rsidRPr="008A54E9">
        <w:rPr>
          <w:rFonts w:eastAsia="Arial Unicode MS"/>
          <w:noProof/>
          <w:color w:val="000000" w:themeColor="text1"/>
          <w:sz w:val="22"/>
          <w:szCs w:val="22"/>
          <w:bdr w:val="nil"/>
          <w:vertAlign w:val="subscript"/>
        </w:rPr>
        <w:t>3</w:t>
      </w:r>
      <w:r w:rsidRPr="008A54E9">
        <w:rPr>
          <w:rFonts w:eastAsia="Arial Unicode MS"/>
          <w:noProof/>
          <w:color w:val="000000" w:themeColor="text1"/>
          <w:sz w:val="22"/>
          <w:szCs w:val="22"/>
          <w:bdr w:val="nil"/>
        </w:rPr>
        <w:t xml:space="preserve"> skaitinę vertę (T</w:t>
      </w:r>
      <w:r w:rsidRPr="008A54E9">
        <w:rPr>
          <w:rFonts w:eastAsia="Arial Unicode MS"/>
          <w:noProof/>
          <w:color w:val="000000" w:themeColor="text1"/>
          <w:sz w:val="22"/>
          <w:szCs w:val="22"/>
          <w:bdr w:val="nil"/>
          <w:vertAlign w:val="subscript"/>
        </w:rPr>
        <w:t>max</w:t>
      </w:r>
      <w:r w:rsidRPr="008A54E9">
        <w:rPr>
          <w:rFonts w:eastAsia="Arial Unicode MS"/>
          <w:noProof/>
          <w:color w:val="000000" w:themeColor="text1"/>
          <w:sz w:val="22"/>
          <w:szCs w:val="22"/>
          <w:bdr w:val="nil"/>
        </w:rPr>
        <w:t>) turintis objektas gauna 0 balų: T</w:t>
      </w:r>
      <w:r w:rsidRPr="008A54E9">
        <w:rPr>
          <w:rFonts w:eastAsia="Arial Unicode MS"/>
          <w:noProof/>
          <w:color w:val="000000" w:themeColor="text1"/>
          <w:sz w:val="22"/>
          <w:szCs w:val="22"/>
          <w:bdr w:val="nil"/>
          <w:vertAlign w:val="subscript"/>
        </w:rPr>
        <w:t>i</w:t>
      </w:r>
      <w:r w:rsidRPr="008A54E9">
        <w:rPr>
          <w:rFonts w:eastAsia="Arial Unicode MS"/>
          <w:noProof/>
          <w:color w:val="000000" w:themeColor="text1"/>
          <w:sz w:val="22"/>
          <w:szCs w:val="22"/>
          <w:bdr w:val="nil"/>
        </w:rPr>
        <w:t xml:space="preserve"> = 0. Visais kitais atvejais vertinamo objekto (T</w:t>
      </w:r>
      <w:r w:rsidRPr="008A54E9">
        <w:rPr>
          <w:rFonts w:eastAsia="Arial Unicode MS"/>
          <w:noProof/>
          <w:color w:val="000000" w:themeColor="text1"/>
          <w:sz w:val="22"/>
          <w:szCs w:val="22"/>
          <w:bdr w:val="nil"/>
          <w:vertAlign w:val="subscript"/>
        </w:rPr>
        <w:t>v</w:t>
      </w:r>
      <w:r w:rsidRPr="008A54E9">
        <w:rPr>
          <w:rFonts w:eastAsia="Arial Unicode MS"/>
          <w:noProof/>
          <w:color w:val="000000" w:themeColor="text1"/>
          <w:sz w:val="22"/>
          <w:szCs w:val="22"/>
          <w:bdr w:val="nil"/>
        </w:rPr>
        <w:t>) parametro įvertinimas skaičiuojamas pagal formulę:</w:t>
      </w:r>
    </w:p>
    <w:p w:rsidR="008A54E9" w:rsidRPr="008A54E9" w:rsidRDefault="00EF42C7" w:rsidP="008A54E9">
      <w:pPr>
        <w:shd w:val="clear" w:color="auto" w:fill="FFFFFF"/>
        <w:jc w:val="center"/>
        <w:rPr>
          <w:rFonts w:eastAsia="Arial Unicode MS"/>
          <w:noProof/>
          <w:color w:val="000000" w:themeColor="text1"/>
          <w:sz w:val="22"/>
          <w:szCs w:val="22"/>
          <w:bdr w:val="nil"/>
        </w:rPr>
      </w:pPr>
      <m:oMathPara>
        <m:oMath>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i</m:t>
              </m:r>
            </m:sub>
          </m:sSub>
          <m:r>
            <m:rPr>
              <m:sty m:val="p"/>
            </m:rPr>
            <w:rPr>
              <w:rFonts w:ascii="Cambria Math" w:eastAsia="Arial Unicode MS" w:hAnsi="Cambria Math"/>
              <w:noProof/>
              <w:color w:val="000000" w:themeColor="text1"/>
              <w:sz w:val="22"/>
              <w:szCs w:val="22"/>
              <w:bdr w:val="nil"/>
            </w:rPr>
            <m:t>=</m:t>
          </m:r>
          <m:f>
            <m:fPr>
              <m:ctrlPr>
                <w:rPr>
                  <w:rFonts w:ascii="Cambria Math" w:eastAsia="Arial Unicode MS" w:hAnsi="Cambria Math"/>
                  <w:noProof/>
                  <w:color w:val="000000" w:themeColor="text1"/>
                  <w:sz w:val="22"/>
                  <w:szCs w:val="22"/>
                  <w:bdr w:val="nil"/>
                  <w:lang w:val="en-US"/>
                </w:rPr>
              </m:ctrlPr>
            </m:fPr>
            <m:num>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max</m:t>
                  </m:r>
                </m:sub>
              </m:sSub>
              <m:r>
                <m:rPr>
                  <m:sty m:val="p"/>
                </m:rPr>
                <w:rPr>
                  <w:rFonts w:ascii="Cambria Math" w:eastAsia="Arial Unicode MS" w:hAnsi="Cambria Math"/>
                  <w:noProof/>
                  <w:color w:val="000000" w:themeColor="text1"/>
                  <w:sz w:val="22"/>
                  <w:szCs w:val="22"/>
                  <w:bdr w:val="nil"/>
                </w:rPr>
                <m:t>-</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v</m:t>
                  </m:r>
                </m:sub>
              </m:sSub>
            </m:num>
            <m:den>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max</m:t>
                  </m:r>
                </m:sub>
              </m:sSub>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min</m:t>
                  </m:r>
                </m:sub>
              </m:sSub>
            </m:den>
          </m:f>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L</m:t>
              </m:r>
            </m:e>
            <m:sub>
              <m:r>
                <m:rPr>
                  <m:sty m:val="p"/>
                </m:rPr>
                <w:rPr>
                  <w:rFonts w:ascii="Cambria Math" w:eastAsia="Arial Unicode MS" w:hAnsi="Cambria Math"/>
                  <w:noProof/>
                  <w:color w:val="000000" w:themeColor="text1"/>
                  <w:sz w:val="22"/>
                  <w:szCs w:val="22"/>
                  <w:bdr w:val="nil"/>
                </w:rPr>
                <m:t>i</m:t>
              </m:r>
            </m:sub>
          </m:sSub>
        </m:oMath>
      </m:oMathPara>
    </w:p>
    <w:p w:rsidR="008A54E9" w:rsidRPr="008A54E9" w:rsidRDefault="008A54E9" w:rsidP="008A54E9">
      <w:pPr>
        <w:shd w:val="clear" w:color="auto" w:fill="FFFFFF"/>
        <w:ind w:firstLine="567"/>
        <w:jc w:val="both"/>
        <w:rPr>
          <w:rFonts w:eastAsia="Arial Unicode MS"/>
          <w:color w:val="000000" w:themeColor="text1"/>
          <w:sz w:val="22"/>
          <w:szCs w:val="22"/>
          <w:bdr w:val="none" w:sz="0" w:space="0" w:color="auto" w:frame="1"/>
          <w:lang w:val="it-IT"/>
        </w:rPr>
      </w:pPr>
    </w:p>
    <w:p w:rsidR="008A54E9" w:rsidRPr="008A54E9" w:rsidRDefault="008A54E9" w:rsidP="008A54E9">
      <w:pPr>
        <w:shd w:val="clear" w:color="auto" w:fill="FFFFFF"/>
        <w:ind w:firstLine="567"/>
        <w:jc w:val="both"/>
        <w:rPr>
          <w:rFonts w:eastAsia="Arial Unicode MS"/>
          <w:color w:val="000000" w:themeColor="text1"/>
          <w:sz w:val="22"/>
          <w:szCs w:val="22"/>
          <w:bdr w:val="none" w:sz="0" w:space="0" w:color="auto" w:frame="1"/>
          <w:lang w:val="it-IT"/>
        </w:rPr>
      </w:pPr>
    </w:p>
    <w:p w:rsidR="008A54E9" w:rsidRPr="008A54E9" w:rsidRDefault="008A54E9" w:rsidP="008A54E9">
      <w:pPr>
        <w:shd w:val="clear" w:color="auto" w:fill="FFFFFF"/>
        <w:ind w:firstLine="567"/>
        <w:jc w:val="both"/>
        <w:rPr>
          <w:rFonts w:eastAsia="Arial Unicode MS"/>
          <w:color w:val="000000" w:themeColor="text1"/>
          <w:sz w:val="22"/>
          <w:szCs w:val="22"/>
          <w:bdr w:val="none" w:sz="0" w:space="0" w:color="auto" w:frame="1"/>
          <w:lang w:val="it-IT"/>
        </w:rPr>
      </w:pPr>
      <w:r w:rsidRPr="008A54E9">
        <w:rPr>
          <w:rFonts w:eastAsia="Arial Unicode MS"/>
          <w:color w:val="000000" w:themeColor="text1"/>
          <w:sz w:val="22"/>
          <w:szCs w:val="22"/>
          <w:bdr w:val="none" w:sz="0" w:space="0" w:color="auto" w:frame="1"/>
          <w:lang w:val="it-IT"/>
        </w:rPr>
        <w:lastRenderedPageBreak/>
        <w:t>4. Techninių pranašumų (T) balai apskaičiuojami visų techninių kriterijų parametrų įvertinimų sumą padauginant iš techninių pranašumų lyginamojo svorio (Y):</w:t>
      </w:r>
    </w:p>
    <w:p w:rsidR="008A54E9" w:rsidRPr="008A54E9" w:rsidRDefault="008A54E9" w:rsidP="008A54E9">
      <w:pPr>
        <w:jc w:val="center"/>
        <w:rPr>
          <w:rFonts w:eastAsia="Arial Unicode MS"/>
          <w:color w:val="000000" w:themeColor="text1"/>
          <w:sz w:val="22"/>
          <w:szCs w:val="22"/>
          <w:bdr w:val="none" w:sz="0" w:space="0" w:color="auto" w:frame="1"/>
          <w:lang w:val="en-US"/>
        </w:rPr>
      </w:pPr>
      <m:oMathPara>
        <m:oMath>
          <m:r>
            <m:rPr>
              <m:sty m:val="p"/>
            </m:rPr>
            <w:rPr>
              <w:rFonts w:ascii="Cambria Math" w:eastAsia="Helvetica Neue UltraLight" w:hAnsi="Cambria Math"/>
              <w:color w:val="000000" w:themeColor="text1"/>
              <w:sz w:val="22"/>
              <w:szCs w:val="22"/>
              <w:bdr w:val="none" w:sz="0" w:space="0" w:color="auto" w:frame="1"/>
              <w:lang w:val="en-US"/>
            </w:rPr>
            <m:t xml:space="preserve">T= </m:t>
          </m:r>
          <m:d>
            <m:dPr>
              <m:ctrlPr>
                <w:rPr>
                  <w:rFonts w:ascii="Cambria Math" w:eastAsia="Helvetica Neue UltraLight" w:hAnsi="Cambria Math"/>
                  <w:color w:val="000000" w:themeColor="text1"/>
                  <w:sz w:val="22"/>
                  <w:szCs w:val="22"/>
                  <w:bdr w:val="none" w:sz="0" w:space="0" w:color="auto" w:frame="1"/>
                  <w:lang w:val="en-US"/>
                </w:rPr>
              </m:ctrlPr>
            </m:dPr>
            <m:e>
              <m:nary>
                <m:naryPr>
                  <m:chr m:val="∑"/>
                  <m:grow m:val="1"/>
                  <m:ctrlPr>
                    <w:rPr>
                      <w:rFonts w:ascii="Cambria Math" w:eastAsia="Helvetica Neue UltraLight" w:hAnsi="Cambria Math"/>
                      <w:color w:val="000000" w:themeColor="text1"/>
                      <w:sz w:val="22"/>
                      <w:szCs w:val="22"/>
                      <w:bdr w:val="none" w:sz="0" w:space="0" w:color="auto" w:frame="1"/>
                      <w:lang w:val="en-US"/>
                    </w:rPr>
                  </m:ctrlPr>
                </m:naryPr>
                <m:sub>
                  <m:r>
                    <m:rPr>
                      <m:sty m:val="p"/>
                    </m:rPr>
                    <w:rPr>
                      <w:rFonts w:ascii="Cambria Math" w:eastAsia="Cambria Math" w:hAnsi="Cambria Math"/>
                      <w:color w:val="000000" w:themeColor="text1"/>
                      <w:sz w:val="22"/>
                      <w:szCs w:val="22"/>
                      <w:bdr w:val="none" w:sz="0" w:space="0" w:color="auto" w:frame="1"/>
                      <w:lang w:val="en-US"/>
                    </w:rPr>
                    <m:t>i=1</m:t>
                  </m:r>
                </m:sub>
                <m:sup>
                  <m:r>
                    <m:rPr>
                      <m:sty m:val="p"/>
                    </m:rPr>
                    <w:rPr>
                      <w:rFonts w:ascii="Cambria Math" w:eastAsia="Helvetica Neue UltraLight" w:hAnsi="Cambria Math"/>
                      <w:color w:val="000000" w:themeColor="text1"/>
                      <w:sz w:val="22"/>
                      <w:szCs w:val="22"/>
                      <w:bdr w:val="none" w:sz="0" w:space="0" w:color="auto" w:frame="1"/>
                      <w:lang w:val="en-US"/>
                    </w:rPr>
                    <m:t>3</m:t>
                  </m:r>
                </m:sup>
                <m:e>
                  <m:sSub>
                    <m:sSubPr>
                      <m:ctrlPr>
                        <w:rPr>
                          <w:rFonts w:ascii="Cambria Math" w:eastAsia="Helvetica Neue UltraLight" w:hAnsi="Cambria Math"/>
                          <w:color w:val="000000" w:themeColor="text1"/>
                          <w:sz w:val="22"/>
                          <w:szCs w:val="22"/>
                          <w:bdr w:val="none" w:sz="0" w:space="0" w:color="auto" w:frame="1"/>
                          <w:lang w:val="en-US"/>
                        </w:rPr>
                      </m:ctrlPr>
                    </m:sSubPr>
                    <m:e>
                      <m:r>
                        <m:rPr>
                          <m:sty m:val="p"/>
                        </m:rPr>
                        <w:rPr>
                          <w:rFonts w:ascii="Cambria Math" w:eastAsia="Helvetica Neue UltraLight" w:hAnsi="Cambria Math"/>
                          <w:color w:val="000000" w:themeColor="text1"/>
                          <w:sz w:val="22"/>
                          <w:szCs w:val="22"/>
                          <w:bdr w:val="none" w:sz="0" w:space="0" w:color="auto" w:frame="1"/>
                          <w:lang w:val="en-US"/>
                        </w:rPr>
                        <m:t>T</m:t>
                      </m:r>
                    </m:e>
                    <m:sub>
                      <m:r>
                        <m:rPr>
                          <m:sty m:val="p"/>
                        </m:rPr>
                        <w:rPr>
                          <w:rFonts w:ascii="Cambria Math" w:eastAsia="Helvetica Neue UltraLight" w:hAnsi="Cambria Math"/>
                          <w:color w:val="000000" w:themeColor="text1"/>
                          <w:sz w:val="22"/>
                          <w:szCs w:val="22"/>
                          <w:bdr w:val="none" w:sz="0" w:space="0" w:color="auto" w:frame="1"/>
                          <w:lang w:val="en-US"/>
                        </w:rPr>
                        <m:t>i</m:t>
                      </m:r>
                    </m:sub>
                  </m:sSub>
                </m:e>
              </m:nary>
            </m:e>
          </m:d>
          <m:r>
            <m:rPr>
              <m:sty m:val="p"/>
            </m:rPr>
            <w:rPr>
              <w:rFonts w:ascii="Cambria Math" w:eastAsia="Helvetica Neue UltraLight" w:hAnsi="Cambria Math"/>
              <w:color w:val="000000" w:themeColor="text1"/>
              <w:sz w:val="22"/>
              <w:szCs w:val="22"/>
              <w:bdr w:val="none" w:sz="0" w:space="0" w:color="auto" w:frame="1"/>
              <w:lang w:val="en-US"/>
            </w:rPr>
            <m:t>×Y</m:t>
          </m:r>
        </m:oMath>
      </m:oMathPara>
    </w:p>
    <w:p w:rsidR="008A54E9" w:rsidRDefault="008A54E9"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0355A4" w:rsidRPr="000355A4" w:rsidRDefault="000355A4" w:rsidP="000355A4">
      <w:pPr>
        <w:pStyle w:val="Skaiiai2lygis"/>
        <w:numPr>
          <w:ilvl w:val="0"/>
          <w:numId w:val="0"/>
        </w:numPr>
        <w:ind w:firstLine="567"/>
        <w:rPr>
          <w:rFonts w:eastAsia="Calibri"/>
          <w:color w:val="000000" w:themeColor="text1"/>
          <w:sz w:val="22"/>
          <w:szCs w:val="22"/>
        </w:rPr>
      </w:pPr>
      <w:r w:rsidRPr="000355A4">
        <w:rPr>
          <w:color w:val="000000" w:themeColor="text1"/>
          <w:sz w:val="22"/>
          <w:szCs w:val="22"/>
          <w:lang w:bidi="hi-IN"/>
        </w:rPr>
        <w:t>Laimėjusiu pasiūlymu bus pripažintas visus pirkimo dokumentuose nustatytus reikalavimus atitinkantis pasiūlymas, kurio ekonominis naudingumas (E) yra didžiausias.</w:t>
      </w:r>
    </w:p>
    <w:p w:rsidR="000355A4" w:rsidRPr="000355A4" w:rsidRDefault="000355A4" w:rsidP="000355A4">
      <w:pPr>
        <w:pStyle w:val="Skaiiai2lygis"/>
        <w:numPr>
          <w:ilvl w:val="0"/>
          <w:numId w:val="0"/>
        </w:numPr>
        <w:ind w:firstLine="567"/>
        <w:rPr>
          <w:color w:val="000000" w:themeColor="text1"/>
          <w:sz w:val="22"/>
          <w:szCs w:val="22"/>
        </w:rPr>
      </w:pPr>
      <w:r w:rsidRPr="000355A4">
        <w:rPr>
          <w:rFonts w:eastAsia="Calibri"/>
          <w:color w:val="000000" w:themeColor="text1"/>
          <w:sz w:val="22"/>
          <w:szCs w:val="22"/>
        </w:rPr>
        <w:t>Tais atvejais, kai kelių dalyvių pasiūlymų ekonominis naudingumas (E) yra vienodas, nustatant pasiūlymų eilę, pirmesnis į šią eilę įrašomas dalyvis, kurio pasiūlymas pateiktas anksčiausiai.</w:t>
      </w:r>
      <w:r w:rsidRPr="000355A4">
        <w:rPr>
          <w:color w:val="000000" w:themeColor="text1"/>
          <w:sz w:val="22"/>
          <w:szCs w:val="22"/>
        </w:rPr>
        <w:t xml:space="preserve"> </w:t>
      </w:r>
    </w:p>
    <w:p w:rsidR="0025190A" w:rsidRDefault="0025190A" w:rsidP="00535AEA">
      <w:pPr>
        <w:tabs>
          <w:tab w:val="left" w:pos="993"/>
          <w:tab w:val="left" w:pos="1134"/>
          <w:tab w:val="left" w:pos="1276"/>
          <w:tab w:val="left" w:pos="1440"/>
          <w:tab w:val="left" w:pos="1560"/>
          <w:tab w:val="left" w:pos="2127"/>
        </w:tabs>
        <w:ind w:firstLine="567"/>
        <w:jc w:val="both"/>
        <w:rPr>
          <w:rFonts w:ascii="Cambria" w:hAnsi="Cambria"/>
          <w:b/>
          <w:sz w:val="22"/>
          <w:szCs w:val="22"/>
        </w:rPr>
      </w:pP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546D71">
        <w:rPr>
          <w:color w:val="000000"/>
          <w:sz w:val="22"/>
          <w:szCs w:val="22"/>
          <w:lang w:eastAsia="lt-LT"/>
        </w:rPr>
        <w:t>MRT</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2C7" w:rsidRDefault="00EF42C7" w:rsidP="00D348FD">
      <w:r>
        <w:separator/>
      </w:r>
    </w:p>
  </w:endnote>
  <w:endnote w:type="continuationSeparator" w:id="0">
    <w:p w:rsidR="00EF42C7" w:rsidRDefault="00EF42C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2C7" w:rsidRDefault="00EF42C7">
    <w:pPr>
      <w:pStyle w:val="Footer"/>
      <w:jc w:val="right"/>
    </w:pPr>
  </w:p>
  <w:p w:rsidR="00EF42C7" w:rsidRDefault="00EF42C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2C7" w:rsidRDefault="00EF42C7">
    <w:pPr>
      <w:pStyle w:val="Footer"/>
      <w:jc w:val="right"/>
    </w:pPr>
  </w:p>
  <w:p w:rsidR="00EF42C7" w:rsidRDefault="00EF4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2C7" w:rsidRDefault="00EF42C7" w:rsidP="00D348FD">
      <w:r>
        <w:separator/>
      </w:r>
    </w:p>
  </w:footnote>
  <w:footnote w:type="continuationSeparator" w:id="0">
    <w:p w:rsidR="00EF42C7" w:rsidRDefault="00EF42C7" w:rsidP="00D348FD">
      <w:r>
        <w:continuationSeparator/>
      </w:r>
    </w:p>
  </w:footnote>
  <w:footnote w:id="1">
    <w:p w:rsidR="00EF42C7" w:rsidRPr="00C54A7B" w:rsidRDefault="00EF42C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F42C7" w:rsidRPr="00C54A7B" w:rsidRDefault="00EF42C7" w:rsidP="00C54A7B">
      <w:pPr>
        <w:pStyle w:val="FootnoteText"/>
        <w:numPr>
          <w:ilvl w:val="0"/>
          <w:numId w:val="31"/>
        </w:numPr>
        <w:rPr>
          <w:rFonts w:eastAsia="Yu Mincho"/>
          <w:i/>
          <w:iCs/>
        </w:rPr>
      </w:pPr>
      <w:r w:rsidRPr="00C54A7B">
        <w:rPr>
          <w:rFonts w:eastAsia="Yu Mincho"/>
          <w:i/>
          <w:iCs/>
        </w:rPr>
        <w:t xml:space="preserve">priesaikos deklaracija; </w:t>
      </w:r>
    </w:p>
    <w:p w:rsidR="00EF42C7" w:rsidRDefault="00EF42C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1"/>
  </w:num>
  <w:num w:numId="10">
    <w:abstractNumId w:val="30"/>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29"/>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7"/>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55A4"/>
    <w:rsid w:val="00035661"/>
    <w:rsid w:val="00036299"/>
    <w:rsid w:val="00036AA2"/>
    <w:rsid w:val="00037AE6"/>
    <w:rsid w:val="0004206C"/>
    <w:rsid w:val="00044DE1"/>
    <w:rsid w:val="00045ED2"/>
    <w:rsid w:val="00052874"/>
    <w:rsid w:val="0005434D"/>
    <w:rsid w:val="00055058"/>
    <w:rsid w:val="000601BA"/>
    <w:rsid w:val="0006274D"/>
    <w:rsid w:val="000679D9"/>
    <w:rsid w:val="00070083"/>
    <w:rsid w:val="000706F8"/>
    <w:rsid w:val="000729DE"/>
    <w:rsid w:val="000761A9"/>
    <w:rsid w:val="00086228"/>
    <w:rsid w:val="00087527"/>
    <w:rsid w:val="000904EE"/>
    <w:rsid w:val="000921AC"/>
    <w:rsid w:val="00096147"/>
    <w:rsid w:val="000A08F6"/>
    <w:rsid w:val="000A4E80"/>
    <w:rsid w:val="000A607B"/>
    <w:rsid w:val="000E4AD1"/>
    <w:rsid w:val="000E69FA"/>
    <w:rsid w:val="000E7A0F"/>
    <w:rsid w:val="000F27B7"/>
    <w:rsid w:val="000F47D7"/>
    <w:rsid w:val="000F5073"/>
    <w:rsid w:val="000F594A"/>
    <w:rsid w:val="00101E9A"/>
    <w:rsid w:val="00105854"/>
    <w:rsid w:val="001134F3"/>
    <w:rsid w:val="00121503"/>
    <w:rsid w:val="001248B2"/>
    <w:rsid w:val="001309EE"/>
    <w:rsid w:val="00132370"/>
    <w:rsid w:val="00135D44"/>
    <w:rsid w:val="00145AAB"/>
    <w:rsid w:val="00147765"/>
    <w:rsid w:val="001601E7"/>
    <w:rsid w:val="0016064D"/>
    <w:rsid w:val="00166290"/>
    <w:rsid w:val="00172554"/>
    <w:rsid w:val="00172A3D"/>
    <w:rsid w:val="001740CF"/>
    <w:rsid w:val="00187253"/>
    <w:rsid w:val="001A033D"/>
    <w:rsid w:val="001A4824"/>
    <w:rsid w:val="001A6875"/>
    <w:rsid w:val="001A6DA0"/>
    <w:rsid w:val="001B1C41"/>
    <w:rsid w:val="001B29E3"/>
    <w:rsid w:val="001B66C0"/>
    <w:rsid w:val="001D178E"/>
    <w:rsid w:val="001D3322"/>
    <w:rsid w:val="001D5C9B"/>
    <w:rsid w:val="001E17CC"/>
    <w:rsid w:val="001F37E0"/>
    <w:rsid w:val="001F45FB"/>
    <w:rsid w:val="001F4F6D"/>
    <w:rsid w:val="00201315"/>
    <w:rsid w:val="0021036F"/>
    <w:rsid w:val="00212FDC"/>
    <w:rsid w:val="002148EA"/>
    <w:rsid w:val="00220750"/>
    <w:rsid w:val="0022154A"/>
    <w:rsid w:val="00231EF1"/>
    <w:rsid w:val="0023295C"/>
    <w:rsid w:val="00232A0D"/>
    <w:rsid w:val="00233FF5"/>
    <w:rsid w:val="0023406A"/>
    <w:rsid w:val="002401BF"/>
    <w:rsid w:val="00240B5A"/>
    <w:rsid w:val="00244CC2"/>
    <w:rsid w:val="00246239"/>
    <w:rsid w:val="00250CCD"/>
    <w:rsid w:val="00250E4D"/>
    <w:rsid w:val="00251462"/>
    <w:rsid w:val="0025190A"/>
    <w:rsid w:val="002534ED"/>
    <w:rsid w:val="00257D79"/>
    <w:rsid w:val="00261348"/>
    <w:rsid w:val="00261BA1"/>
    <w:rsid w:val="00262F5A"/>
    <w:rsid w:val="00274C19"/>
    <w:rsid w:val="00285A9C"/>
    <w:rsid w:val="00293A32"/>
    <w:rsid w:val="002A1383"/>
    <w:rsid w:val="002A2874"/>
    <w:rsid w:val="002A5A44"/>
    <w:rsid w:val="002B34B5"/>
    <w:rsid w:val="002B3F50"/>
    <w:rsid w:val="002B3FF2"/>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25B9"/>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07D0"/>
    <w:rsid w:val="0035388D"/>
    <w:rsid w:val="00361148"/>
    <w:rsid w:val="00362E00"/>
    <w:rsid w:val="003748A6"/>
    <w:rsid w:val="0037641B"/>
    <w:rsid w:val="00376BDE"/>
    <w:rsid w:val="0037766A"/>
    <w:rsid w:val="003806F4"/>
    <w:rsid w:val="003833EA"/>
    <w:rsid w:val="003907D9"/>
    <w:rsid w:val="003909BC"/>
    <w:rsid w:val="0039333C"/>
    <w:rsid w:val="003935C0"/>
    <w:rsid w:val="00397475"/>
    <w:rsid w:val="003A1119"/>
    <w:rsid w:val="003A7BFF"/>
    <w:rsid w:val="003B06CF"/>
    <w:rsid w:val="003B2BC4"/>
    <w:rsid w:val="003B42CA"/>
    <w:rsid w:val="003B51B3"/>
    <w:rsid w:val="003B541D"/>
    <w:rsid w:val="003B6783"/>
    <w:rsid w:val="003B7AD1"/>
    <w:rsid w:val="003C1DF9"/>
    <w:rsid w:val="003C6A78"/>
    <w:rsid w:val="003C6CE1"/>
    <w:rsid w:val="003D3286"/>
    <w:rsid w:val="003D5E00"/>
    <w:rsid w:val="003D7FEF"/>
    <w:rsid w:val="003E1FFE"/>
    <w:rsid w:val="003E3681"/>
    <w:rsid w:val="003F191A"/>
    <w:rsid w:val="003F5FB2"/>
    <w:rsid w:val="004004A6"/>
    <w:rsid w:val="004015C5"/>
    <w:rsid w:val="004021CE"/>
    <w:rsid w:val="0040358D"/>
    <w:rsid w:val="00404831"/>
    <w:rsid w:val="00404E05"/>
    <w:rsid w:val="00406A11"/>
    <w:rsid w:val="00415F40"/>
    <w:rsid w:val="00423FC4"/>
    <w:rsid w:val="0043688F"/>
    <w:rsid w:val="00444E13"/>
    <w:rsid w:val="004457BD"/>
    <w:rsid w:val="004473B7"/>
    <w:rsid w:val="00457516"/>
    <w:rsid w:val="0046028A"/>
    <w:rsid w:val="004619B9"/>
    <w:rsid w:val="0046275C"/>
    <w:rsid w:val="00464DA7"/>
    <w:rsid w:val="00470506"/>
    <w:rsid w:val="00470F5C"/>
    <w:rsid w:val="00472364"/>
    <w:rsid w:val="00483CF8"/>
    <w:rsid w:val="00487608"/>
    <w:rsid w:val="00487D4B"/>
    <w:rsid w:val="00490661"/>
    <w:rsid w:val="00491619"/>
    <w:rsid w:val="00495506"/>
    <w:rsid w:val="00496057"/>
    <w:rsid w:val="004B4397"/>
    <w:rsid w:val="004D5120"/>
    <w:rsid w:val="004D5864"/>
    <w:rsid w:val="004D6DE9"/>
    <w:rsid w:val="004E1A39"/>
    <w:rsid w:val="004E2008"/>
    <w:rsid w:val="004E5EF9"/>
    <w:rsid w:val="004E65B4"/>
    <w:rsid w:val="004F0AFB"/>
    <w:rsid w:val="004F0E0B"/>
    <w:rsid w:val="004F46B0"/>
    <w:rsid w:val="004F5B6E"/>
    <w:rsid w:val="004F6C23"/>
    <w:rsid w:val="00501F62"/>
    <w:rsid w:val="0050265B"/>
    <w:rsid w:val="00507CDC"/>
    <w:rsid w:val="005135E8"/>
    <w:rsid w:val="005172DB"/>
    <w:rsid w:val="0052258D"/>
    <w:rsid w:val="00525048"/>
    <w:rsid w:val="005303C0"/>
    <w:rsid w:val="00531BCD"/>
    <w:rsid w:val="00533750"/>
    <w:rsid w:val="00534894"/>
    <w:rsid w:val="00535AEA"/>
    <w:rsid w:val="00536B25"/>
    <w:rsid w:val="0054327A"/>
    <w:rsid w:val="005440E8"/>
    <w:rsid w:val="005465C4"/>
    <w:rsid w:val="00546D71"/>
    <w:rsid w:val="00547A4E"/>
    <w:rsid w:val="00551DA7"/>
    <w:rsid w:val="005568D4"/>
    <w:rsid w:val="0057124D"/>
    <w:rsid w:val="00571E26"/>
    <w:rsid w:val="00574FFF"/>
    <w:rsid w:val="00581CE1"/>
    <w:rsid w:val="00582AEF"/>
    <w:rsid w:val="005866B4"/>
    <w:rsid w:val="0059362C"/>
    <w:rsid w:val="00595276"/>
    <w:rsid w:val="00595E4D"/>
    <w:rsid w:val="005A67AC"/>
    <w:rsid w:val="005B2490"/>
    <w:rsid w:val="005C2D32"/>
    <w:rsid w:val="005D474B"/>
    <w:rsid w:val="005D5F9D"/>
    <w:rsid w:val="005D6D2B"/>
    <w:rsid w:val="005E6556"/>
    <w:rsid w:val="005E6B75"/>
    <w:rsid w:val="005F42BF"/>
    <w:rsid w:val="005F6A2A"/>
    <w:rsid w:val="006048E5"/>
    <w:rsid w:val="0060712E"/>
    <w:rsid w:val="00614540"/>
    <w:rsid w:val="0062424E"/>
    <w:rsid w:val="00630E3D"/>
    <w:rsid w:val="00631949"/>
    <w:rsid w:val="0064665E"/>
    <w:rsid w:val="00650917"/>
    <w:rsid w:val="00660934"/>
    <w:rsid w:val="0066210D"/>
    <w:rsid w:val="006640AF"/>
    <w:rsid w:val="006672BD"/>
    <w:rsid w:val="006674AF"/>
    <w:rsid w:val="00670BBC"/>
    <w:rsid w:val="0067568F"/>
    <w:rsid w:val="00676354"/>
    <w:rsid w:val="0067693D"/>
    <w:rsid w:val="00676AA3"/>
    <w:rsid w:val="0067777C"/>
    <w:rsid w:val="00683987"/>
    <w:rsid w:val="00684AEF"/>
    <w:rsid w:val="00686478"/>
    <w:rsid w:val="00693E23"/>
    <w:rsid w:val="00694072"/>
    <w:rsid w:val="0069713A"/>
    <w:rsid w:val="006A03D3"/>
    <w:rsid w:val="006A1757"/>
    <w:rsid w:val="006A4B66"/>
    <w:rsid w:val="006B02B6"/>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2B38"/>
    <w:rsid w:val="007235D4"/>
    <w:rsid w:val="007243D2"/>
    <w:rsid w:val="00730067"/>
    <w:rsid w:val="00734E03"/>
    <w:rsid w:val="007352A0"/>
    <w:rsid w:val="00740EB5"/>
    <w:rsid w:val="00742843"/>
    <w:rsid w:val="0074391E"/>
    <w:rsid w:val="007470BE"/>
    <w:rsid w:val="007514A5"/>
    <w:rsid w:val="007601DC"/>
    <w:rsid w:val="00761114"/>
    <w:rsid w:val="00762E5A"/>
    <w:rsid w:val="00763166"/>
    <w:rsid w:val="00765157"/>
    <w:rsid w:val="00765365"/>
    <w:rsid w:val="007669AF"/>
    <w:rsid w:val="007678A8"/>
    <w:rsid w:val="007739AB"/>
    <w:rsid w:val="00775A4D"/>
    <w:rsid w:val="00783153"/>
    <w:rsid w:val="007847A5"/>
    <w:rsid w:val="00786027"/>
    <w:rsid w:val="007918BF"/>
    <w:rsid w:val="00794FD4"/>
    <w:rsid w:val="007976C4"/>
    <w:rsid w:val="007A2250"/>
    <w:rsid w:val="007A7217"/>
    <w:rsid w:val="007A7F8D"/>
    <w:rsid w:val="007B3746"/>
    <w:rsid w:val="007B7B9A"/>
    <w:rsid w:val="007B7CBF"/>
    <w:rsid w:val="007C37DB"/>
    <w:rsid w:val="007C52DC"/>
    <w:rsid w:val="007C71EC"/>
    <w:rsid w:val="007D7A6A"/>
    <w:rsid w:val="007D7C9B"/>
    <w:rsid w:val="007E22A6"/>
    <w:rsid w:val="007E565C"/>
    <w:rsid w:val="007E6CCC"/>
    <w:rsid w:val="007F660D"/>
    <w:rsid w:val="007F6970"/>
    <w:rsid w:val="00801168"/>
    <w:rsid w:val="00804D13"/>
    <w:rsid w:val="00804EDD"/>
    <w:rsid w:val="008051C4"/>
    <w:rsid w:val="0080629D"/>
    <w:rsid w:val="00812B6E"/>
    <w:rsid w:val="008150C0"/>
    <w:rsid w:val="00815B5D"/>
    <w:rsid w:val="00817B08"/>
    <w:rsid w:val="00820A58"/>
    <w:rsid w:val="00820D86"/>
    <w:rsid w:val="00821BCB"/>
    <w:rsid w:val="00823F14"/>
    <w:rsid w:val="008258E0"/>
    <w:rsid w:val="00831E77"/>
    <w:rsid w:val="00832CC1"/>
    <w:rsid w:val="00833845"/>
    <w:rsid w:val="00835113"/>
    <w:rsid w:val="00837416"/>
    <w:rsid w:val="00856B92"/>
    <w:rsid w:val="00864B9D"/>
    <w:rsid w:val="008673A7"/>
    <w:rsid w:val="00871F43"/>
    <w:rsid w:val="008765C5"/>
    <w:rsid w:val="008850F6"/>
    <w:rsid w:val="00885D7E"/>
    <w:rsid w:val="00886BA5"/>
    <w:rsid w:val="008A54E9"/>
    <w:rsid w:val="008A59EC"/>
    <w:rsid w:val="008A6857"/>
    <w:rsid w:val="008B46BF"/>
    <w:rsid w:val="008B746A"/>
    <w:rsid w:val="008C612E"/>
    <w:rsid w:val="008C6EBE"/>
    <w:rsid w:val="008D2C00"/>
    <w:rsid w:val="008D3CF0"/>
    <w:rsid w:val="008D4D1C"/>
    <w:rsid w:val="008D5BD2"/>
    <w:rsid w:val="008E5E69"/>
    <w:rsid w:val="008F0355"/>
    <w:rsid w:val="008F3886"/>
    <w:rsid w:val="008F6AD3"/>
    <w:rsid w:val="009033D4"/>
    <w:rsid w:val="0090382D"/>
    <w:rsid w:val="00904BFD"/>
    <w:rsid w:val="00906D38"/>
    <w:rsid w:val="00910244"/>
    <w:rsid w:val="0091452A"/>
    <w:rsid w:val="00920F8A"/>
    <w:rsid w:val="009219BB"/>
    <w:rsid w:val="009234AC"/>
    <w:rsid w:val="00925AAF"/>
    <w:rsid w:val="00931A0D"/>
    <w:rsid w:val="00931A21"/>
    <w:rsid w:val="00933D63"/>
    <w:rsid w:val="009361A8"/>
    <w:rsid w:val="00954D7C"/>
    <w:rsid w:val="00957318"/>
    <w:rsid w:val="00957403"/>
    <w:rsid w:val="00962785"/>
    <w:rsid w:val="00965A2E"/>
    <w:rsid w:val="00971BA0"/>
    <w:rsid w:val="00971E19"/>
    <w:rsid w:val="0097678F"/>
    <w:rsid w:val="0098531F"/>
    <w:rsid w:val="00986433"/>
    <w:rsid w:val="009878E4"/>
    <w:rsid w:val="009908CE"/>
    <w:rsid w:val="009934F6"/>
    <w:rsid w:val="00993DE5"/>
    <w:rsid w:val="009954EA"/>
    <w:rsid w:val="009956F9"/>
    <w:rsid w:val="009A0E8F"/>
    <w:rsid w:val="009A3013"/>
    <w:rsid w:val="009A586E"/>
    <w:rsid w:val="009A5AE8"/>
    <w:rsid w:val="009A5D3C"/>
    <w:rsid w:val="009A60D9"/>
    <w:rsid w:val="009B718E"/>
    <w:rsid w:val="009C22A8"/>
    <w:rsid w:val="009C72B6"/>
    <w:rsid w:val="009C7587"/>
    <w:rsid w:val="009D377B"/>
    <w:rsid w:val="009D5906"/>
    <w:rsid w:val="009D723C"/>
    <w:rsid w:val="009F328C"/>
    <w:rsid w:val="00A01AB8"/>
    <w:rsid w:val="00A02FAB"/>
    <w:rsid w:val="00A076A0"/>
    <w:rsid w:val="00A1113B"/>
    <w:rsid w:val="00A13B4D"/>
    <w:rsid w:val="00A22275"/>
    <w:rsid w:val="00A32D14"/>
    <w:rsid w:val="00A36091"/>
    <w:rsid w:val="00A43824"/>
    <w:rsid w:val="00A4659B"/>
    <w:rsid w:val="00A47354"/>
    <w:rsid w:val="00A47AC1"/>
    <w:rsid w:val="00A60223"/>
    <w:rsid w:val="00A76F9F"/>
    <w:rsid w:val="00A858E9"/>
    <w:rsid w:val="00A87C15"/>
    <w:rsid w:val="00A90F29"/>
    <w:rsid w:val="00A91A11"/>
    <w:rsid w:val="00A944C3"/>
    <w:rsid w:val="00AA47CC"/>
    <w:rsid w:val="00AB07A3"/>
    <w:rsid w:val="00AB7674"/>
    <w:rsid w:val="00AC1AD8"/>
    <w:rsid w:val="00AC42E6"/>
    <w:rsid w:val="00AD1CA2"/>
    <w:rsid w:val="00AD1E1D"/>
    <w:rsid w:val="00AD2506"/>
    <w:rsid w:val="00AD29F5"/>
    <w:rsid w:val="00AD5535"/>
    <w:rsid w:val="00AD600E"/>
    <w:rsid w:val="00AE0A6E"/>
    <w:rsid w:val="00AF6011"/>
    <w:rsid w:val="00AF6FE8"/>
    <w:rsid w:val="00AF7E85"/>
    <w:rsid w:val="00B0620B"/>
    <w:rsid w:val="00B111A4"/>
    <w:rsid w:val="00B12B31"/>
    <w:rsid w:val="00B15A54"/>
    <w:rsid w:val="00B27567"/>
    <w:rsid w:val="00B27CC6"/>
    <w:rsid w:val="00B31540"/>
    <w:rsid w:val="00B31E30"/>
    <w:rsid w:val="00B3442A"/>
    <w:rsid w:val="00B3476B"/>
    <w:rsid w:val="00B35758"/>
    <w:rsid w:val="00B36A91"/>
    <w:rsid w:val="00B36EAF"/>
    <w:rsid w:val="00B37424"/>
    <w:rsid w:val="00B44CD6"/>
    <w:rsid w:val="00B511F6"/>
    <w:rsid w:val="00B546C8"/>
    <w:rsid w:val="00B56AF6"/>
    <w:rsid w:val="00B61FCC"/>
    <w:rsid w:val="00B62F74"/>
    <w:rsid w:val="00B77C5A"/>
    <w:rsid w:val="00B832B8"/>
    <w:rsid w:val="00B85522"/>
    <w:rsid w:val="00B900A1"/>
    <w:rsid w:val="00B90B2B"/>
    <w:rsid w:val="00B95358"/>
    <w:rsid w:val="00B960E3"/>
    <w:rsid w:val="00B975AD"/>
    <w:rsid w:val="00B97858"/>
    <w:rsid w:val="00BA6958"/>
    <w:rsid w:val="00BB33CD"/>
    <w:rsid w:val="00BB33E4"/>
    <w:rsid w:val="00BB3B7D"/>
    <w:rsid w:val="00BB4113"/>
    <w:rsid w:val="00BB5C93"/>
    <w:rsid w:val="00BD3E55"/>
    <w:rsid w:val="00BD54DA"/>
    <w:rsid w:val="00BE3121"/>
    <w:rsid w:val="00BE4222"/>
    <w:rsid w:val="00BE6A62"/>
    <w:rsid w:val="00BE6A9E"/>
    <w:rsid w:val="00BF036D"/>
    <w:rsid w:val="00BF5A05"/>
    <w:rsid w:val="00BF720D"/>
    <w:rsid w:val="00C11343"/>
    <w:rsid w:val="00C12D7D"/>
    <w:rsid w:val="00C1705D"/>
    <w:rsid w:val="00C24E1A"/>
    <w:rsid w:val="00C270E1"/>
    <w:rsid w:val="00C27A7A"/>
    <w:rsid w:val="00C3786B"/>
    <w:rsid w:val="00C45CD6"/>
    <w:rsid w:val="00C474D6"/>
    <w:rsid w:val="00C5073F"/>
    <w:rsid w:val="00C51729"/>
    <w:rsid w:val="00C524CA"/>
    <w:rsid w:val="00C53EE1"/>
    <w:rsid w:val="00C546EC"/>
    <w:rsid w:val="00C54A7B"/>
    <w:rsid w:val="00C55ABA"/>
    <w:rsid w:val="00C576CF"/>
    <w:rsid w:val="00C60F24"/>
    <w:rsid w:val="00C77201"/>
    <w:rsid w:val="00C83795"/>
    <w:rsid w:val="00C83E21"/>
    <w:rsid w:val="00C868BC"/>
    <w:rsid w:val="00C908AB"/>
    <w:rsid w:val="00C96C70"/>
    <w:rsid w:val="00CA1132"/>
    <w:rsid w:val="00CA357F"/>
    <w:rsid w:val="00CA35C5"/>
    <w:rsid w:val="00CA52ED"/>
    <w:rsid w:val="00CA5C66"/>
    <w:rsid w:val="00CA5DD6"/>
    <w:rsid w:val="00CA645C"/>
    <w:rsid w:val="00CA7AED"/>
    <w:rsid w:val="00CB1912"/>
    <w:rsid w:val="00CB6926"/>
    <w:rsid w:val="00CC1F5E"/>
    <w:rsid w:val="00CD0B31"/>
    <w:rsid w:val="00CD213A"/>
    <w:rsid w:val="00CD39F0"/>
    <w:rsid w:val="00CD4C39"/>
    <w:rsid w:val="00CF37F8"/>
    <w:rsid w:val="00CF3E36"/>
    <w:rsid w:val="00CF3EC0"/>
    <w:rsid w:val="00D00821"/>
    <w:rsid w:val="00D348FD"/>
    <w:rsid w:val="00D41B7E"/>
    <w:rsid w:val="00D425CA"/>
    <w:rsid w:val="00D452DD"/>
    <w:rsid w:val="00D46F8C"/>
    <w:rsid w:val="00D50C4E"/>
    <w:rsid w:val="00D63C69"/>
    <w:rsid w:val="00D723B1"/>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7725"/>
    <w:rsid w:val="00DD0852"/>
    <w:rsid w:val="00DD3701"/>
    <w:rsid w:val="00DD4507"/>
    <w:rsid w:val="00DD47E5"/>
    <w:rsid w:val="00DE0292"/>
    <w:rsid w:val="00DE046C"/>
    <w:rsid w:val="00DE2154"/>
    <w:rsid w:val="00DE2E0C"/>
    <w:rsid w:val="00DE7E7B"/>
    <w:rsid w:val="00DF3130"/>
    <w:rsid w:val="00DF3824"/>
    <w:rsid w:val="00E039E1"/>
    <w:rsid w:val="00E05285"/>
    <w:rsid w:val="00E061EA"/>
    <w:rsid w:val="00E06947"/>
    <w:rsid w:val="00E127FF"/>
    <w:rsid w:val="00E145A7"/>
    <w:rsid w:val="00E16480"/>
    <w:rsid w:val="00E17DFB"/>
    <w:rsid w:val="00E22DBF"/>
    <w:rsid w:val="00E24F58"/>
    <w:rsid w:val="00E27E51"/>
    <w:rsid w:val="00E3259F"/>
    <w:rsid w:val="00E349B3"/>
    <w:rsid w:val="00E36083"/>
    <w:rsid w:val="00E43192"/>
    <w:rsid w:val="00E51F1C"/>
    <w:rsid w:val="00E55BF7"/>
    <w:rsid w:val="00E718B5"/>
    <w:rsid w:val="00E72387"/>
    <w:rsid w:val="00E81F10"/>
    <w:rsid w:val="00E849FA"/>
    <w:rsid w:val="00E85C9D"/>
    <w:rsid w:val="00E91015"/>
    <w:rsid w:val="00EA5D7A"/>
    <w:rsid w:val="00EB0348"/>
    <w:rsid w:val="00EB2326"/>
    <w:rsid w:val="00EC1E1C"/>
    <w:rsid w:val="00EC457E"/>
    <w:rsid w:val="00EC48B0"/>
    <w:rsid w:val="00EC6F8D"/>
    <w:rsid w:val="00ED182D"/>
    <w:rsid w:val="00EE10D4"/>
    <w:rsid w:val="00EE306B"/>
    <w:rsid w:val="00EE65D6"/>
    <w:rsid w:val="00EE66C5"/>
    <w:rsid w:val="00EE6F70"/>
    <w:rsid w:val="00EE7391"/>
    <w:rsid w:val="00EF1D3A"/>
    <w:rsid w:val="00EF229B"/>
    <w:rsid w:val="00EF42C7"/>
    <w:rsid w:val="00EF6757"/>
    <w:rsid w:val="00F04522"/>
    <w:rsid w:val="00F07907"/>
    <w:rsid w:val="00F105E0"/>
    <w:rsid w:val="00F14F4B"/>
    <w:rsid w:val="00F16AB4"/>
    <w:rsid w:val="00F23BA1"/>
    <w:rsid w:val="00F33445"/>
    <w:rsid w:val="00F34FCA"/>
    <w:rsid w:val="00F3699B"/>
    <w:rsid w:val="00F4064F"/>
    <w:rsid w:val="00F42212"/>
    <w:rsid w:val="00F65F30"/>
    <w:rsid w:val="00F704E1"/>
    <w:rsid w:val="00F732DC"/>
    <w:rsid w:val="00F83A08"/>
    <w:rsid w:val="00F87D7B"/>
    <w:rsid w:val="00F92E70"/>
    <w:rsid w:val="00FA048F"/>
    <w:rsid w:val="00FA476E"/>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EA"/>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customStyle="1" w:styleId="Skaiiai2lygisChar">
    <w:name w:val="Skaičiai_2 lygis Char"/>
    <w:basedOn w:val="DefaultParagraphFont"/>
    <w:link w:val="Skaiiai2lygis"/>
    <w:locked/>
    <w:rsid w:val="000355A4"/>
    <w:rPr>
      <w:color w:val="000000"/>
    </w:rPr>
  </w:style>
  <w:style w:type="paragraph" w:customStyle="1" w:styleId="Skaiiai2lygis">
    <w:name w:val="Skaičiai_2 lygis"/>
    <w:basedOn w:val="Normal"/>
    <w:link w:val="Skaiiai2lygisChar"/>
    <w:qFormat/>
    <w:rsid w:val="000355A4"/>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67DFC6-AC21-4DB7-98B6-426C212E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20</Pages>
  <Words>46064</Words>
  <Characters>26257</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208</cp:revision>
  <cp:lastPrinted>2025-07-17T07:49:00Z</cp:lastPrinted>
  <dcterms:created xsi:type="dcterms:W3CDTF">2023-02-01T12:53:00Z</dcterms:created>
  <dcterms:modified xsi:type="dcterms:W3CDTF">2026-01-20T11:35:00Z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