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09BB908" w14:textId="77777777" w:rsidR="00186ACA" w:rsidRPr="00186ACA" w:rsidRDefault="00186ACA" w:rsidP="00186ACA">
          <w:pPr>
            <w:spacing w:after="120" w:line="20" w:lineRule="atLeast"/>
            <w:contextualSpacing/>
            <w:jc w:val="center"/>
            <w:rPr>
              <w:rFonts w:cstheme="minorHAnsi"/>
              <w:b/>
              <w:bCs/>
              <w:sz w:val="24"/>
              <w:szCs w:val="24"/>
            </w:rPr>
          </w:pPr>
          <w:r w:rsidRPr="00186ACA">
            <w:rPr>
              <w:rFonts w:cstheme="minorHAnsi"/>
              <w:b/>
              <w:bCs/>
              <w:sz w:val="24"/>
              <w:szCs w:val="24"/>
            </w:rPr>
            <w:t>MYKOLO ROMERIO UNIVERSITETAS</w:t>
          </w:r>
        </w:p>
        <w:p w14:paraId="5E578E90" w14:textId="21164EDC" w:rsidR="00186ACA" w:rsidRDefault="00186ACA" w:rsidP="00186ACA">
          <w:pPr>
            <w:spacing w:after="120" w:line="20" w:lineRule="atLeast"/>
            <w:contextualSpacing/>
            <w:jc w:val="center"/>
            <w:rPr>
              <w:rFonts w:cstheme="minorHAnsi"/>
              <w:b/>
              <w:bCs/>
              <w:sz w:val="24"/>
              <w:szCs w:val="24"/>
            </w:rPr>
          </w:pPr>
          <w:r w:rsidRPr="00186ACA">
            <w:rPr>
              <w:rFonts w:cstheme="minorHAnsi"/>
              <w:b/>
              <w:bCs/>
              <w:sz w:val="24"/>
              <w:szCs w:val="24"/>
            </w:rPr>
            <w:t>Viešoji įstaiga, Ateities g. 20, LT-08303 Vilnius, tel. (8 5) 271 4625, faks. (8 5) 267 6000, el. p. roffice@mruni.eu, www.mruni.eu, PVM mokėtojo kodas LT119517219. Duomenys kaupiami ir saugomi Juridinių asmenų registre, kodas 111951726</w:t>
          </w:r>
        </w:p>
        <w:p w14:paraId="380F27B6" w14:textId="26BC68EE" w:rsidR="00186ACA" w:rsidRDefault="00186ACA" w:rsidP="00186ACA">
          <w:pPr>
            <w:spacing w:after="120" w:line="20" w:lineRule="atLeast"/>
            <w:contextualSpacing/>
            <w:jc w:val="center"/>
          </w:pPr>
        </w:p>
        <w:p w14:paraId="251243D6" w14:textId="77777777" w:rsidR="00186ACA" w:rsidRDefault="00186ACA" w:rsidP="00186ACA">
          <w:pPr>
            <w:spacing w:after="120" w:line="20" w:lineRule="atLeast"/>
            <w:contextualSpacing/>
            <w:jc w:val="center"/>
          </w:pPr>
        </w:p>
        <w:p w14:paraId="70C47D1B" w14:textId="77777777" w:rsidR="00F84284" w:rsidRDefault="00F84284" w:rsidP="00F84284">
          <w:pPr>
            <w:spacing w:after="120" w:line="20" w:lineRule="atLeast"/>
            <w:ind w:left="5245"/>
            <w:contextualSpacing/>
            <w:rPr>
              <w:rFonts w:cstheme="minorHAnsi"/>
              <w:sz w:val="24"/>
              <w:szCs w:val="24"/>
            </w:rPr>
          </w:pPr>
          <w:r w:rsidRPr="00F0499F">
            <w:rPr>
              <w:rFonts w:cstheme="minorHAnsi"/>
              <w:sz w:val="24"/>
              <w:szCs w:val="24"/>
            </w:rPr>
            <w:t>PATVIRTINTA</w:t>
          </w:r>
        </w:p>
        <w:p w14:paraId="3D006BF2" w14:textId="12270F76" w:rsidR="00F84284" w:rsidRPr="002F658A" w:rsidRDefault="00F84284" w:rsidP="00F84284">
          <w:pPr>
            <w:spacing w:after="120" w:line="20" w:lineRule="atLeast"/>
            <w:ind w:left="5245"/>
            <w:contextualSpacing/>
            <w:rPr>
              <w:rFonts w:cstheme="minorHAnsi"/>
              <w:sz w:val="24"/>
              <w:szCs w:val="24"/>
            </w:rPr>
          </w:pPr>
          <w:r w:rsidRPr="002F658A">
            <w:rPr>
              <w:rFonts w:cstheme="minorHAnsi"/>
              <w:sz w:val="24"/>
              <w:szCs w:val="24"/>
            </w:rPr>
            <w:t>Viešųjų pirkimų komisijos 2024 m.</w:t>
          </w:r>
          <w:r w:rsidR="00CB63DC" w:rsidRPr="002F658A">
            <w:rPr>
              <w:rFonts w:cstheme="minorHAnsi"/>
              <w:sz w:val="24"/>
              <w:szCs w:val="24"/>
            </w:rPr>
            <w:t xml:space="preserve"> </w:t>
          </w:r>
          <w:r w:rsidR="009E6D4E">
            <w:rPr>
              <w:rFonts w:cstheme="minorHAnsi"/>
              <w:sz w:val="24"/>
              <w:szCs w:val="24"/>
            </w:rPr>
            <w:t xml:space="preserve">gruodžio </w:t>
          </w:r>
          <w:r w:rsidR="00667431">
            <w:rPr>
              <w:rFonts w:cstheme="minorHAnsi"/>
              <w:sz w:val="24"/>
              <w:szCs w:val="24"/>
            </w:rPr>
            <w:t>27</w:t>
          </w:r>
          <w:r w:rsidRPr="002F658A">
            <w:rPr>
              <w:rFonts w:cstheme="minorHAnsi"/>
              <w:sz w:val="24"/>
              <w:szCs w:val="24"/>
            </w:rPr>
            <w:t>d. protokolu Nr. 9U-</w:t>
          </w:r>
          <w:r w:rsidR="00667431">
            <w:rPr>
              <w:rFonts w:cstheme="minorHAnsi"/>
              <w:sz w:val="24"/>
              <w:szCs w:val="24"/>
            </w:rPr>
            <w:t>85</w:t>
          </w:r>
        </w:p>
        <w:p w14:paraId="5439F58F" w14:textId="77777777" w:rsidR="00F84284" w:rsidRPr="00F0499F" w:rsidRDefault="00F84284" w:rsidP="00F84284">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4E8E5633" w14:textId="77777777" w:rsidR="00F84284" w:rsidRPr="00F376F7" w:rsidRDefault="00F84284" w:rsidP="00F84284">
          <w:pPr>
            <w:spacing w:after="120" w:line="20" w:lineRule="atLeast"/>
            <w:ind w:left="5245"/>
            <w:contextualSpacing/>
            <w:rPr>
              <w:rFonts w:cstheme="minorHAnsi"/>
              <w:iCs/>
              <w:sz w:val="24"/>
              <w:szCs w:val="24"/>
            </w:rPr>
          </w:pPr>
          <w:r w:rsidRPr="00F376F7">
            <w:rPr>
              <w:rFonts w:cstheme="minorHAnsi"/>
              <w:iCs/>
              <w:sz w:val="24"/>
              <w:szCs w:val="24"/>
            </w:rPr>
            <w:t>NETAIKOMA</w:t>
          </w:r>
        </w:p>
        <w:p w14:paraId="47EF0C37" w14:textId="5C2E8036"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8EA31DA" w:rsidR="00D526C8" w:rsidRPr="00F84284" w:rsidRDefault="007A130B" w:rsidP="004E4612">
          <w:pPr>
            <w:spacing w:after="120" w:line="20" w:lineRule="atLeast"/>
            <w:contextualSpacing/>
            <w:jc w:val="center"/>
            <w:rPr>
              <w:rFonts w:cstheme="minorHAnsi"/>
              <w:b/>
              <w:bCs/>
              <w:sz w:val="28"/>
              <w:szCs w:val="28"/>
            </w:rPr>
          </w:pPr>
          <w:r w:rsidRPr="00F84284">
            <w:rPr>
              <w:rFonts w:cstheme="minorHAnsi"/>
              <w:b/>
              <w:bCs/>
              <w:sz w:val="28"/>
              <w:szCs w:val="28"/>
            </w:rPr>
            <w:t xml:space="preserve">TARPTAUTINIO </w:t>
          </w:r>
          <w:r w:rsidR="00D526C8" w:rsidRPr="00F84284">
            <w:rPr>
              <w:rFonts w:cstheme="minorHAnsi"/>
              <w:b/>
              <w:bCs/>
              <w:sz w:val="28"/>
              <w:szCs w:val="28"/>
            </w:rPr>
            <w:t>VIEŠOJO PIRKIMO „</w:t>
          </w:r>
          <w:bookmarkStart w:id="0" w:name="_Hlk183424397"/>
          <w:r w:rsidR="009E6D4E" w:rsidRPr="009E6D4E">
            <w:rPr>
              <w:rFonts w:cstheme="minorHAnsi"/>
              <w:b/>
              <w:bCs/>
              <w:sz w:val="28"/>
              <w:szCs w:val="28"/>
            </w:rPr>
            <w:t>DIDELIO NAŠUMO SERVERIŲ KLASTERIS ML/AI/HPC PASLAUGŲ TEIKIMUI</w:t>
          </w:r>
          <w:bookmarkEnd w:id="0"/>
          <w:r w:rsidR="00186ACA" w:rsidRPr="00F84284">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84284">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065C249C"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186ACA">
            <w:rPr>
              <w:rFonts w:cstheme="minorHAnsi"/>
              <w:b/>
              <w:bCs/>
              <w:sz w:val="28"/>
              <w:szCs w:val="28"/>
            </w:rPr>
            <w:t>1</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023911"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023911"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023911"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023911"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023911"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023911"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023911"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023911"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023911"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023911"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023911">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023911">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023911">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023911">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023911">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023911">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023911">
              <w:pPr>
                <w:pStyle w:val="TOC2"/>
                <w:rPr>
                  <w:noProof/>
                  <w:sz w:val="22"/>
                  <w:szCs w:val="22"/>
                  <w:lang w:val="en-US" w:eastAsia="en-US"/>
                </w:rPr>
              </w:pPr>
              <w:hyperlink w:anchor="_Toc126333946" w:history="1">
                <w:r w:rsidR="0074475B" w:rsidRPr="00FA7F81">
                  <w:rPr>
                    <w:rStyle w:val="Hyperlink"/>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023911">
              <w:pPr>
                <w:pStyle w:val="TOC2"/>
                <w:rPr>
                  <w:noProof/>
                  <w:sz w:val="22"/>
                  <w:szCs w:val="22"/>
                  <w:lang w:val="en-US" w:eastAsia="en-US"/>
                </w:rPr>
              </w:pPr>
              <w:hyperlink w:anchor="_Toc126333947" w:history="1">
                <w:r w:rsidR="0074475B" w:rsidRPr="00FA7F81">
                  <w:rPr>
                    <w:rStyle w:val="Hyperlink"/>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023911">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09910C02" w:rsidR="0074475B" w:rsidRDefault="00023911">
              <w:pPr>
                <w:pStyle w:val="TOC2"/>
                <w:rPr>
                  <w:noProof/>
                  <w:sz w:val="22"/>
                  <w:szCs w:val="22"/>
                  <w:lang w:val="en-US" w:eastAsia="en-US"/>
                </w:rPr>
              </w:pPr>
              <w:hyperlink w:anchor="_Toc126333949" w:history="1">
                <w:r w:rsidR="0074475B" w:rsidRPr="00FA7F81">
                  <w:rPr>
                    <w:rStyle w:val="Hyperlink"/>
                    <w:rFonts w:eastAsia="Calibri" w:cstheme="majorHAnsi"/>
                    <w:noProof/>
                  </w:rPr>
                  <w:t>Pirkimo sąlygų 11 priedas „Preliminariosios sutarties projektas“</w:t>
                </w:r>
                <w:r w:rsidR="0074475B">
                  <w:rPr>
                    <w:noProof/>
                    <w:webHidden/>
                  </w:rPr>
                  <w:tab/>
                </w:r>
                <w:r w:rsidR="0074475B">
                  <w:rPr>
                    <w:noProof/>
                    <w:webHidden/>
                  </w:rPr>
                  <w:fldChar w:fldCharType="begin"/>
                </w:r>
                <w:r w:rsidR="0074475B">
                  <w:rPr>
                    <w:noProof/>
                    <w:webHidden/>
                  </w:rPr>
                  <w:instrText xml:space="preserve"> PAGEREF _Toc126333949 \h </w:instrText>
                </w:r>
                <w:r w:rsidR="0074475B">
                  <w:rPr>
                    <w:noProof/>
                    <w:webHidden/>
                  </w:rPr>
                </w:r>
                <w:r w:rsidR="0074475B">
                  <w:rPr>
                    <w:noProof/>
                    <w:webHidden/>
                  </w:rPr>
                  <w:fldChar w:fldCharType="separate"/>
                </w:r>
                <w:r w:rsidR="001D414C">
                  <w:rPr>
                    <w:noProof/>
                    <w:webHidden/>
                  </w:rPr>
                  <w:t>31</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1F15A626" w14:textId="77777777" w:rsidR="00186ACA" w:rsidRPr="008C466B" w:rsidRDefault="00186ACA" w:rsidP="00186ACA">
      <w:pPr>
        <w:pStyle w:val="ListParagraph"/>
        <w:numPr>
          <w:ilvl w:val="1"/>
          <w:numId w:val="1"/>
        </w:numPr>
        <w:spacing w:after="0" w:line="20" w:lineRule="atLeast"/>
        <w:ind w:left="0" w:firstLine="567"/>
        <w:jc w:val="both"/>
        <w:rPr>
          <w:rFonts w:ascii="Calibri" w:hAnsi="Calibri" w:cs="Calibri"/>
        </w:rPr>
      </w:pPr>
      <w:r w:rsidRPr="008C466B">
        <w:rPr>
          <w:rFonts w:ascii="Calibri" w:hAnsi="Calibri" w:cs="Calibri"/>
        </w:rPr>
        <w:t>Perkančioji organizacija Mykolo Romerio Universitetas, juridinio asmens kodas 111951726, adresas Ateities g. 20, Vilnius (toliau - Perkančioji organizacija), darbo laikas: 8.00-17.00 val. Perkančioji organizacija yra PVM mokėtoja.</w:t>
      </w:r>
    </w:p>
    <w:p w14:paraId="1C93CF62" w14:textId="77777777" w:rsidR="00186ACA" w:rsidRPr="008C466B" w:rsidRDefault="00186ACA" w:rsidP="00186ACA">
      <w:pPr>
        <w:pStyle w:val="ListParagraph"/>
        <w:numPr>
          <w:ilvl w:val="1"/>
          <w:numId w:val="1"/>
        </w:numPr>
        <w:spacing w:after="0" w:line="20" w:lineRule="atLeast"/>
        <w:ind w:left="0" w:firstLine="567"/>
        <w:jc w:val="both"/>
        <w:rPr>
          <w:rFonts w:ascii="Calibri" w:hAnsi="Calibri" w:cs="Calibri"/>
        </w:rPr>
      </w:pPr>
      <w:r w:rsidRPr="008C466B">
        <w:rPr>
          <w:rFonts w:ascii="Calibri" w:hAnsi="Calibri" w:cs="Calibri"/>
        </w:rPr>
        <w:t>Perkančioji organizacija neįgaliojo kitų perkančiųjų organizacijų atlikti pirkimą.</w:t>
      </w:r>
    </w:p>
    <w:p w14:paraId="6D879254" w14:textId="77777777" w:rsidR="00186ACA" w:rsidRPr="008C466B" w:rsidRDefault="00186ACA" w:rsidP="00186ACA">
      <w:pPr>
        <w:pStyle w:val="ListParagraph"/>
        <w:numPr>
          <w:ilvl w:val="1"/>
          <w:numId w:val="1"/>
        </w:numPr>
        <w:tabs>
          <w:tab w:val="left" w:pos="993"/>
        </w:tabs>
        <w:spacing w:after="0" w:line="20" w:lineRule="atLeast"/>
        <w:ind w:firstLine="207"/>
        <w:jc w:val="both"/>
        <w:rPr>
          <w:rFonts w:ascii="Calibri" w:eastAsia="Calibri" w:hAnsi="Calibri" w:cs="Calibri"/>
        </w:rPr>
      </w:pPr>
      <w:r w:rsidRPr="008C466B">
        <w:rPr>
          <w:rFonts w:ascii="Calibri" w:hAnsi="Calibri" w:cs="Calibri"/>
          <w:color w:val="000000" w:themeColor="text1"/>
        </w:rPr>
        <w:t xml:space="preserve"> Pirkimas neatliekamas naudojantis centralizuotų pirkimų katalogu, nes nėra tokių prekių CPO LT kataloge.</w:t>
      </w:r>
    </w:p>
    <w:p w14:paraId="05059568" w14:textId="77777777" w:rsidR="00186ACA" w:rsidRPr="008C466B" w:rsidRDefault="00186ACA" w:rsidP="00186ACA">
      <w:pPr>
        <w:spacing w:after="0" w:line="240" w:lineRule="auto"/>
        <w:ind w:firstLine="567"/>
        <w:rPr>
          <w:rFonts w:ascii="Calibri" w:hAnsi="Calibri" w:cs="Calibri"/>
          <w:color w:val="FF0000"/>
        </w:rPr>
      </w:pPr>
      <w:r w:rsidRPr="008C466B">
        <w:rPr>
          <w:rFonts w:ascii="Calibri" w:hAnsi="Calibri" w:cs="Calibri"/>
        </w:rPr>
        <w:t xml:space="preserve">1.4.  </w:t>
      </w:r>
      <w:r w:rsidRPr="008C466B">
        <w:rPr>
          <w:rFonts w:ascii="Calibri" w:eastAsia="Times New Roman" w:hAnsi="Calibri" w:cs="Calibri"/>
        </w:rPr>
        <w:t>Perkančioji organizacija nerezervuoja teisės dalyvauti pirkime.</w:t>
      </w:r>
    </w:p>
    <w:p w14:paraId="4241780B" w14:textId="77777777" w:rsidR="00186ACA" w:rsidRPr="008C466B" w:rsidRDefault="00186ACA" w:rsidP="00186ACA">
      <w:pPr>
        <w:pStyle w:val="ListParagraph"/>
        <w:spacing w:after="0" w:line="240" w:lineRule="auto"/>
        <w:ind w:left="0" w:firstLine="567"/>
        <w:jc w:val="both"/>
        <w:rPr>
          <w:rFonts w:ascii="Calibri" w:hAnsi="Calibri" w:cs="Calibri"/>
        </w:rPr>
      </w:pPr>
      <w:r w:rsidRPr="008C466B">
        <w:rPr>
          <w:rFonts w:ascii="Calibri" w:hAnsi="Calibri" w:cs="Calibri"/>
        </w:rPr>
        <w:t>1.5.  Stebėtojai dalyvauti Komisijos posėdžiuose nėra kviečiami.</w:t>
      </w:r>
    </w:p>
    <w:p w14:paraId="64A71FDA" w14:textId="378039DA" w:rsidR="00186ACA" w:rsidRPr="004A4C95" w:rsidRDefault="00A95680" w:rsidP="00186ACA">
      <w:pPr>
        <w:pStyle w:val="ListParagraph"/>
        <w:numPr>
          <w:ilvl w:val="1"/>
          <w:numId w:val="7"/>
        </w:numPr>
        <w:tabs>
          <w:tab w:val="left" w:pos="1134"/>
        </w:tabs>
        <w:spacing w:after="0" w:line="240" w:lineRule="auto"/>
        <w:ind w:left="0" w:firstLine="567"/>
        <w:jc w:val="both"/>
        <w:rPr>
          <w:rFonts w:ascii="Calibri" w:hAnsi="Calibri" w:cs="Calibri"/>
        </w:rPr>
      </w:pPr>
      <w:r w:rsidRPr="00A95680">
        <w:rPr>
          <w:rFonts w:ascii="Calibri" w:hAnsi="Calibri" w:cs="Calibri"/>
          <w:iCs/>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186ACA" w:rsidRPr="004A4C95">
        <w:rPr>
          <w:rFonts w:ascii="Calibri" w:hAnsi="Calibri" w:cs="Calibri"/>
        </w:rPr>
        <w:t>4.4.4.2 punktu. Aplinkos ap</w:t>
      </w:r>
      <w:r w:rsidR="0047533B" w:rsidRPr="004A4C95">
        <w:rPr>
          <w:rFonts w:ascii="Calibri" w:hAnsi="Calibri" w:cs="Calibri"/>
        </w:rPr>
        <w:t>s</w:t>
      </w:r>
      <w:r w:rsidR="00186ACA" w:rsidRPr="004A4C95">
        <w:rPr>
          <w:rFonts w:ascii="Calibri" w:hAnsi="Calibri" w:cs="Calibri"/>
        </w:rPr>
        <w:t>augos kriterijai nustatyti 2 priede</w:t>
      </w:r>
      <w:r w:rsidR="00667431">
        <w:rPr>
          <w:rFonts w:ascii="Calibri" w:hAnsi="Calibri" w:cs="Calibri"/>
        </w:rPr>
        <w:t xml:space="preserve"> ir Specialiųjų Sutarties sąlygų 12 p.</w:t>
      </w:r>
    </w:p>
    <w:p w14:paraId="7A7DD093" w14:textId="77777777" w:rsidR="00186ACA" w:rsidRPr="004A4C95" w:rsidRDefault="00186ACA" w:rsidP="00186ACA">
      <w:pPr>
        <w:pStyle w:val="ListParagraph"/>
        <w:numPr>
          <w:ilvl w:val="1"/>
          <w:numId w:val="7"/>
        </w:numPr>
        <w:tabs>
          <w:tab w:val="left" w:pos="993"/>
        </w:tabs>
        <w:spacing w:after="0" w:line="240" w:lineRule="auto"/>
        <w:ind w:left="0" w:firstLine="567"/>
        <w:jc w:val="both"/>
        <w:rPr>
          <w:rFonts w:ascii="Calibri" w:eastAsia="Arial" w:hAnsi="Calibri" w:cs="Calibri"/>
        </w:rPr>
      </w:pPr>
      <w:r w:rsidRPr="004A4C95">
        <w:rPr>
          <w:rFonts w:ascii="Calibri" w:eastAsia="Arial" w:hAnsi="Calibri" w:cs="Calibri"/>
        </w:rPr>
        <w:t xml:space="preserve">Išankstinis skelbimas apie pirkimą nebuvo paskelbtas. </w:t>
      </w:r>
    </w:p>
    <w:p w14:paraId="47B78433" w14:textId="77777777" w:rsidR="00186ACA" w:rsidRPr="004A4C95" w:rsidRDefault="00186ACA" w:rsidP="00186ACA">
      <w:pPr>
        <w:pStyle w:val="ListParagraph"/>
        <w:numPr>
          <w:ilvl w:val="1"/>
          <w:numId w:val="7"/>
        </w:numPr>
        <w:tabs>
          <w:tab w:val="left" w:pos="851"/>
          <w:tab w:val="left" w:pos="993"/>
        </w:tabs>
        <w:spacing w:after="0" w:line="240" w:lineRule="auto"/>
        <w:ind w:firstLine="207"/>
        <w:jc w:val="both"/>
        <w:rPr>
          <w:rFonts w:ascii="Calibri" w:hAnsi="Calibri" w:cs="Calibri"/>
        </w:rPr>
      </w:pPr>
      <w:r w:rsidRPr="004A4C95">
        <w:rPr>
          <w:rFonts w:ascii="Calibri" w:hAnsi="Calibri" w:cs="Calibri"/>
          <w:lang w:eastAsia="en-US"/>
        </w:rPr>
        <w:t xml:space="preserve">Pirkime </w:t>
      </w:r>
      <w:r w:rsidRPr="004A4C95">
        <w:rPr>
          <w:rFonts w:ascii="Calibri" w:hAnsi="Calibri" w:cs="Calibri"/>
        </w:rPr>
        <w:t>perkančioji organizacija</w:t>
      </w:r>
      <w:r w:rsidRPr="004A4C95">
        <w:rPr>
          <w:rFonts w:ascii="Calibri" w:hAnsi="Calibri" w:cs="Calibri"/>
          <w:lang w:eastAsia="en-US"/>
        </w:rPr>
        <w:t xml:space="preserve"> nenumato skelbti pranešimo dėl savanoriško </w:t>
      </w:r>
      <w:proofErr w:type="spellStart"/>
      <w:r w:rsidRPr="004A4C95">
        <w:rPr>
          <w:rFonts w:ascii="Calibri" w:hAnsi="Calibri" w:cs="Calibri"/>
          <w:i/>
          <w:iCs/>
          <w:lang w:eastAsia="en-US"/>
        </w:rPr>
        <w:t>ex</w:t>
      </w:r>
      <w:proofErr w:type="spellEnd"/>
      <w:r w:rsidRPr="004A4C95">
        <w:rPr>
          <w:rFonts w:ascii="Calibri" w:hAnsi="Calibri" w:cs="Calibri"/>
          <w:i/>
          <w:iCs/>
          <w:lang w:eastAsia="en-US"/>
        </w:rPr>
        <w:t xml:space="preserve"> ante</w:t>
      </w:r>
      <w:r w:rsidRPr="004A4C95">
        <w:rPr>
          <w:rFonts w:ascii="Calibri" w:hAnsi="Calibri" w:cs="Calibri"/>
          <w:lang w:eastAsia="en-US"/>
        </w:rPr>
        <w:t xml:space="preserve"> skaidrumo.</w:t>
      </w:r>
    </w:p>
    <w:p w14:paraId="66576879" w14:textId="77777777" w:rsidR="00186ACA" w:rsidRPr="004A4C95" w:rsidRDefault="00186ACA" w:rsidP="00186ACA">
      <w:pPr>
        <w:pStyle w:val="ListParagraph"/>
        <w:numPr>
          <w:ilvl w:val="1"/>
          <w:numId w:val="7"/>
        </w:numPr>
        <w:tabs>
          <w:tab w:val="left" w:pos="851"/>
          <w:tab w:val="left" w:pos="993"/>
        </w:tabs>
        <w:spacing w:after="0" w:line="240" w:lineRule="auto"/>
        <w:ind w:left="0" w:firstLine="567"/>
        <w:jc w:val="both"/>
        <w:rPr>
          <w:rFonts w:ascii="Calibri" w:hAnsi="Calibri" w:cs="Calibri"/>
          <w:color w:val="7030A0"/>
        </w:rPr>
      </w:pPr>
      <w:r w:rsidRPr="004A4C95">
        <w:rPr>
          <w:rFonts w:ascii="Calibri" w:hAnsi="Calibri" w:cs="Calibri"/>
        </w:rPr>
        <w:t xml:space="preserve">Pirkime neleidžiama pateikti alternatyvių pasiūlymų. </w:t>
      </w:r>
    </w:p>
    <w:p w14:paraId="424FE2E4" w14:textId="4163790A" w:rsidR="00186ACA" w:rsidRPr="004A4C95" w:rsidRDefault="00186ACA" w:rsidP="00186ACA">
      <w:pPr>
        <w:pStyle w:val="ListParagraph"/>
        <w:numPr>
          <w:ilvl w:val="1"/>
          <w:numId w:val="7"/>
        </w:numPr>
        <w:tabs>
          <w:tab w:val="left" w:pos="993"/>
        </w:tabs>
        <w:spacing w:after="0" w:line="240" w:lineRule="auto"/>
        <w:ind w:firstLine="207"/>
        <w:jc w:val="both"/>
        <w:rPr>
          <w:rFonts w:ascii="Calibri" w:hAnsi="Calibri" w:cs="Calibri"/>
        </w:rPr>
      </w:pPr>
      <w:r w:rsidRPr="004A4C95">
        <w:rPr>
          <w:rFonts w:ascii="Calibri" w:eastAsia="Arial" w:hAnsi="Calibri" w:cs="Calibri"/>
          <w:color w:val="333333"/>
        </w:rPr>
        <w:t xml:space="preserve"> Bendrosios pirkimo sąlygos yra neatskiriama šių pirkimo sąlygų dalis.</w:t>
      </w:r>
    </w:p>
    <w:p w14:paraId="58F117EA" w14:textId="055BB442" w:rsidR="00C70B66" w:rsidRPr="004A4C95" w:rsidRDefault="00630266" w:rsidP="00630266">
      <w:pPr>
        <w:pStyle w:val="ListParagraph"/>
        <w:ind w:left="360" w:firstLine="207"/>
        <w:rPr>
          <w:rFonts w:ascii="Calibri" w:hAnsi="Calibri" w:cs="Calibri"/>
          <w:color w:val="000000" w:themeColor="text1"/>
        </w:rPr>
      </w:pPr>
      <w:r w:rsidRPr="004A4C95">
        <w:rPr>
          <w:rFonts w:ascii="Calibri" w:hAnsi="Calibri" w:cs="Calibri"/>
          <w:color w:val="000000" w:themeColor="text1"/>
        </w:rPr>
        <w:t xml:space="preserve">1.11. Perkančioji organizacija vykdė rinkos konsultaciją susijusią su šiuo pirkimu. Informacija apie vykdytą rinkos konsultaciją skelbiama </w:t>
      </w:r>
      <w:r w:rsidR="00CC00AF">
        <w:rPr>
          <w:rFonts w:ascii="Calibri" w:hAnsi="Calibri" w:cs="Calibri"/>
          <w:color w:val="000000" w:themeColor="text1"/>
        </w:rPr>
        <w:t xml:space="preserve">senajame </w:t>
      </w:r>
      <w:r w:rsidRPr="004A4C95">
        <w:rPr>
          <w:rFonts w:ascii="Calibri" w:hAnsi="Calibri" w:cs="Calibri"/>
          <w:color w:val="000000" w:themeColor="text1"/>
        </w:rPr>
        <w:t>CPV IS</w:t>
      </w:r>
      <w:r w:rsidR="00C71299" w:rsidRPr="004A4C95">
        <w:rPr>
          <w:rFonts w:ascii="Calibri" w:hAnsi="Calibri" w:cs="Calibri"/>
          <w:color w:val="000000" w:themeColor="text1"/>
        </w:rPr>
        <w:t>, Pirkimo Nr.</w:t>
      </w:r>
      <w:r w:rsidRPr="004A4C95">
        <w:rPr>
          <w:color w:val="000000" w:themeColor="text1"/>
        </w:rPr>
        <w:t xml:space="preserve"> </w:t>
      </w:r>
      <w:r w:rsidR="00ED31FB">
        <w:rPr>
          <w:color w:val="000000" w:themeColor="text1"/>
        </w:rPr>
        <w:t>738081</w:t>
      </w:r>
      <w:r w:rsidRPr="004A4C95">
        <w:rPr>
          <w:rFonts w:ascii="Calibri" w:hAnsi="Calibri" w:cs="Calibri"/>
          <w:color w:val="000000" w:themeColor="text1"/>
        </w:rPr>
        <w:t xml:space="preserve">. </w:t>
      </w:r>
    </w:p>
    <w:p w14:paraId="52B98301" w14:textId="1F0A996F" w:rsidR="00572FCF" w:rsidRDefault="00C70B66" w:rsidP="00630266">
      <w:pPr>
        <w:pStyle w:val="ListParagraph"/>
        <w:ind w:left="360" w:firstLine="207"/>
        <w:rPr>
          <w:rFonts w:ascii="Calibri" w:hAnsi="Calibri" w:cs="Calibri"/>
          <w:color w:val="000000" w:themeColor="text1"/>
        </w:rPr>
      </w:pPr>
      <w:r w:rsidRPr="004A4C95">
        <w:rPr>
          <w:rFonts w:ascii="Calibri" w:hAnsi="Calibri" w:cs="Calibri"/>
          <w:color w:val="000000" w:themeColor="text1"/>
        </w:rPr>
        <w:t>1.12.</w:t>
      </w:r>
      <w:r w:rsidR="00D15099" w:rsidRPr="004A4C95">
        <w:rPr>
          <w:rFonts w:ascii="Calibri" w:hAnsi="Calibri" w:cs="Calibri"/>
          <w:color w:val="000000" w:themeColor="text1"/>
        </w:rPr>
        <w:t xml:space="preserve"> Pirkimas finansuojamas</w:t>
      </w:r>
      <w:r w:rsidR="00B82470">
        <w:rPr>
          <w:rFonts w:ascii="Calibri" w:hAnsi="Calibri" w:cs="Calibri"/>
          <w:color w:val="000000" w:themeColor="text1"/>
        </w:rPr>
        <w:t xml:space="preserve"> </w:t>
      </w:r>
      <w:r w:rsidR="00B82470" w:rsidRPr="00B82470">
        <w:rPr>
          <w:rFonts w:ascii="Calibri" w:hAnsi="Calibri" w:cs="Calibri"/>
          <w:color w:val="000000" w:themeColor="text1"/>
        </w:rPr>
        <w:t>iš  Europos Sąjungos lėšomis bendrai finansuojamo projekto Nr. 02-002-P-001 pavadinimas „Misijomis grįstų mokslo ir inovacijų programų įgyvendinimas“.</w:t>
      </w:r>
    </w:p>
    <w:p w14:paraId="4CEA887A" w14:textId="77777777" w:rsidR="00B82470" w:rsidRPr="00B82470" w:rsidRDefault="00ED31FB" w:rsidP="00B82470">
      <w:pPr>
        <w:pStyle w:val="ListParagraph"/>
        <w:ind w:left="360" w:firstLine="207"/>
        <w:jc w:val="both"/>
        <w:rPr>
          <w:rFonts w:ascii="Calibri" w:hAnsi="Calibri" w:cs="Calibri"/>
          <w:color w:val="000000" w:themeColor="text1"/>
        </w:rPr>
      </w:pPr>
      <w:r>
        <w:rPr>
          <w:rFonts w:ascii="Calibri" w:hAnsi="Calibri" w:cs="Calibri"/>
          <w:color w:val="000000" w:themeColor="text1"/>
        </w:rPr>
        <w:t xml:space="preserve">1.13. </w:t>
      </w:r>
      <w:r w:rsidR="00B82470" w:rsidRPr="00B82470">
        <w:rPr>
          <w:rFonts w:ascii="Calibri" w:hAnsi="Calibri" w:cs="Calibri"/>
          <w:color w:val="000000" w:themeColor="text1"/>
        </w:rPr>
        <w:t xml:space="preserve">Vadovaujantis Lietuvos Respublikos viešųjų pirkimų įstatymo (toliau – VPĮ) 28 straipsnio nuostatomis, pirkimo objektas neturi būti skaidomas į dalis, jeigu toks skaidymas apribotų konkurenciją, padidintų pirkimo kaštus ar trukdytų pasiekti pirkimo tikslus. Šiuo atveju siekiama įsigyti vientisą, integruotą Duomenų analizės sistemą, apimančią </w:t>
      </w:r>
      <w:proofErr w:type="spellStart"/>
      <w:r w:rsidR="00B82470" w:rsidRPr="00B82470">
        <w:rPr>
          <w:rFonts w:ascii="Calibri" w:hAnsi="Calibri" w:cs="Calibri"/>
          <w:color w:val="000000" w:themeColor="text1"/>
        </w:rPr>
        <w:t>hiperkonverguotą</w:t>
      </w:r>
      <w:proofErr w:type="spellEnd"/>
      <w:r w:rsidR="00B82470" w:rsidRPr="00B82470">
        <w:rPr>
          <w:rFonts w:ascii="Calibri" w:hAnsi="Calibri" w:cs="Calibri"/>
          <w:color w:val="000000" w:themeColor="text1"/>
        </w:rPr>
        <w:t xml:space="preserve"> infrastruktūrą (toliau – HCI), GPU serverius ir rezervinio kopijavimo sprendimą. Šios dalys sudaro tarpusavyje susijusią sistemą, kurios integralumas yra būtinas efektyviam funkcionalumui užtikrinti. Toliau pateikiami motyvai, pagrindžiantys pirkimo objekto neskaidymą į dalis.</w:t>
      </w:r>
    </w:p>
    <w:p w14:paraId="5C829A7E" w14:textId="757E0B81" w:rsidR="00B82470" w:rsidRPr="00B82470" w:rsidRDefault="00B82470" w:rsidP="00B82470">
      <w:pPr>
        <w:pStyle w:val="ListParagraph"/>
        <w:ind w:left="360" w:firstLine="207"/>
        <w:jc w:val="both"/>
        <w:rPr>
          <w:rFonts w:ascii="Calibri" w:hAnsi="Calibri" w:cs="Calibri"/>
          <w:color w:val="000000" w:themeColor="text1"/>
        </w:rPr>
      </w:pPr>
      <w:r>
        <w:rPr>
          <w:rFonts w:ascii="Calibri" w:hAnsi="Calibri" w:cs="Calibri"/>
          <w:color w:val="000000" w:themeColor="text1"/>
        </w:rPr>
        <w:t>1.</w:t>
      </w:r>
      <w:r w:rsidRPr="00B82470">
        <w:rPr>
          <w:rFonts w:ascii="Calibri" w:hAnsi="Calibri" w:cs="Calibri"/>
          <w:color w:val="000000" w:themeColor="text1"/>
        </w:rPr>
        <w:t>1</w:t>
      </w:r>
      <w:r>
        <w:rPr>
          <w:rFonts w:ascii="Calibri" w:hAnsi="Calibri" w:cs="Calibri"/>
          <w:color w:val="000000" w:themeColor="text1"/>
        </w:rPr>
        <w:t>3</w:t>
      </w:r>
      <w:r w:rsidRPr="00B82470">
        <w:rPr>
          <w:rFonts w:ascii="Calibri" w:hAnsi="Calibri" w:cs="Calibri"/>
          <w:color w:val="000000" w:themeColor="text1"/>
        </w:rPr>
        <w:t>.</w:t>
      </w:r>
      <w:r>
        <w:rPr>
          <w:rFonts w:ascii="Calibri" w:hAnsi="Calibri" w:cs="Calibri"/>
          <w:color w:val="000000" w:themeColor="text1"/>
        </w:rPr>
        <w:t>1.</w:t>
      </w:r>
      <w:r w:rsidRPr="00B82470">
        <w:rPr>
          <w:rFonts w:ascii="Calibri" w:hAnsi="Calibri" w:cs="Calibri"/>
          <w:color w:val="000000" w:themeColor="text1"/>
        </w:rPr>
        <w:t xml:space="preserve"> </w:t>
      </w:r>
      <w:proofErr w:type="spellStart"/>
      <w:r w:rsidRPr="00B82470">
        <w:rPr>
          <w:rFonts w:ascii="Calibri" w:hAnsi="Calibri" w:cs="Calibri"/>
          <w:color w:val="000000" w:themeColor="text1"/>
        </w:rPr>
        <w:t>Hiperkonverguotos</w:t>
      </w:r>
      <w:proofErr w:type="spellEnd"/>
      <w:r w:rsidRPr="00B82470">
        <w:rPr>
          <w:rFonts w:ascii="Calibri" w:hAnsi="Calibri" w:cs="Calibri"/>
          <w:color w:val="000000" w:themeColor="text1"/>
        </w:rPr>
        <w:t xml:space="preserve"> infrastruktūros integralumas. HCI apjungia skaičiavimo, saugojimo ir tinklų resursus vienoje platformoje, užtikrindama sklandų jų valdymą ir optimizaciją. Ši infrastruktūra integruoja GPU serverius ir rezervinio kopijavimo sprendimus, naudodama centralizuotą valdymo platformą. HCI, kaip „viskas viename“ sistema, leidžia dinamiškai skirstyti resursus, sumažinti valdymo kaštus ir išvengti techninio nesuderinamumo rizikų. Atskiras šios infrastruktūros komponentų pirkimas apsunkintų jų integraciją ir valdymą, padidintų kaštus bei galimai trukdytų pasiekti pirkimo tikslus.</w:t>
      </w:r>
    </w:p>
    <w:p w14:paraId="196DBC60" w14:textId="00F13CA0" w:rsidR="00B82470" w:rsidRPr="00B82470" w:rsidRDefault="00B82470" w:rsidP="00B82470">
      <w:pPr>
        <w:pStyle w:val="ListParagraph"/>
        <w:ind w:left="360" w:firstLine="207"/>
        <w:jc w:val="both"/>
        <w:rPr>
          <w:rFonts w:ascii="Calibri" w:hAnsi="Calibri" w:cs="Calibri"/>
          <w:color w:val="000000" w:themeColor="text1"/>
        </w:rPr>
      </w:pPr>
      <w:r>
        <w:rPr>
          <w:rFonts w:ascii="Calibri" w:hAnsi="Calibri" w:cs="Calibri"/>
          <w:color w:val="000000" w:themeColor="text1"/>
        </w:rPr>
        <w:t>1.13.</w:t>
      </w:r>
      <w:r w:rsidRPr="00B82470">
        <w:rPr>
          <w:rFonts w:ascii="Calibri" w:hAnsi="Calibri" w:cs="Calibri"/>
          <w:color w:val="000000" w:themeColor="text1"/>
        </w:rPr>
        <w:t>2. GPU serverių specifinis pritaikymas ir sąveika. GPU serveriai yra esminė Duomenų analizės sistemos dalis, skirta dirbtinio intelekto, mašininio mokymosi ir kitų pažangių skaičiavimo uždavinių vykdymui. Šių serverių veikimas tiesiogiai priklauso nuo integracijos su HCI platforma ir tinkamu duomenų mainų sprendimu. Atskiras GPU serverių pirkimas lemtų papildomas suderinamumo problemas, nes skirtingų tiekėjų sprendimai gali būti nepilnai pritaikyti HCI infrastruktūrai. Lietuvos Aukščiausiasis Teismas (toliau – LAT) yra pripažinęs, kad pirkimo objekto skaidymas nėra būtinas, kai tai reikštų papildomų išlaidų ir sudėtingumo augimą, kenkdami viešojo intereso užtikrinimui (LAT 2020 m. sprendimas byloje Nr. e3K-3-32-248/2020).</w:t>
      </w:r>
    </w:p>
    <w:p w14:paraId="21E0783B" w14:textId="2468B8ED" w:rsidR="00B82470" w:rsidRPr="00B82470" w:rsidRDefault="00B82470" w:rsidP="00B82470">
      <w:pPr>
        <w:pStyle w:val="ListParagraph"/>
        <w:ind w:left="360" w:firstLine="207"/>
        <w:jc w:val="both"/>
        <w:rPr>
          <w:rFonts w:ascii="Calibri" w:hAnsi="Calibri" w:cs="Calibri"/>
          <w:color w:val="000000" w:themeColor="text1"/>
        </w:rPr>
      </w:pPr>
      <w:r>
        <w:rPr>
          <w:rFonts w:ascii="Calibri" w:hAnsi="Calibri" w:cs="Calibri"/>
          <w:color w:val="000000" w:themeColor="text1"/>
        </w:rPr>
        <w:t>1.13.</w:t>
      </w:r>
      <w:r w:rsidRPr="00B82470">
        <w:rPr>
          <w:rFonts w:ascii="Calibri" w:hAnsi="Calibri" w:cs="Calibri"/>
          <w:color w:val="000000" w:themeColor="text1"/>
        </w:rPr>
        <w:t>3. Rezervinio kopijavimo sistemos integracija. Rezervinio kopijavimo sprendimas užtikrina duomenų apsaugą ir greitą atstatymą. Šis sprendimas turi būti suderintas su HCI ir GPU serverių architektūra, kad užtikrintų vientisą duomenų perdavimą ir optimizaciją. Atskiras šio komponento pirkimas reikštų didesnes integracijos sąnaudas, riziką dėl nesuderinamumo ir galimus veikimo trikdžius, kurie keltų grėsmę visos sistemos veikimui.</w:t>
      </w:r>
    </w:p>
    <w:p w14:paraId="3B71429B" w14:textId="25B720E7" w:rsidR="00B82470" w:rsidRPr="00B82470" w:rsidRDefault="00B82470" w:rsidP="00B82470">
      <w:pPr>
        <w:pStyle w:val="ListParagraph"/>
        <w:ind w:left="360" w:firstLine="207"/>
        <w:jc w:val="both"/>
        <w:rPr>
          <w:rFonts w:ascii="Calibri" w:hAnsi="Calibri" w:cs="Calibri"/>
          <w:color w:val="000000" w:themeColor="text1"/>
        </w:rPr>
      </w:pPr>
      <w:r>
        <w:rPr>
          <w:rFonts w:ascii="Calibri" w:hAnsi="Calibri" w:cs="Calibri"/>
          <w:color w:val="000000" w:themeColor="text1"/>
        </w:rPr>
        <w:lastRenderedPageBreak/>
        <w:t>13.</w:t>
      </w:r>
      <w:r w:rsidRPr="00B82470">
        <w:rPr>
          <w:rFonts w:ascii="Calibri" w:hAnsi="Calibri" w:cs="Calibri"/>
          <w:color w:val="000000" w:themeColor="text1"/>
        </w:rPr>
        <w:t>4. Kompleksinis suderinamumas ir veikimo efektyvumas. Duomenų analizės sistemos komponentai (HCI, GPU serveriai ir rezervinio kopijavimo sprendimas) veikia kaip vieningas organizmas, todėl jų techninis suderinamumas yra būtina sąlyga. Atskirai įsigyti komponentai gali nepilnai palaikyti vieni kitus, o papildomos suderinamumo užtikrinimo priemonės padidintų projekto kaštus ir užtruktų ilgiau, nei planuota. LAT praktikoje pažymėta, kad pirkimo objekto vienovė yra svarbi, kai atskiros dalys turi veikti vientisai ir negali būti funkcionaliai atskirtos (LAT 2018 m. sprendimas byloje Nr. e3K-3-205-248/2018).</w:t>
      </w:r>
    </w:p>
    <w:p w14:paraId="0314FF9E" w14:textId="0AD56E59" w:rsidR="00B82470" w:rsidRPr="00B82470" w:rsidRDefault="00B82470" w:rsidP="00B82470">
      <w:pPr>
        <w:pStyle w:val="ListParagraph"/>
        <w:ind w:left="360" w:firstLine="207"/>
        <w:jc w:val="both"/>
        <w:rPr>
          <w:rFonts w:ascii="Calibri" w:hAnsi="Calibri" w:cs="Calibri"/>
          <w:color w:val="000000" w:themeColor="text1"/>
        </w:rPr>
      </w:pPr>
      <w:r>
        <w:rPr>
          <w:rFonts w:ascii="Calibri" w:hAnsi="Calibri" w:cs="Calibri"/>
          <w:color w:val="000000" w:themeColor="text1"/>
        </w:rPr>
        <w:t>13.</w:t>
      </w:r>
      <w:r w:rsidRPr="00B82470">
        <w:rPr>
          <w:rFonts w:ascii="Calibri" w:hAnsi="Calibri" w:cs="Calibri"/>
          <w:color w:val="000000" w:themeColor="text1"/>
        </w:rPr>
        <w:t>5. Mažesnės sąnaudos ir rizikos. Vieninga sistema leidžia sumažinti tiek įsigijimo, tiek diegimo kaštus, optimizuojant išteklių valdymą ir priežiūrą. Pirkimo objekto neskaidymas į dalis užtikrina, kad visas sprendimas bus valdomas centralizuotai, o tai padeda išvengti nesuderinamumo problemų ir pasiekti pirkimo tikslus laiku bei ekonomiškai.</w:t>
      </w:r>
    </w:p>
    <w:p w14:paraId="579EF291" w14:textId="77777777" w:rsidR="00B82470" w:rsidRPr="00B82470" w:rsidRDefault="00B82470" w:rsidP="00B82470">
      <w:pPr>
        <w:pStyle w:val="ListParagraph"/>
        <w:ind w:left="360" w:firstLine="207"/>
        <w:jc w:val="both"/>
        <w:rPr>
          <w:rFonts w:ascii="Calibri" w:hAnsi="Calibri" w:cs="Calibri"/>
          <w:color w:val="000000" w:themeColor="text1"/>
        </w:rPr>
      </w:pPr>
      <w:r w:rsidRPr="00B82470">
        <w:rPr>
          <w:rFonts w:ascii="Calibri" w:hAnsi="Calibri" w:cs="Calibri"/>
          <w:color w:val="000000" w:themeColor="text1"/>
        </w:rPr>
        <w:t>Apibendrinimas. Vadovaujantis VPĮ, VPT rekomendacijomis ir LAT praktika, pirkimo objekto vientisumas yra būtinas šio projekto tikslų pasiekimui. HCI, GPU serveriai ir rezervinio kopijavimo sprendimas sudaro neatskiriamus sistemos komponentus, kurių integracija užtikrina efektyvumą, mažina kaštus ir rizikas bei užtikrina ilgalaikį sprendimo funkcionalumą. Komponentų atskyrimas ne tik sudarytų papildomų kliūčių techninei integracijai, bet ir prieštarautų ekonomiškumo bei efektyvumo principams.</w:t>
      </w:r>
    </w:p>
    <w:p w14:paraId="07CC77ED" w14:textId="77777777" w:rsidR="00B82470" w:rsidRPr="00B82470" w:rsidRDefault="00B82470" w:rsidP="00B82470">
      <w:pPr>
        <w:pStyle w:val="ListParagraph"/>
        <w:ind w:left="360" w:firstLine="207"/>
        <w:jc w:val="both"/>
        <w:rPr>
          <w:rFonts w:ascii="Calibri" w:hAnsi="Calibri" w:cs="Calibri"/>
          <w:color w:val="000000" w:themeColor="text1"/>
        </w:rPr>
      </w:pPr>
      <w:r w:rsidRPr="00B82470">
        <w:rPr>
          <w:rFonts w:ascii="Calibri" w:hAnsi="Calibri" w:cs="Calibri"/>
          <w:color w:val="000000" w:themeColor="text1"/>
        </w:rPr>
        <w:t>Jeigu pirkimo objektas būtų suskaidytas į dalis, būtų susidurta su reikšmingomis rizikomis, kurios galimai būtų nesuvaldomos. Pirma, atsirastų techninio nesuderinamumo pavojus, kai skirtingų tiekėjų tiekiami sprendimai nepilnai palaikytų vienas kitą. Pavyzdžiui, HCI infrastruktūra, GPU serveriai ir rezervinio kopijavimo sistema gali naudoti skirtingas duomenų mainų, tinklų valdymo ar saugojimo technologijas, kurios gali būti nesuderinamos tarpusavyje. Tai lemtų neefektyvų sistemos veikimą arba reikalautų papildomų investicijų į suderinimo sprendimus, kurie iš esmės padidintų projekto kaštus.</w:t>
      </w:r>
    </w:p>
    <w:p w14:paraId="4A218202" w14:textId="77777777" w:rsidR="00B82470" w:rsidRPr="00B82470" w:rsidRDefault="00B82470" w:rsidP="00B82470">
      <w:pPr>
        <w:pStyle w:val="ListParagraph"/>
        <w:ind w:left="360" w:firstLine="207"/>
        <w:jc w:val="both"/>
        <w:rPr>
          <w:rFonts w:ascii="Calibri" w:hAnsi="Calibri" w:cs="Calibri"/>
          <w:color w:val="000000" w:themeColor="text1"/>
        </w:rPr>
      </w:pPr>
      <w:r w:rsidRPr="00B82470">
        <w:rPr>
          <w:rFonts w:ascii="Calibri" w:hAnsi="Calibri" w:cs="Calibri"/>
          <w:color w:val="000000" w:themeColor="text1"/>
        </w:rPr>
        <w:t>Antra, pirkimo suskaidymas padidintų atsakomybės išsklaidymo riziką. Skirtingi tiekėjai galėtų viena kitą kaltinti dėl komponentų nesuderinamumo ar veikimo problemų, o tai apsunkintų sprendimų paiešką ir reikalautų papildomų koordinavimo išteklių. Dėl to gali išaugti projekto įgyvendinimo laiko sąnaudos, o galutinis terminas gali būti nukeltas, kas keltų grėsmę pasiekti projekto tikslus.</w:t>
      </w:r>
    </w:p>
    <w:p w14:paraId="02856870" w14:textId="77777777" w:rsidR="00B82470" w:rsidRPr="00B82470" w:rsidRDefault="00B82470" w:rsidP="00B82470">
      <w:pPr>
        <w:pStyle w:val="ListParagraph"/>
        <w:ind w:left="360" w:firstLine="207"/>
        <w:jc w:val="both"/>
        <w:rPr>
          <w:rFonts w:ascii="Calibri" w:hAnsi="Calibri" w:cs="Calibri"/>
          <w:color w:val="000000" w:themeColor="text1"/>
        </w:rPr>
      </w:pPr>
      <w:r w:rsidRPr="00B82470">
        <w:rPr>
          <w:rFonts w:ascii="Calibri" w:hAnsi="Calibri" w:cs="Calibri"/>
          <w:color w:val="000000" w:themeColor="text1"/>
        </w:rPr>
        <w:t>Trečia, kyla rizika, kad paslaugų kokybė ir priežiūra nebus vientisa. Skirtingų tiekėjų diegimo, techninės priežiūros ar atnaujinimo procesai gali skirtis, o tai gali sukelti nesklandumų ilgalaikėje perspektyvoje. Vientisos infrastruktūros privalumas yra galimybė naudotis centralizuota technine pagalba, o suskaidymas reikštų, kad šie procesai turėtų būti koordinuojami su skirtingais tiekėjais, didinant sudėtingumą ir valdymo kaštus.</w:t>
      </w:r>
    </w:p>
    <w:p w14:paraId="53043EC4" w14:textId="77777777" w:rsidR="00B82470" w:rsidRPr="00B82470" w:rsidRDefault="00B82470" w:rsidP="00B82470">
      <w:pPr>
        <w:pStyle w:val="ListParagraph"/>
        <w:ind w:left="360" w:firstLine="207"/>
        <w:jc w:val="both"/>
        <w:rPr>
          <w:rFonts w:ascii="Calibri" w:hAnsi="Calibri" w:cs="Calibri"/>
          <w:color w:val="000000" w:themeColor="text1"/>
        </w:rPr>
      </w:pPr>
      <w:r w:rsidRPr="00B82470">
        <w:rPr>
          <w:rFonts w:ascii="Calibri" w:hAnsi="Calibri" w:cs="Calibri"/>
          <w:color w:val="000000" w:themeColor="text1"/>
        </w:rPr>
        <w:t>Galiausiai, pirkimo objekto skaidymas galėtų padidinti projekto nesėkmės riziką. Sudėtingų technologinių sistemų projektų sėkmė dažnai priklauso nuo efektyvios integracijos ir vieningo valdymo. Atskirų komponentų pirkimas sukurtų papildomą įgyvendinimo neapibrėžtumą, kuris galėtų lemti sistemos veikimo trikdžius, duomenų praradimą arba nepakankamą našumą.</w:t>
      </w:r>
    </w:p>
    <w:p w14:paraId="1A4CEA63" w14:textId="64E8DA3E" w:rsidR="00ED31FB" w:rsidRDefault="00B82470" w:rsidP="00B82470">
      <w:pPr>
        <w:pStyle w:val="ListParagraph"/>
        <w:ind w:left="360" w:firstLine="207"/>
        <w:jc w:val="both"/>
        <w:rPr>
          <w:rFonts w:ascii="Calibri" w:hAnsi="Calibri" w:cs="Calibri"/>
          <w:color w:val="000000" w:themeColor="text1"/>
        </w:rPr>
      </w:pPr>
      <w:r w:rsidRPr="00B82470">
        <w:rPr>
          <w:rFonts w:ascii="Calibri" w:hAnsi="Calibri" w:cs="Calibri"/>
          <w:color w:val="000000" w:themeColor="text1"/>
        </w:rPr>
        <w:t>Atsižvelgiant į šias aplinkybes, pirkimo objekto neskaidymas yra būtinas norint užtikrinti sklandžią integraciją, efektyvų valdymą, mažesnes rizikas ir ekonomiškai pagrįstą projekto įgyvendinimą.</w:t>
      </w:r>
    </w:p>
    <w:p w14:paraId="4C499E7A" w14:textId="66B6B04C" w:rsidR="00ED31FB" w:rsidRDefault="00ED31FB" w:rsidP="00630266">
      <w:pPr>
        <w:pStyle w:val="ListParagraph"/>
        <w:ind w:left="360" w:firstLine="207"/>
        <w:rPr>
          <w:rFonts w:ascii="Calibri" w:hAnsi="Calibri" w:cs="Calibri"/>
          <w:color w:val="000000" w:themeColor="text1"/>
        </w:rPr>
      </w:pP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94AFB06" w:rsidR="00B41C66" w:rsidRPr="00165886" w:rsidRDefault="00B41C66" w:rsidP="0097765E">
      <w:pPr>
        <w:pStyle w:val="NoSpacing"/>
        <w:numPr>
          <w:ilvl w:val="1"/>
          <w:numId w:val="5"/>
        </w:numPr>
        <w:spacing w:after="120"/>
        <w:ind w:left="0" w:firstLine="709"/>
        <w:contextualSpacing/>
        <w:jc w:val="both"/>
        <w:rPr>
          <w:rFonts w:cstheme="minorHAnsi"/>
        </w:rPr>
      </w:pPr>
      <w:r w:rsidRPr="00F0499F">
        <w:rPr>
          <w:rFonts w:eastAsia="Calibri"/>
          <w:color w:val="000000" w:themeColor="text1"/>
        </w:rPr>
        <w:t>Perkančioji organizacija numato įsigyti</w:t>
      </w:r>
      <w:r w:rsidR="009A44C6" w:rsidRPr="009A44C6">
        <w:t xml:space="preserve"> </w:t>
      </w:r>
      <w:r w:rsidR="009A44C6" w:rsidRPr="009A44C6">
        <w:rPr>
          <w:rFonts w:eastAsia="Calibri"/>
          <w:color w:val="000000" w:themeColor="text1"/>
        </w:rPr>
        <w:t>didelio našumo serverių klaster</w:t>
      </w:r>
      <w:r w:rsidR="009A44C6">
        <w:rPr>
          <w:rFonts w:eastAsia="Calibri"/>
          <w:color w:val="000000" w:themeColor="text1"/>
        </w:rPr>
        <w:t>į</w:t>
      </w:r>
      <w:r w:rsidR="009A44C6" w:rsidRPr="009A44C6">
        <w:rPr>
          <w:rFonts w:eastAsia="Calibri"/>
          <w:color w:val="000000" w:themeColor="text1"/>
        </w:rPr>
        <w:t xml:space="preserve"> ML/AI/HPC paslaugų teikimui</w:t>
      </w:r>
      <w:r w:rsidR="009A44C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165886">
        <w:rPr>
          <w:rFonts w:cstheme="minorHAnsi"/>
        </w:rPr>
        <w:t xml:space="preserve">sąlygų </w:t>
      </w:r>
      <w:r w:rsidR="00686D6F" w:rsidRPr="00165886">
        <w:rPr>
          <w:rFonts w:cstheme="minorHAnsi"/>
        </w:rPr>
        <w:t>2</w:t>
      </w:r>
      <w:r w:rsidR="00FA7D78" w:rsidRPr="00165886">
        <w:rPr>
          <w:rFonts w:ascii="Arial" w:hAnsi="Arial" w:cs="Arial"/>
        </w:rPr>
        <w:t xml:space="preserve"> </w:t>
      </w:r>
      <w:r w:rsidR="00444CAF" w:rsidRPr="00165886">
        <w:rPr>
          <w:rFonts w:cstheme="minorHAnsi"/>
        </w:rPr>
        <w:t>priede</w:t>
      </w:r>
      <w:r w:rsidRPr="00165886">
        <w:rPr>
          <w:rFonts w:cstheme="minorHAnsi"/>
        </w:rPr>
        <w:t>.</w:t>
      </w:r>
    </w:p>
    <w:p w14:paraId="4F23CE62" w14:textId="2F4ADEA2" w:rsidR="00686D6F" w:rsidRDefault="00686D6F" w:rsidP="00686D6F">
      <w:pPr>
        <w:pStyle w:val="NoSpacing"/>
        <w:numPr>
          <w:ilvl w:val="1"/>
          <w:numId w:val="5"/>
        </w:numPr>
        <w:ind w:left="0" w:firstLine="567"/>
        <w:contextualSpacing/>
        <w:jc w:val="both"/>
        <w:rPr>
          <w:rFonts w:cstheme="minorHAnsi"/>
        </w:rPr>
      </w:pPr>
      <w:r w:rsidRPr="00165886">
        <w:rPr>
          <w:rFonts w:cstheme="minorHAnsi"/>
        </w:rPr>
        <w:lastRenderedPageBreak/>
        <w:t xml:space="preserve">Pirkimo objektas </w:t>
      </w:r>
      <w:r w:rsidR="00A35CB2">
        <w:rPr>
          <w:rFonts w:cstheme="minorHAnsi"/>
        </w:rPr>
        <w:t>ne</w:t>
      </w:r>
      <w:r w:rsidRPr="00165886">
        <w:rPr>
          <w:rFonts w:cstheme="minorHAnsi"/>
        </w:rPr>
        <w:t xml:space="preserve">skaidomas į  </w:t>
      </w:r>
      <w:r w:rsidRPr="00686D6F">
        <w:rPr>
          <w:rFonts w:cstheme="minorHAnsi"/>
        </w:rPr>
        <w:t>dalis</w:t>
      </w:r>
      <w:r w:rsidR="00A35CB2">
        <w:rPr>
          <w:rFonts w:cstheme="minorHAnsi"/>
        </w:rPr>
        <w:t xml:space="preserve">. </w:t>
      </w:r>
      <w:r w:rsidR="00A35CB2" w:rsidRPr="00A35CB2">
        <w:rPr>
          <w:rFonts w:cstheme="minorHAnsi"/>
        </w:rPr>
        <w:t>Pirkimo apimtys, reikalavimai ir techninė specifikacija apibrėžti specialiųjų pirkimo sąlygų 2 priede.</w:t>
      </w:r>
    </w:p>
    <w:p w14:paraId="2BB168BC" w14:textId="77777777" w:rsidR="00686D6F" w:rsidRDefault="00686D6F" w:rsidP="00686D6F">
      <w:pPr>
        <w:pStyle w:val="NoSpacing"/>
        <w:numPr>
          <w:ilvl w:val="1"/>
          <w:numId w:val="5"/>
        </w:numPr>
        <w:ind w:left="0" w:firstLine="567"/>
        <w:contextualSpacing/>
        <w:jc w:val="both"/>
        <w:rPr>
          <w:rFonts w:cstheme="minorHAnsi"/>
        </w:rPr>
      </w:pPr>
      <w:r w:rsidRPr="008C466B">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00BB3B0" w14:textId="77777777" w:rsidR="00686D6F" w:rsidRPr="008C466B" w:rsidRDefault="00686D6F" w:rsidP="00686D6F">
      <w:pPr>
        <w:pStyle w:val="NoSpacing"/>
        <w:numPr>
          <w:ilvl w:val="1"/>
          <w:numId w:val="5"/>
        </w:numPr>
        <w:ind w:left="0" w:firstLine="567"/>
        <w:contextualSpacing/>
        <w:jc w:val="both"/>
        <w:rPr>
          <w:rFonts w:cstheme="minorHAnsi"/>
        </w:rPr>
      </w:pPr>
      <w:r w:rsidRPr="008C466B">
        <w:rPr>
          <w:rFonts w:cstheme="minorHAnsi"/>
        </w:rPr>
        <w:t xml:space="preserve">Jeigu apibūdinant pirkimo objektą techninėje specifikacijoje nurodytas standartas, </w:t>
      </w:r>
      <w:r w:rsidRPr="008C466B">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C466B">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668F7123" w:rsidR="00B176FD" w:rsidRPr="00F0499F" w:rsidRDefault="00862DB8" w:rsidP="00686D6F">
      <w:pPr>
        <w:pStyle w:val="ListParagraph"/>
        <w:spacing w:after="0"/>
        <w:ind w:left="0" w:firstLine="567"/>
        <w:jc w:val="both"/>
        <w:rPr>
          <w:rFonts w:cstheme="minorHAnsi"/>
        </w:rPr>
      </w:pPr>
      <w:r w:rsidRPr="00862DB8">
        <w:rPr>
          <w:rFonts w:cstheme="minorHAnsi"/>
          <w:iCs/>
        </w:rPr>
        <w:t>3.1.</w:t>
      </w:r>
      <w:r w:rsidR="00A95680">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6A2C7B9" w:rsidR="00BE0587" w:rsidRPr="00F0499F" w:rsidRDefault="00686D6F"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FCB4F32" w:rsidR="002C5249" w:rsidRPr="009A44C6"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A44C6">
        <w:rPr>
          <w:rFonts w:eastAsia="Calibri"/>
        </w:rPr>
        <w:t xml:space="preserve">sąlygų </w:t>
      </w:r>
      <w:r w:rsidR="002134B4">
        <w:t>3</w:t>
      </w:r>
      <w:r w:rsidR="00984B02" w:rsidRPr="009A44C6">
        <w:t xml:space="preserve">  </w:t>
      </w:r>
      <w:r w:rsidR="006773B6" w:rsidRPr="009A44C6">
        <w:rPr>
          <w:rFonts w:eastAsia="Calibri"/>
        </w:rPr>
        <w:t>priede</w:t>
      </w:r>
      <w:r w:rsidR="002C5249" w:rsidRPr="009A44C6">
        <w:t xml:space="preserve">. </w:t>
      </w:r>
    </w:p>
    <w:p w14:paraId="34E32D48" w14:textId="07EC898B" w:rsidR="007B6F6D" w:rsidRPr="00765189" w:rsidRDefault="00970624" w:rsidP="00970624">
      <w:pPr>
        <w:pStyle w:val="ListParagraph"/>
        <w:tabs>
          <w:tab w:val="left" w:pos="851"/>
        </w:tabs>
        <w:spacing w:after="0" w:line="20" w:lineRule="atLeast"/>
        <w:ind w:left="0" w:firstLine="567"/>
        <w:jc w:val="both"/>
        <w:rPr>
          <w:highlight w:val="yellow"/>
        </w:rPr>
      </w:pPr>
      <w:r>
        <w:t>4.2.</w:t>
      </w:r>
      <w:r w:rsidR="002134B4" w:rsidRPr="002134B4">
        <w:t xml:space="preserve"> 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w:t>
      </w:r>
      <w:r w:rsidR="00990E9B" w:rsidRPr="00684031">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7FE59DB9" w:rsidR="00DF3DDF" w:rsidRPr="00165886" w:rsidRDefault="00D24970" w:rsidP="007872CB">
      <w:pPr>
        <w:spacing w:after="0" w:line="240" w:lineRule="auto"/>
        <w:ind w:firstLine="567"/>
        <w:jc w:val="both"/>
        <w:rPr>
          <w:rFonts w:cstheme="minorHAnsi"/>
        </w:rPr>
      </w:pPr>
      <w:r w:rsidRPr="00165886">
        <w:rPr>
          <w:rFonts w:cstheme="minorHAnsi"/>
        </w:rPr>
        <w:t>5</w:t>
      </w:r>
      <w:r w:rsidR="0037632B" w:rsidRPr="00165886">
        <w:rPr>
          <w:rFonts w:cstheme="minorHAnsi"/>
        </w:rPr>
        <w:t xml:space="preserve">.1. </w:t>
      </w:r>
      <w:r w:rsidR="00DF3DDF" w:rsidRPr="00165886">
        <w:rPr>
          <w:rFonts w:cstheme="minorHAnsi"/>
        </w:rPr>
        <w:t xml:space="preserve">Pirkimui taikomos Reglamento nuostatos. </w:t>
      </w:r>
      <w:r w:rsidR="00FD6EE2" w:rsidRPr="00165886">
        <w:rPr>
          <w:rFonts w:cstheme="minorHAnsi"/>
        </w:rPr>
        <w:t xml:space="preserve">Kartu su </w:t>
      </w:r>
      <w:r w:rsidR="00E3566E" w:rsidRPr="00165886">
        <w:rPr>
          <w:rFonts w:cstheme="minorHAnsi"/>
        </w:rPr>
        <w:t>p</w:t>
      </w:r>
      <w:r w:rsidR="00FD6EE2" w:rsidRPr="00165886">
        <w:rPr>
          <w:rFonts w:cstheme="minorHAnsi"/>
        </w:rPr>
        <w:t>asiūlymu tiekėjas turi pateikti</w:t>
      </w:r>
      <w:r w:rsidR="00B96756" w:rsidRPr="00165886">
        <w:rPr>
          <w:rFonts w:cstheme="minorHAnsi"/>
        </w:rPr>
        <w:t xml:space="preserve"> </w:t>
      </w:r>
      <w:r w:rsidR="00B24708" w:rsidRPr="00165886">
        <w:rPr>
          <w:rFonts w:cstheme="minorHAnsi"/>
        </w:rPr>
        <w:t xml:space="preserve">užpildytą </w:t>
      </w:r>
      <w:r w:rsidR="0063163D" w:rsidRPr="00165886">
        <w:rPr>
          <w:rFonts w:cstheme="minorHAnsi"/>
        </w:rPr>
        <w:t>deklaracij</w:t>
      </w:r>
      <w:r w:rsidR="00FD6EE2" w:rsidRPr="00165886">
        <w:rPr>
          <w:rFonts w:cstheme="minorHAnsi"/>
        </w:rPr>
        <w:t>ą</w:t>
      </w:r>
      <w:r w:rsidR="0063163D" w:rsidRPr="00165886">
        <w:rPr>
          <w:rFonts w:cstheme="minorHAnsi"/>
        </w:rPr>
        <w:t xml:space="preserve"> </w:t>
      </w:r>
      <w:r w:rsidR="00FD6EE2" w:rsidRPr="00165886">
        <w:rPr>
          <w:rFonts w:cstheme="minorHAnsi"/>
        </w:rPr>
        <w:t xml:space="preserve">dėl </w:t>
      </w:r>
      <w:r w:rsidR="0078453C" w:rsidRPr="00165886">
        <w:rPr>
          <w:rFonts w:cstheme="minorHAnsi"/>
        </w:rPr>
        <w:t>(ne)atitikties Reglamento nuostatoms</w:t>
      </w:r>
      <w:r w:rsidR="0063163D" w:rsidRPr="00165886">
        <w:rPr>
          <w:rFonts w:cstheme="minorHAnsi"/>
        </w:rPr>
        <w:t xml:space="preserve">, kuri pateikta </w:t>
      </w:r>
      <w:r w:rsidR="006A737F" w:rsidRPr="00165886">
        <w:rPr>
          <w:rFonts w:cstheme="minorHAnsi"/>
        </w:rPr>
        <w:t>specialiųjų p</w:t>
      </w:r>
      <w:r w:rsidR="00551FA7" w:rsidRPr="00165886">
        <w:rPr>
          <w:rFonts w:cstheme="minorHAnsi"/>
        </w:rPr>
        <w:t xml:space="preserve">irkimo </w:t>
      </w:r>
      <w:r w:rsidR="0063163D" w:rsidRPr="00165886">
        <w:rPr>
          <w:rFonts w:cstheme="minorHAnsi"/>
        </w:rPr>
        <w:t xml:space="preserve">sąlygų </w:t>
      </w:r>
      <w:r w:rsidR="00684031" w:rsidRPr="00165886">
        <w:rPr>
          <w:rFonts w:cstheme="minorHAnsi"/>
        </w:rPr>
        <w:t>8 arba 9</w:t>
      </w:r>
      <w:r w:rsidR="007A15EC" w:rsidRPr="00165886">
        <w:rPr>
          <w:rFonts w:cstheme="minorHAnsi"/>
        </w:rPr>
        <w:t xml:space="preserve"> priede</w:t>
      </w:r>
      <w:r w:rsidR="00B24708" w:rsidRPr="00165886">
        <w:rPr>
          <w:rFonts w:cstheme="minorHAnsi"/>
        </w:rPr>
        <w:t>.</w:t>
      </w:r>
      <w:r w:rsidR="00B852B7" w:rsidRPr="00165886">
        <w:rPr>
          <w:rFonts w:cstheme="minorHAnsi"/>
        </w:rPr>
        <w:t xml:space="preserve"> Kilus abejonių dėl </w:t>
      </w:r>
      <w:r w:rsidR="007349E0" w:rsidRPr="00165886">
        <w:rPr>
          <w:rFonts w:cstheme="minorHAnsi"/>
        </w:rPr>
        <w:t>tiekėjo (ne)atitikties Reglamento nuostatoms</w:t>
      </w:r>
      <w:r w:rsidR="0012639E" w:rsidRPr="00165886">
        <w:rPr>
          <w:rFonts w:cstheme="minorHAnsi"/>
        </w:rPr>
        <w:t xml:space="preserve">, perkančioji organizacija </w:t>
      </w:r>
      <w:r w:rsidR="006D5E06" w:rsidRPr="00165886">
        <w:rPr>
          <w:rFonts w:cstheme="minorHAnsi"/>
        </w:rPr>
        <w:t xml:space="preserve">iš galimo laimėtojo </w:t>
      </w:r>
      <w:r w:rsidR="0012639E" w:rsidRPr="00165886">
        <w:rPr>
          <w:rFonts w:cstheme="minorHAnsi"/>
        </w:rPr>
        <w:t xml:space="preserve">prašys pateikti </w:t>
      </w:r>
      <w:r w:rsidR="007349E0" w:rsidRPr="00165886">
        <w:rPr>
          <w:rFonts w:cstheme="minorHAnsi"/>
        </w:rPr>
        <w:t>dokumentus, įrodančius deklaracijoje pateiktų duomenų teisingumą.</w:t>
      </w:r>
    </w:p>
    <w:p w14:paraId="05E7CB20" w14:textId="294B38D3" w:rsidR="002A637A" w:rsidRPr="00165886" w:rsidRDefault="00D24970" w:rsidP="007872CB">
      <w:pPr>
        <w:spacing w:after="0" w:line="240" w:lineRule="auto"/>
        <w:ind w:firstLine="567"/>
        <w:jc w:val="both"/>
        <w:rPr>
          <w:rFonts w:cstheme="minorHAnsi"/>
        </w:rPr>
      </w:pPr>
      <w:r w:rsidRPr="00165886">
        <w:rPr>
          <w:rFonts w:cstheme="minorHAnsi"/>
        </w:rPr>
        <w:t>5</w:t>
      </w:r>
      <w:r w:rsidR="002A637A" w:rsidRPr="00165886">
        <w:rPr>
          <w:rFonts w:cstheme="minorHAnsi"/>
        </w:rPr>
        <w:t xml:space="preserve">.2. </w:t>
      </w:r>
      <w:r w:rsidR="00CF14EB" w:rsidRPr="00165886">
        <w:rPr>
          <w:rFonts w:cstheme="minorHAnsi"/>
        </w:rPr>
        <w:t>Perkanči</w:t>
      </w:r>
      <w:r w:rsidR="00C727CF" w:rsidRPr="00165886">
        <w:rPr>
          <w:rFonts w:cstheme="minorHAnsi"/>
        </w:rPr>
        <w:t xml:space="preserve">oji </w:t>
      </w:r>
      <w:r w:rsidR="00CF14EB" w:rsidRPr="00165886">
        <w:rPr>
          <w:rFonts w:cstheme="minorHAnsi"/>
        </w:rPr>
        <w:t>organizacija nustačius</w:t>
      </w:r>
      <w:r w:rsidR="00C727CF" w:rsidRPr="00165886">
        <w:rPr>
          <w:rFonts w:cstheme="minorHAnsi"/>
        </w:rPr>
        <w:t>i</w:t>
      </w:r>
      <w:r w:rsidR="00CF14EB" w:rsidRPr="00165886">
        <w:rPr>
          <w:rFonts w:cstheme="minorHAnsi"/>
        </w:rPr>
        <w:t xml:space="preserve">, kad tiekėjo pasitelktas subtiekėjas </w:t>
      </w:r>
      <w:r w:rsidR="009763B1" w:rsidRPr="00165886">
        <w:rPr>
          <w:rFonts w:cstheme="minorHAnsi"/>
        </w:rPr>
        <w:t xml:space="preserve">ar ūkio subjektas, kurio pajėgumais remiamasi, </w:t>
      </w:r>
      <w:r w:rsidR="00BA05C9" w:rsidRPr="00165886">
        <w:rPr>
          <w:rFonts w:cstheme="minorHAnsi"/>
        </w:rPr>
        <w:t>tenkin</w:t>
      </w:r>
      <w:r w:rsidR="00CF14EB" w:rsidRPr="00165886">
        <w:rPr>
          <w:rFonts w:cstheme="minorHAnsi"/>
        </w:rPr>
        <w:t xml:space="preserve">a </w:t>
      </w:r>
      <w:r w:rsidR="00DA1B9B" w:rsidRPr="00165886">
        <w:rPr>
          <w:rFonts w:cstheme="minorHAnsi"/>
        </w:rPr>
        <w:t xml:space="preserve">Reglamento </w:t>
      </w:r>
      <w:r w:rsidR="00A4619E" w:rsidRPr="00165886">
        <w:rPr>
          <w:rFonts w:cstheme="minorHAnsi"/>
        </w:rPr>
        <w:t xml:space="preserve">5 k straipsnyje </w:t>
      </w:r>
      <w:r w:rsidR="00A109FD" w:rsidRPr="00165886">
        <w:rPr>
          <w:rFonts w:cstheme="minorHAnsi"/>
        </w:rPr>
        <w:t xml:space="preserve">nustatytus </w:t>
      </w:r>
      <w:r w:rsidR="00BA05C9" w:rsidRPr="00165886">
        <w:rPr>
          <w:rFonts w:cstheme="minorHAnsi"/>
        </w:rPr>
        <w:t>ribojimus</w:t>
      </w:r>
      <w:r w:rsidR="00A109FD" w:rsidRPr="00165886">
        <w:rPr>
          <w:rFonts w:cstheme="minorHAnsi"/>
        </w:rPr>
        <w:t xml:space="preserve">, </w:t>
      </w:r>
      <w:r w:rsidR="00BA05C9" w:rsidRPr="00165886">
        <w:rPr>
          <w:rFonts w:cstheme="minorHAnsi"/>
        </w:rPr>
        <w:t>reikalaus tiekėjo</w:t>
      </w:r>
      <w:r w:rsidR="00A109FD" w:rsidRPr="00165886">
        <w:rPr>
          <w:rFonts w:cstheme="minorHAnsi"/>
        </w:rPr>
        <w:t xml:space="preserve"> juos pakeisti kitais, </w:t>
      </w:r>
      <w:r w:rsidR="00B42273" w:rsidRPr="00165886">
        <w:rPr>
          <w:rFonts w:cstheme="minorHAnsi"/>
        </w:rPr>
        <w:t>p</w:t>
      </w:r>
      <w:r w:rsidR="00A109FD" w:rsidRPr="00165886">
        <w:rPr>
          <w:rFonts w:cstheme="minorHAnsi"/>
        </w:rPr>
        <w:t>irkimo sąlygų reikalavimus atitinkančiais</w:t>
      </w:r>
      <w:r w:rsidR="00BA05C9" w:rsidRPr="00165886">
        <w:rPr>
          <w:rFonts w:cstheme="minorHAnsi"/>
        </w:rPr>
        <w:t>,</w:t>
      </w:r>
      <w:r w:rsidR="00A109FD" w:rsidRPr="00165886">
        <w:rPr>
          <w:rFonts w:cstheme="minorHAnsi"/>
        </w:rPr>
        <w:t xml:space="preserve"> subjektais.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94554B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3A62EC">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6F3B88E"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lastRenderedPageBreak/>
        <w:t>užpildytas EBVPD (specialiųjų pirkimo sąlygų</w:t>
      </w:r>
      <w:r w:rsidRPr="003356AC">
        <w:rPr>
          <w:rFonts w:cstheme="minorHAnsi"/>
        </w:rPr>
        <w:t xml:space="preserve"> </w:t>
      </w:r>
      <w:r w:rsidR="003A62EC" w:rsidRPr="003356AC">
        <w:rPr>
          <w:rFonts w:cstheme="minorHAnsi"/>
        </w:rPr>
        <w:t>3</w:t>
      </w:r>
      <w:r w:rsidRPr="003356AC">
        <w:rPr>
          <w:rFonts w:cstheme="minorHAnsi"/>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5457A2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F8428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2BA4B51A" w:rsidR="00450415" w:rsidRPr="00F84284" w:rsidRDefault="00450415" w:rsidP="0097765E">
      <w:pPr>
        <w:pStyle w:val="ListParagraph"/>
        <w:numPr>
          <w:ilvl w:val="2"/>
          <w:numId w:val="8"/>
        </w:numPr>
        <w:tabs>
          <w:tab w:val="left" w:pos="1276"/>
        </w:tabs>
        <w:spacing w:after="0" w:line="240" w:lineRule="auto"/>
        <w:ind w:left="2127" w:hanging="1431"/>
        <w:jc w:val="both"/>
        <w:rPr>
          <w:rFonts w:cstheme="minorHAnsi"/>
          <w:u w:val="single"/>
        </w:rPr>
      </w:pPr>
      <w:r w:rsidRPr="00684031">
        <w:rPr>
          <w:rFonts w:cstheme="minorHAnsi"/>
          <w:b/>
        </w:rPr>
        <w:t xml:space="preserve">techninė specifikacija, užpildyta pagal specialiųjų pirkimo sąlygų </w:t>
      </w:r>
      <w:r w:rsidR="003A62EC" w:rsidRPr="00684031">
        <w:rPr>
          <w:rFonts w:cstheme="minorHAnsi"/>
          <w:b/>
        </w:rPr>
        <w:t>2</w:t>
      </w:r>
      <w:r w:rsidRPr="00684031">
        <w:rPr>
          <w:rFonts w:cstheme="minorHAnsi"/>
          <w:b/>
        </w:rPr>
        <w:t xml:space="preserve"> priedą</w:t>
      </w:r>
      <w:r w:rsidRPr="00F84284">
        <w:rPr>
          <w:rFonts w:cstheme="minorHAnsi"/>
          <w:i/>
          <w:iCs/>
        </w:rPr>
        <w:t>;</w:t>
      </w:r>
    </w:p>
    <w:p w14:paraId="553ABC18" w14:textId="415E0975" w:rsidR="007C1C57" w:rsidRPr="00CA64E1" w:rsidRDefault="00450415" w:rsidP="0086303D">
      <w:pPr>
        <w:spacing w:after="0" w:line="240" w:lineRule="auto"/>
        <w:ind w:firstLine="709"/>
        <w:jc w:val="both"/>
        <w:rPr>
          <w:rFonts w:cstheme="minorHAnsi"/>
          <w:color w:val="7030A0"/>
        </w:rPr>
      </w:pPr>
      <w:r w:rsidRPr="0086303D">
        <w:rPr>
          <w:rFonts w:cstheme="minorHAnsi"/>
        </w:rPr>
        <w:t>6.</w:t>
      </w:r>
      <w:r w:rsidR="00C7179F">
        <w:rPr>
          <w:rFonts w:cstheme="minorHAnsi"/>
        </w:rPr>
        <w:t>1.</w:t>
      </w:r>
      <w:r w:rsidRPr="0086303D">
        <w:rPr>
          <w:rFonts w:cstheme="minorHAnsi"/>
        </w:rPr>
        <w:t>10.</w:t>
      </w:r>
      <w:r w:rsidR="00F84284" w:rsidRPr="00F84284">
        <w:t xml:space="preserve"> </w:t>
      </w:r>
      <w:r w:rsidR="00F84284" w:rsidRPr="00684031">
        <w:rPr>
          <w:rFonts w:cstheme="minorHAnsi"/>
          <w:b/>
        </w:rPr>
        <w:t>Tiekėjo deklaracija, užpildyta pagal specialiųjų pirkimo sąlygų 8 arba 9 priedą.</w:t>
      </w:r>
      <w:r w:rsidRPr="00684031">
        <w:rPr>
          <w:rFonts w:cstheme="minorHAnsi"/>
          <w:b/>
        </w:rPr>
        <w:t xml:space="preserve"> </w:t>
      </w:r>
    </w:p>
    <w:p w14:paraId="479B3B42" w14:textId="5D2B139A" w:rsidR="00FD03FA" w:rsidRPr="00F0499F" w:rsidRDefault="00C7179F" w:rsidP="003A62EC">
      <w:pPr>
        <w:spacing w:after="0" w:line="240" w:lineRule="auto"/>
        <w:ind w:firstLine="851"/>
        <w:jc w:val="both"/>
        <w:rPr>
          <w:u w:val="single"/>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768714B9" w:rsidR="00FD03FA" w:rsidRPr="00F84284"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7EB0883E" w14:textId="2D94BE08" w:rsidR="00F84284" w:rsidRPr="00DD5A6E" w:rsidRDefault="00F84284" w:rsidP="00F84284">
      <w:pPr>
        <w:spacing w:line="240" w:lineRule="auto"/>
        <w:ind w:firstLine="710"/>
        <w:jc w:val="both"/>
      </w:pPr>
      <w:r>
        <w:t xml:space="preserve">6.3. </w:t>
      </w:r>
      <w:r w:rsidRPr="00224161">
        <w:t>Pasiūlymas turi būti parengtas</w:t>
      </w:r>
      <w:r w:rsidR="00482BA1">
        <w:t xml:space="preserve"> </w:t>
      </w:r>
      <w:r w:rsidRPr="00224161">
        <w:t xml:space="preserve">lietuvių arba anglų kalba. </w:t>
      </w:r>
      <w:r w:rsidRPr="00522BB7">
        <w:rPr>
          <w:rFonts w:eastAsia="Arial"/>
        </w:rPr>
        <w:t xml:space="preserve">Jei kurie nors su pasiūlymu teikiami dokumentai parengti ne ta kalba, kuria reikalaujama, turi būti pateiktas tikslus vertimas į reikalaujamą kalbą. </w:t>
      </w:r>
      <w:r w:rsidRPr="00224161">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567A96F" w14:textId="77777777" w:rsidR="00F84284" w:rsidRPr="00522BB7" w:rsidRDefault="00F84284" w:rsidP="00F84284">
      <w:pPr>
        <w:spacing w:line="240" w:lineRule="auto"/>
        <w:ind w:firstLine="710"/>
        <w:jc w:val="both"/>
        <w:rPr>
          <w:rFonts w:cstheme="minorHAnsi"/>
        </w:rPr>
      </w:pPr>
      <w:r>
        <w:rPr>
          <w:rFonts w:eastAsia="Arial"/>
        </w:rPr>
        <w:t xml:space="preserve">6.4. </w:t>
      </w:r>
      <w:r w:rsidRPr="00522BB7">
        <w:rPr>
          <w:rFonts w:eastAsia="Arial"/>
        </w:rPr>
        <w:t xml:space="preserve">Bendra pasiūlymo kaina (sąnaudos) su PVM turi būti nurodoma dviejų skaičių po kablelio tikslumu. </w:t>
      </w:r>
      <w:r w:rsidRPr="00522BB7">
        <w:rPr>
          <w:rFonts w:eastAsia="Arial" w:cstheme="minorHAnsi"/>
        </w:rPr>
        <w:t>Šią kainą sudarančios kainos sudedamosios dalys ar įkainiai gali būti išreikštos neribojant skaičių po kablelio kiekio</w:t>
      </w:r>
      <w:r w:rsidRPr="00522BB7">
        <w:rPr>
          <w:rFonts w:ascii="Arial" w:eastAsia="Arial" w:hAnsi="Arial" w:cs="Arial"/>
        </w:rPr>
        <w:t xml:space="preserve">. </w:t>
      </w:r>
    </w:p>
    <w:p w14:paraId="04DBEB5C" w14:textId="77777777" w:rsidR="00F84284" w:rsidRPr="00522BB7" w:rsidRDefault="00F84284" w:rsidP="00F84284">
      <w:pPr>
        <w:spacing w:line="240" w:lineRule="auto"/>
        <w:ind w:firstLine="710"/>
        <w:jc w:val="both"/>
        <w:rPr>
          <w:rFonts w:cstheme="minorHAnsi"/>
        </w:rPr>
      </w:pPr>
      <w:r>
        <w:rPr>
          <w:rFonts w:eastAsia="Arial"/>
        </w:rPr>
        <w:t xml:space="preserve">6.5. </w:t>
      </w:r>
      <w:r w:rsidRPr="00522BB7">
        <w:rPr>
          <w:rFonts w:eastAsia="Arial"/>
        </w:rPr>
        <w:t xml:space="preserve">Tiekėjų pasiūlymuose nurodytos kainos bus vertinamos </w:t>
      </w:r>
      <w:r w:rsidRPr="00A217B2">
        <w:t xml:space="preserve">ir lyginamos su visais mokesčiais, įskaitant PVM. </w:t>
      </w:r>
    </w:p>
    <w:p w14:paraId="7A15AE0A" w14:textId="048A0D00" w:rsidR="00EE1C85" w:rsidRPr="00F0499F" w:rsidRDefault="00F84284" w:rsidP="00F84284">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374BD70D" w:rsidR="00B3551C" w:rsidRPr="00F0499F" w:rsidRDefault="003A62EC" w:rsidP="00DE7037">
      <w:pPr>
        <w:pStyle w:val="ListParagraph"/>
        <w:spacing w:after="0" w:line="240" w:lineRule="auto"/>
        <w:ind w:left="0" w:firstLine="567"/>
        <w:jc w:val="both"/>
      </w:pPr>
      <w:r>
        <w:rPr>
          <w:rFonts w:eastAsia="Calibri"/>
        </w:rP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2163A5B" w:rsidR="00040C0F" w:rsidRPr="00FD51C2" w:rsidRDefault="00F84284" w:rsidP="00F84284">
      <w:pPr>
        <w:pStyle w:val="Heading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096E5A1B" w:rsidR="00040C0F" w:rsidRPr="00F0499F" w:rsidRDefault="002827E4" w:rsidP="003A62EC">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0FF81307" w:rsidR="009D0DC5" w:rsidRPr="00F0499F" w:rsidRDefault="00F84284" w:rsidP="00F84284">
      <w:pPr>
        <w:pStyle w:val="Heading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Pr>
          <w:rFonts w:asciiTheme="minorHAnsi" w:hAnsiTheme="minorHAnsi" w:cstheme="minorHAnsi"/>
        </w:rPr>
        <w:lastRenderedPageBreak/>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71E5A1E" w14:textId="65E48819" w:rsidR="003F185C" w:rsidRPr="00F0499F" w:rsidRDefault="003F185C" w:rsidP="003F185C">
      <w:pPr>
        <w:pStyle w:val="ListParagraph"/>
        <w:spacing w:after="0" w:line="240" w:lineRule="auto"/>
        <w:ind w:left="0" w:firstLine="567"/>
        <w:contextualSpacing w:val="0"/>
        <w:jc w:val="both"/>
        <w:rPr>
          <w:rFonts w:eastAsia="Calibri" w:cstheme="minorHAnsi"/>
        </w:rPr>
      </w:pPr>
      <w:r>
        <w:rPr>
          <w:rFonts w:eastAsia="Calibri" w:cstheme="minorHAnsi"/>
        </w:rPr>
        <w:t xml:space="preserve">9.1. </w:t>
      </w:r>
      <w:r w:rsidRPr="00F0499F">
        <w:rPr>
          <w:rFonts w:eastAsia="Calibri" w:cstheme="minorHAnsi"/>
        </w:rPr>
        <w:t xml:space="preserve">Perkančioji organizacija ekonomiškai naudingiausią pasiūlymą išrenka pagal </w:t>
      </w:r>
      <w:r w:rsidR="00F60EDE" w:rsidRPr="00F60EDE">
        <w:rPr>
          <w:rFonts w:eastAsia="Calibri" w:cstheme="minorHAnsi"/>
        </w:rPr>
        <w:t>kainos ir kokybės santykį</w:t>
      </w:r>
      <w:r w:rsidR="00F60EDE">
        <w:rPr>
          <w:rFonts w:eastAsia="Calibri" w:cstheme="minorHAnsi"/>
        </w:rPr>
        <w:t xml:space="preserve">. </w:t>
      </w:r>
      <w:r w:rsidR="00F60EDE" w:rsidRPr="00F60EDE">
        <w:rPr>
          <w:rFonts w:eastAsia="Calibri" w:cstheme="minorHAnsi"/>
        </w:rPr>
        <w:t xml:space="preserve">Duomenys, kuriuos savo pasiūlyme turi pateikti tiekėjas, vertinimo kriterijai ir tvarka, pagal kuria vertinami tiekėjo pateikti duomenys, pateikiama specialiųjų pirkimo sąlygų 7 priede. </w:t>
      </w:r>
      <w:r w:rsidRPr="000F4B8F">
        <w:rPr>
          <w:rFonts w:eastAsia="Calibri" w:cstheme="minorHAnsi"/>
          <w:color w:val="7030A0"/>
        </w:rPr>
        <w:t xml:space="preserve"> </w:t>
      </w:r>
    </w:p>
    <w:p w14:paraId="72740710" w14:textId="0B1F41A6" w:rsidR="003F185C" w:rsidRPr="00F0499F" w:rsidRDefault="003F185C" w:rsidP="003F185C">
      <w:pPr>
        <w:pStyle w:val="ListParagraph"/>
        <w:spacing w:after="0" w:line="20" w:lineRule="atLeast"/>
        <w:ind w:left="0" w:firstLine="567"/>
        <w:jc w:val="both"/>
        <w:rPr>
          <w:rFonts w:eastAsiaTheme="minorHAnsi" w:cstheme="minorHAnsi"/>
          <w:bCs/>
          <w:iCs/>
        </w:rPr>
      </w:pPr>
      <w:r>
        <w:rPr>
          <w:rFonts w:cstheme="minorHAnsi"/>
          <w:color w:val="000000" w:themeColor="text1"/>
        </w:rPr>
        <w:t xml:space="preserve">9.2. </w:t>
      </w:r>
      <w:r w:rsidR="00AB58F6" w:rsidRPr="00AB58F6">
        <w:rPr>
          <w:rFonts w:cstheme="minorHAnsi"/>
          <w:color w:val="000000" w:themeColor="text1"/>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AB58F6">
        <w:rPr>
          <w:rFonts w:cstheme="minorHAnsi"/>
          <w:color w:val="000000" w:themeColor="text1"/>
        </w:rPr>
        <w:t>7</w:t>
      </w:r>
      <w:r w:rsidR="00AB58F6" w:rsidRPr="00AB58F6">
        <w:rPr>
          <w:rFonts w:cstheme="minorHAnsi"/>
          <w:color w:val="000000" w:themeColor="text1"/>
        </w:rPr>
        <w:t xml:space="preserve"> priede nustatytomis taisyklėmis. </w:t>
      </w:r>
    </w:p>
    <w:p w14:paraId="683FECAB" w14:textId="77777777" w:rsidR="003F185C" w:rsidRPr="0072204F" w:rsidRDefault="003F185C" w:rsidP="003F185C">
      <w:pPr>
        <w:pStyle w:val="NoSpacing"/>
        <w:spacing w:line="20" w:lineRule="atLeast"/>
        <w:ind w:firstLine="504"/>
        <w:contextualSpacing/>
        <w:jc w:val="both"/>
        <w:rPr>
          <w:rFonts w:eastAsiaTheme="minorHAnsi" w:cstheme="minorHAnsi"/>
          <w:bCs/>
          <w:i/>
          <w:iCs/>
          <w:color w:val="7030A0"/>
        </w:rPr>
      </w:pPr>
      <w:r>
        <w:rPr>
          <w:rStyle w:val="cf01"/>
          <w:rFonts w:asciiTheme="minorHAnsi" w:hAnsiTheme="minorHAnsi" w:cstheme="minorHAnsi"/>
          <w:sz w:val="21"/>
          <w:szCs w:val="21"/>
        </w:rPr>
        <w:t xml:space="preserve">9.3. Perkančioji organizacija atmes tiekėjo pasiūlymą, jeigu kartu su pasiūlymu nebus pateikti šie pirkimo sąlygose reikalaujami pateikti dokumentai: </w:t>
      </w:r>
      <w:r w:rsidRPr="00224161">
        <w:rPr>
          <w:rStyle w:val="cf01"/>
          <w:rFonts w:asciiTheme="minorHAnsi" w:hAnsiTheme="minorHAnsi" w:cstheme="minorHAnsi"/>
          <w:sz w:val="21"/>
          <w:szCs w:val="21"/>
        </w:rPr>
        <w:t>Pirkimo sąlygų 6 priedas „Pasiūlymo forma“.</w:t>
      </w:r>
    </w:p>
    <w:p w14:paraId="678C44CA" w14:textId="1A78FA34" w:rsidR="00FE7908" w:rsidRPr="00F065D6" w:rsidRDefault="00F84284" w:rsidP="00F84284">
      <w:pPr>
        <w:pStyle w:val="Heading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70D641C4" w14:textId="624A1D8B" w:rsidR="002955C5" w:rsidRPr="00BE190E" w:rsidRDefault="00F84284" w:rsidP="00894EF3">
      <w:pPr>
        <w:pStyle w:val="ListParagraph"/>
        <w:spacing w:after="0" w:line="240" w:lineRule="auto"/>
        <w:ind w:left="0" w:firstLine="567"/>
        <w:jc w:val="both"/>
        <w:rPr>
          <w:rFonts w:eastAsiaTheme="minorHAnsi" w:cstheme="minorHAnsi"/>
          <w:bCs/>
          <w:iCs/>
        </w:rPr>
      </w:pPr>
      <w:r w:rsidRPr="00F84284">
        <w:rPr>
          <w:rFonts w:eastAsia="Times New Roman" w:cstheme="minorHAnsi"/>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1640F94B" w14:textId="70637761" w:rsidR="00640DBD" w:rsidRPr="00F065D6" w:rsidRDefault="00F84284" w:rsidP="00F84284">
      <w:pPr>
        <w:pStyle w:val="Heading1"/>
        <w:tabs>
          <w:tab w:val="left" w:pos="567"/>
        </w:tabs>
        <w:spacing w:line="20" w:lineRule="atLeast"/>
        <w:contextualSpacing/>
        <w:jc w:val="both"/>
        <w:rPr>
          <w:rFonts w:asciiTheme="minorHAnsi" w:hAnsiTheme="minorHAnsi" w:cstheme="minorHAnsi"/>
          <w:b/>
          <w:bCs/>
        </w:rPr>
      </w:pPr>
      <w:bookmarkStart w:id="41" w:name="_Toc126333938"/>
      <w:bookmarkEnd w:id="3"/>
      <w:r>
        <w:rPr>
          <w:rFonts w:asciiTheme="minorHAnsi" w:hAnsiTheme="minorHAnsi" w:cstheme="minorHAnsi"/>
        </w:rPr>
        <w:t xml:space="preserve">11. </w:t>
      </w:r>
      <w:r w:rsidR="00640DBD" w:rsidRPr="00F065D6">
        <w:rPr>
          <w:rFonts w:asciiTheme="minorHAnsi" w:hAnsiTheme="minorHAnsi" w:cstheme="minorHAnsi"/>
        </w:rPr>
        <w:t>Kitos sąlygos</w:t>
      </w:r>
      <w:bookmarkEnd w:id="41"/>
    </w:p>
    <w:p w14:paraId="49BAB481" w14:textId="1C7B2B20" w:rsidR="003F185C" w:rsidRDefault="00684031" w:rsidP="00684031">
      <w:pPr>
        <w:shd w:val="clear" w:color="auto" w:fill="FFFFFF"/>
        <w:spacing w:after="0" w:line="240" w:lineRule="auto"/>
        <w:rPr>
          <w:rFonts w:eastAsia="Calibri" w:cstheme="minorHAnsi"/>
        </w:rPr>
      </w:pPr>
      <w:r>
        <w:rPr>
          <w:rFonts w:eastAsia="Calibri" w:cstheme="minorHAnsi"/>
        </w:rPr>
        <w:t xml:space="preserve">              </w:t>
      </w:r>
      <w:r w:rsidR="003F185C" w:rsidRPr="00224161">
        <w:rPr>
          <w:rFonts w:eastAsia="Calibri" w:cstheme="minorHAnsi"/>
        </w:rPr>
        <w:t xml:space="preserve">11.1. Pagalbinė medžiaga tiekėjams kaip sėkmingai sudalyvauti viešajame pirkime bei pateikti tinkamą ir priimtiną pasiūlymą </w:t>
      </w:r>
      <w:hyperlink r:id="rId11" w:history="1">
        <w:r w:rsidR="003F185C" w:rsidRPr="00CD0549">
          <w:rPr>
            <w:rStyle w:val="Hyperlink"/>
            <w:rFonts w:eastAsia="Calibri" w:cstheme="minorHAnsi"/>
          </w:rPr>
          <w:t>http://vpt.lrv.lt/lt/naujienos/kaip-sekmingai-dalyvauti-viesuosiuose-pirkimuose-2020-metais</w:t>
        </w:r>
      </w:hyperlink>
    </w:p>
    <w:p w14:paraId="1AAB8BA9" w14:textId="77777777" w:rsidR="003F185C" w:rsidRDefault="003F185C" w:rsidP="003F185C">
      <w:pPr>
        <w:shd w:val="clear" w:color="auto" w:fill="FFFFFF"/>
        <w:spacing w:after="0" w:line="240" w:lineRule="auto"/>
        <w:rPr>
          <w:rFonts w:eastAsia="Calibri" w:cstheme="minorHAnsi"/>
        </w:rPr>
      </w:pPr>
      <w:r>
        <w:rPr>
          <w:rFonts w:eastAsia="Calibri" w:cstheme="minorHAnsi"/>
        </w:rPr>
        <w:t xml:space="preserve">                </w:t>
      </w:r>
      <w:r w:rsidRPr="00184792">
        <w:rPr>
          <w:rFonts w:eastAsia="Calibri" w:cstheme="minorHAnsi"/>
        </w:rPr>
        <w:t>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3021B7" w:rsidRDefault="000631F1" w:rsidP="005C1E12">
      <w:pPr>
        <w:pStyle w:val="Heading1"/>
        <w:jc w:val="right"/>
        <w:rPr>
          <w:rFonts w:asciiTheme="minorHAnsi" w:hAnsiTheme="minorHAnsi" w:cstheme="minorHAnsi"/>
          <w:color w:val="auto"/>
          <w:sz w:val="21"/>
          <w:szCs w:val="21"/>
        </w:rPr>
      </w:pPr>
      <w:bookmarkStart w:id="42" w:name="_Toc126333939"/>
      <w:r w:rsidRPr="003021B7">
        <w:rPr>
          <w:rFonts w:asciiTheme="minorHAnsi" w:hAnsiTheme="minorHAnsi" w:cstheme="minorHAnsi"/>
          <w:color w:val="auto"/>
          <w:sz w:val="21"/>
          <w:szCs w:val="21"/>
        </w:rPr>
        <w:lastRenderedPageBreak/>
        <w:t>P</w:t>
      </w:r>
      <w:r w:rsidR="008F59C5" w:rsidRPr="003021B7">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84031" w:rsidRPr="0068403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4031" w:rsidRDefault="009F4FBE" w:rsidP="004B3551">
            <w:pPr>
              <w:jc w:val="center"/>
              <w:rPr>
                <w:rFonts w:cstheme="minorHAnsi"/>
                <w:b/>
                <w:bCs/>
              </w:rPr>
            </w:pPr>
            <w:proofErr w:type="spellStart"/>
            <w:r w:rsidRPr="00684031">
              <w:rPr>
                <w:rFonts w:cstheme="minorHAnsi"/>
                <w:b/>
                <w:bCs/>
              </w:rPr>
              <w:t>Eil.Nr</w:t>
            </w:r>
            <w:proofErr w:type="spellEnd"/>
            <w:r w:rsidRPr="0068403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4031" w:rsidRDefault="004B3551" w:rsidP="004B3551">
            <w:pPr>
              <w:jc w:val="center"/>
              <w:rPr>
                <w:rFonts w:cstheme="minorHAnsi"/>
                <w:b/>
                <w:bCs/>
              </w:rPr>
            </w:pPr>
            <w:r w:rsidRPr="0068403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4031" w:rsidRDefault="00774AA5" w:rsidP="004B3551">
            <w:pPr>
              <w:spacing w:after="0"/>
              <w:jc w:val="center"/>
              <w:rPr>
                <w:rFonts w:cstheme="minorHAnsi"/>
                <w:b/>
              </w:rPr>
            </w:pPr>
            <w:r w:rsidRPr="00684031">
              <w:rPr>
                <w:rFonts w:cstheme="minorHAnsi"/>
                <w:b/>
              </w:rPr>
              <w:t>DATA/DIENŲ SKAIČIUS/ LAIKAS</w:t>
            </w:r>
          </w:p>
          <w:p w14:paraId="677BC1F4" w14:textId="77777777" w:rsidR="00774AA5" w:rsidRPr="00684031" w:rsidRDefault="00774AA5" w:rsidP="004B3551">
            <w:pPr>
              <w:spacing w:after="0"/>
              <w:jc w:val="center"/>
              <w:rPr>
                <w:rFonts w:cstheme="minorHAnsi"/>
              </w:rPr>
            </w:pPr>
            <w:r w:rsidRPr="0068403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4031" w:rsidRDefault="00774AA5" w:rsidP="004B3551">
            <w:pPr>
              <w:jc w:val="center"/>
              <w:rPr>
                <w:rFonts w:cstheme="minorHAnsi"/>
                <w:b/>
              </w:rPr>
            </w:pPr>
            <w:r w:rsidRPr="00684031">
              <w:rPr>
                <w:rFonts w:cstheme="minorHAnsi"/>
                <w:b/>
              </w:rPr>
              <w:t>PASTABOS</w:t>
            </w:r>
          </w:p>
        </w:tc>
      </w:tr>
      <w:tr w:rsidR="00684031" w:rsidRPr="0068403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4031" w:rsidRDefault="006932C2" w:rsidP="006932C2">
            <w:pPr>
              <w:keepNext/>
              <w:spacing w:after="0" w:line="240" w:lineRule="auto"/>
              <w:rPr>
                <w:rFonts w:cstheme="minorHAnsi"/>
                <w:bCs/>
              </w:rPr>
            </w:pPr>
            <w:r w:rsidRPr="00684031">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684031" w:rsidRDefault="00774AA5" w:rsidP="0003169B">
            <w:pPr>
              <w:keepNext/>
              <w:spacing w:after="0" w:line="240" w:lineRule="auto"/>
              <w:rPr>
                <w:rFonts w:cstheme="minorHAnsi"/>
                <w:sz w:val="22"/>
                <w:szCs w:val="22"/>
              </w:rPr>
            </w:pPr>
            <w:r w:rsidRPr="00684031">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4031" w:rsidRDefault="00774AA5" w:rsidP="0003169B">
            <w:pPr>
              <w:spacing w:after="0" w:line="240" w:lineRule="auto"/>
              <w:rPr>
                <w:rFonts w:cstheme="minorHAnsi"/>
              </w:rPr>
            </w:pPr>
            <w:r w:rsidRPr="00684031">
              <w:rPr>
                <w:rFonts w:cs="Times New Roman"/>
              </w:rPr>
              <w:t xml:space="preserve">nurodytas </w:t>
            </w:r>
            <w:r w:rsidR="00C47599" w:rsidRPr="00684031">
              <w:rPr>
                <w:rFonts w:cs="Times New Roman"/>
              </w:rPr>
              <w:t>s</w:t>
            </w:r>
            <w:r w:rsidRPr="00684031">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4031" w:rsidRDefault="00774AA5" w:rsidP="00593F3E">
            <w:pPr>
              <w:spacing w:after="0" w:line="240" w:lineRule="auto"/>
              <w:rPr>
                <w:rFonts w:cstheme="minorHAnsi"/>
                <w:iCs/>
              </w:rPr>
            </w:pPr>
            <w:r w:rsidRPr="00684031">
              <w:rPr>
                <w:rFonts w:cstheme="minorHAnsi"/>
              </w:rPr>
              <w:t>Perkančioji organizacija turi teisę pratęsti pasiūlymų pateikimo terminą.</w:t>
            </w:r>
          </w:p>
        </w:tc>
      </w:tr>
      <w:tr w:rsidR="00684031" w:rsidRPr="0068403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4031" w:rsidRDefault="006932C2" w:rsidP="006932C2">
            <w:pPr>
              <w:keepNext/>
              <w:spacing w:after="0" w:line="240" w:lineRule="auto"/>
              <w:rPr>
                <w:rFonts w:cstheme="minorHAnsi"/>
                <w:bCs/>
              </w:rPr>
            </w:pPr>
            <w:r w:rsidRPr="00684031">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684031" w:rsidRDefault="00774AA5" w:rsidP="0003169B">
            <w:pPr>
              <w:keepNext/>
              <w:spacing w:after="0" w:line="240" w:lineRule="auto"/>
              <w:rPr>
                <w:rFonts w:cstheme="minorHAnsi"/>
                <w:sz w:val="22"/>
                <w:szCs w:val="22"/>
              </w:rPr>
            </w:pPr>
            <w:r w:rsidRPr="0068403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7F440AE" w:rsidR="00774AA5" w:rsidRPr="00684031" w:rsidRDefault="00774AA5" w:rsidP="0003169B">
            <w:pPr>
              <w:spacing w:after="0" w:line="240" w:lineRule="auto"/>
              <w:rPr>
                <w:rFonts w:cstheme="minorHAnsi"/>
              </w:rPr>
            </w:pPr>
            <w:r w:rsidRPr="00684031">
              <w:rPr>
                <w:rFonts w:cstheme="minorHAnsi"/>
              </w:rPr>
              <w:t xml:space="preserve">Pradedamas ne anksčiau nei po </w:t>
            </w:r>
            <w:r w:rsidR="00A35CB2">
              <w:rPr>
                <w:rFonts w:cstheme="minorHAnsi"/>
              </w:rPr>
              <w:t xml:space="preserve">30 </w:t>
            </w:r>
            <w:r w:rsidRPr="00684031">
              <w:rPr>
                <w:rFonts w:cstheme="minorHAnsi"/>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4031" w:rsidRDefault="00774AA5" w:rsidP="0003169B">
            <w:pPr>
              <w:spacing w:after="0" w:line="240" w:lineRule="auto"/>
              <w:rPr>
                <w:rFonts w:cstheme="minorHAnsi"/>
                <w:iCs/>
              </w:rPr>
            </w:pPr>
          </w:p>
        </w:tc>
      </w:tr>
      <w:tr w:rsidR="00684031" w:rsidRPr="0068403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4031" w:rsidRDefault="006932C2" w:rsidP="006932C2">
            <w:pPr>
              <w:keepNext/>
              <w:spacing w:after="0" w:line="240" w:lineRule="auto"/>
              <w:rPr>
                <w:rFonts w:cstheme="minorHAnsi"/>
                <w:bCs/>
              </w:rPr>
            </w:pPr>
            <w:r w:rsidRPr="00684031">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684031" w:rsidRDefault="00774AA5" w:rsidP="0003169B">
            <w:pPr>
              <w:keepNext/>
              <w:spacing w:after="0" w:line="240" w:lineRule="auto"/>
              <w:rPr>
                <w:rFonts w:cstheme="minorHAnsi"/>
                <w:bCs/>
              </w:rPr>
            </w:pPr>
            <w:r w:rsidRPr="00684031">
              <w:rPr>
                <w:rFonts w:cstheme="minorHAnsi"/>
              </w:rPr>
              <w:t xml:space="preserve">Prašymą paaiškinti, patikslinti pirkimo </w:t>
            </w:r>
            <w:r w:rsidR="00EF5E21" w:rsidRPr="00684031">
              <w:rPr>
                <w:rFonts w:cstheme="minorHAnsi"/>
              </w:rPr>
              <w:t>sąlygas</w:t>
            </w:r>
            <w:r w:rsidRPr="00684031">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0E9D450" w:rsidR="00774AA5" w:rsidRPr="00684031" w:rsidRDefault="00FC233F" w:rsidP="0003169B">
            <w:pPr>
              <w:spacing w:after="0" w:line="240" w:lineRule="auto"/>
              <w:rPr>
                <w:rFonts w:cstheme="minorHAnsi"/>
              </w:rPr>
            </w:pPr>
            <w:r w:rsidRPr="00684031">
              <w:rPr>
                <w:rFonts w:cstheme="minorHAnsi"/>
              </w:rPr>
              <w:t>10</w:t>
            </w:r>
            <w:r w:rsidR="005F17E7" w:rsidRPr="00684031">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1582DBCE" w:rsidR="00774AA5" w:rsidRPr="00684031" w:rsidRDefault="00774AA5" w:rsidP="00424668">
            <w:pPr>
              <w:spacing w:after="0" w:line="240" w:lineRule="auto"/>
              <w:rPr>
                <w:rFonts w:cstheme="minorHAnsi"/>
                <w:iCs/>
              </w:rPr>
            </w:pPr>
          </w:p>
        </w:tc>
      </w:tr>
      <w:tr w:rsidR="00684031" w:rsidRPr="0068403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684031" w:rsidRDefault="00774AA5" w:rsidP="0003169B">
            <w:pPr>
              <w:spacing w:after="0" w:line="240" w:lineRule="auto"/>
              <w:rPr>
                <w:rFonts w:cstheme="minorHAnsi"/>
              </w:rPr>
            </w:pPr>
            <w:r w:rsidRPr="00684031">
              <w:rPr>
                <w:rFonts w:cstheme="minorHAnsi"/>
                <w:sz w:val="22"/>
                <w:szCs w:val="22"/>
              </w:rPr>
              <w:t xml:space="preserve">Perkančioji organizacija </w:t>
            </w:r>
            <w:r w:rsidR="009B3AF8" w:rsidRPr="00684031">
              <w:rPr>
                <w:rFonts w:cstheme="minorHAnsi"/>
                <w:sz w:val="22"/>
                <w:szCs w:val="22"/>
              </w:rPr>
              <w:t>p</w:t>
            </w:r>
            <w:r w:rsidRPr="00684031">
              <w:rPr>
                <w:rFonts w:cstheme="minorHAnsi"/>
                <w:sz w:val="22"/>
                <w:szCs w:val="22"/>
              </w:rPr>
              <w:t xml:space="preserve">irkimo </w:t>
            </w:r>
            <w:r w:rsidR="00EF5E21" w:rsidRPr="00684031">
              <w:rPr>
                <w:rFonts w:cstheme="minorHAnsi"/>
                <w:sz w:val="22"/>
                <w:szCs w:val="22"/>
              </w:rPr>
              <w:t>sąlygų</w:t>
            </w:r>
            <w:r w:rsidRPr="00684031">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7011338" w:rsidR="00774AA5" w:rsidRPr="00684031" w:rsidRDefault="00FC233F" w:rsidP="0003169B">
            <w:pPr>
              <w:spacing w:after="0" w:line="240" w:lineRule="auto"/>
              <w:rPr>
                <w:rFonts w:cstheme="minorHAnsi"/>
              </w:rPr>
            </w:pPr>
            <w:r w:rsidRPr="00684031">
              <w:rPr>
                <w:rFonts w:cstheme="minorHAnsi"/>
              </w:rPr>
              <w:t>6</w:t>
            </w:r>
            <w:r w:rsidR="00CE1F13" w:rsidRPr="00684031">
              <w:rPr>
                <w:rFonts w:cstheme="minorHAnsi"/>
              </w:rPr>
              <w:t xml:space="preserve"> dien</w:t>
            </w:r>
            <w:r w:rsidRPr="00684031">
              <w:rPr>
                <w:rFonts w:cstheme="minorHAnsi"/>
              </w:rPr>
              <w:t>as</w:t>
            </w:r>
            <w:r w:rsidR="00CE1F13" w:rsidRPr="00684031">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7F4B31B1" w:rsidR="00774AA5" w:rsidRPr="00684031" w:rsidRDefault="00774AA5" w:rsidP="00CE1F13">
            <w:pPr>
              <w:spacing w:after="0" w:line="240" w:lineRule="auto"/>
              <w:rPr>
                <w:rFonts w:cstheme="minorHAnsi"/>
              </w:rPr>
            </w:pPr>
          </w:p>
        </w:tc>
      </w:tr>
      <w:tr w:rsidR="00684031" w:rsidRPr="0068403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684031" w:rsidRDefault="00455131" w:rsidP="0003169B">
            <w:pPr>
              <w:spacing w:after="0" w:line="240" w:lineRule="auto"/>
              <w:rPr>
                <w:rFonts w:cstheme="minorHAnsi"/>
                <w:sz w:val="22"/>
                <w:szCs w:val="22"/>
              </w:rPr>
            </w:pPr>
            <w:r w:rsidRPr="00684031">
              <w:rPr>
                <w:rFonts w:cstheme="minorHAnsi"/>
                <w:sz w:val="22"/>
                <w:szCs w:val="22"/>
              </w:rPr>
              <w:t>O</w:t>
            </w:r>
            <w:r w:rsidR="00774AA5" w:rsidRPr="00684031">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4031" w:rsidRDefault="00774AA5" w:rsidP="0003169B">
            <w:pPr>
              <w:spacing w:after="0" w:line="240" w:lineRule="auto"/>
              <w:rPr>
                <w:rFonts w:cstheme="minorHAnsi"/>
                <w:iCs/>
              </w:rPr>
            </w:pPr>
            <w:r w:rsidRPr="00684031">
              <w:rPr>
                <w:rFonts w:cstheme="minorHAnsi"/>
                <w:iCs/>
              </w:rPr>
              <w:t>NETAIKOMA</w:t>
            </w:r>
          </w:p>
        </w:tc>
        <w:tc>
          <w:tcPr>
            <w:tcW w:w="2954" w:type="dxa"/>
            <w:shd w:val="clear" w:color="auto" w:fill="auto"/>
            <w:tcMar>
              <w:top w:w="0" w:type="dxa"/>
              <w:left w:w="108" w:type="dxa"/>
              <w:bottom w:w="0" w:type="dxa"/>
              <w:right w:w="108" w:type="dxa"/>
            </w:tcMar>
          </w:tcPr>
          <w:p w14:paraId="0CB425FC" w14:textId="02BE584D" w:rsidR="00774AA5" w:rsidRPr="00684031" w:rsidRDefault="00774AA5" w:rsidP="0003169B">
            <w:pPr>
              <w:spacing w:after="0" w:line="240" w:lineRule="auto"/>
              <w:rPr>
                <w:rFonts w:cstheme="minorHAnsi"/>
              </w:rPr>
            </w:pPr>
          </w:p>
        </w:tc>
      </w:tr>
      <w:tr w:rsidR="00684031" w:rsidRPr="0068403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684031" w:rsidRDefault="00774AA5" w:rsidP="0003169B">
            <w:pPr>
              <w:spacing w:after="0" w:line="240" w:lineRule="auto"/>
              <w:rPr>
                <w:rFonts w:cstheme="minorHAnsi"/>
              </w:rPr>
            </w:pPr>
            <w:r w:rsidRPr="00684031">
              <w:rPr>
                <w:rFonts w:cstheme="minorHAnsi"/>
              </w:rPr>
              <w:t xml:space="preserve">Perkančioji organizacija rengs susitikimus su tiekėjais dėl pirkimo </w:t>
            </w:r>
            <w:r w:rsidR="006932C2" w:rsidRPr="00684031">
              <w:rPr>
                <w:rFonts w:cstheme="minorHAnsi"/>
              </w:rPr>
              <w:t>sąlygų</w:t>
            </w:r>
            <w:r w:rsidRPr="00684031">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4031" w:rsidRDefault="00774AA5" w:rsidP="0003169B">
            <w:pPr>
              <w:spacing w:after="0" w:line="240" w:lineRule="auto"/>
              <w:rPr>
                <w:rFonts w:cstheme="minorHAnsi"/>
                <w:iCs/>
              </w:rPr>
            </w:pPr>
            <w:r w:rsidRPr="00684031">
              <w:rPr>
                <w:rFonts w:cstheme="minorHAnsi"/>
                <w:iCs/>
              </w:rPr>
              <w:t>NETAIKOMA</w:t>
            </w:r>
          </w:p>
        </w:tc>
        <w:tc>
          <w:tcPr>
            <w:tcW w:w="2954" w:type="dxa"/>
            <w:shd w:val="clear" w:color="auto" w:fill="auto"/>
            <w:tcMar>
              <w:top w:w="0" w:type="dxa"/>
              <w:left w:w="108" w:type="dxa"/>
              <w:bottom w:w="0" w:type="dxa"/>
              <w:right w:w="108" w:type="dxa"/>
            </w:tcMar>
          </w:tcPr>
          <w:p w14:paraId="1C7B20C9" w14:textId="5B4E4555" w:rsidR="00774AA5" w:rsidRPr="00684031" w:rsidRDefault="00774AA5" w:rsidP="0003169B">
            <w:pPr>
              <w:spacing w:after="0" w:line="240" w:lineRule="auto"/>
              <w:rPr>
                <w:rFonts w:cstheme="minorHAnsi"/>
              </w:rPr>
            </w:pPr>
          </w:p>
        </w:tc>
      </w:tr>
      <w:tr w:rsidR="00684031" w:rsidRPr="0068403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684031" w:rsidRDefault="00774AA5" w:rsidP="0003169B">
            <w:pPr>
              <w:spacing w:after="0" w:line="240" w:lineRule="auto"/>
            </w:pPr>
            <w:r w:rsidRPr="00684031">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4031" w:rsidRDefault="00774AA5" w:rsidP="0003169B">
            <w:pPr>
              <w:pStyle w:val="Body2"/>
              <w:spacing w:after="0"/>
              <w:rPr>
                <w:rFonts w:asciiTheme="minorHAnsi" w:hAnsiTheme="minorHAnsi" w:cstheme="minorHAnsi"/>
                <w:color w:val="auto"/>
                <w:lang w:val="lt-LT"/>
              </w:rPr>
            </w:pPr>
            <w:r w:rsidRPr="00684031">
              <w:rPr>
                <w:rFonts w:asciiTheme="minorHAnsi" w:hAnsiTheme="minorHAnsi" w:cstheme="minorHAnsi"/>
                <w:color w:val="auto"/>
                <w:lang w:val="lt-LT"/>
              </w:rPr>
              <w:t>NETAIKOMA</w:t>
            </w:r>
          </w:p>
          <w:p w14:paraId="2276FCB7" w14:textId="64C6B308" w:rsidR="00774AA5" w:rsidRPr="00684031" w:rsidRDefault="00955067" w:rsidP="0003169B">
            <w:pPr>
              <w:spacing w:after="0" w:line="240" w:lineRule="auto"/>
              <w:rPr>
                <w:rFonts w:cstheme="minorHAnsi"/>
                <w:iCs/>
              </w:rPr>
            </w:pPr>
            <w:r w:rsidRPr="00684031">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684031" w:rsidRDefault="00774AA5" w:rsidP="0003169B">
            <w:pPr>
              <w:spacing w:after="0" w:line="240" w:lineRule="auto"/>
              <w:rPr>
                <w:rFonts w:cstheme="minorHAnsi"/>
              </w:rPr>
            </w:pPr>
          </w:p>
        </w:tc>
      </w:tr>
      <w:tr w:rsidR="00684031" w:rsidRPr="0068403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684031" w:rsidRDefault="00774AA5" w:rsidP="0003169B">
            <w:pPr>
              <w:spacing w:after="0" w:line="240" w:lineRule="auto"/>
              <w:rPr>
                <w:rFonts w:cstheme="minorHAnsi"/>
                <w:bCs/>
              </w:rPr>
            </w:pPr>
            <w:r w:rsidRPr="0068403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AC0C6A2" w:rsidR="00774AA5" w:rsidRPr="00684031" w:rsidRDefault="00FC233F" w:rsidP="0003169B">
            <w:pPr>
              <w:spacing w:after="0" w:line="240" w:lineRule="auto"/>
              <w:rPr>
                <w:rFonts w:cstheme="minorHAnsi"/>
                <w:iCs/>
              </w:rPr>
            </w:pPr>
            <w:r w:rsidRPr="00684031">
              <w:rPr>
                <w:rFonts w:cstheme="minorHAnsi"/>
                <w:iCs/>
              </w:rPr>
              <w:t>3 mėn.</w:t>
            </w:r>
            <w:r w:rsidR="00774AA5" w:rsidRPr="00684031">
              <w:rPr>
                <w:rFonts w:cstheme="minorHAnsi"/>
                <w:iCs/>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4031" w:rsidRDefault="00774AA5" w:rsidP="0003169B">
            <w:pPr>
              <w:spacing w:after="0" w:line="240" w:lineRule="auto"/>
              <w:rPr>
                <w:rFonts w:cstheme="minorHAnsi"/>
              </w:rPr>
            </w:pPr>
          </w:p>
        </w:tc>
      </w:tr>
      <w:tr w:rsidR="00684031" w:rsidRPr="0068403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4031"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684031" w:rsidRDefault="00774AA5" w:rsidP="0003169B">
            <w:pPr>
              <w:spacing w:after="0" w:line="240" w:lineRule="auto"/>
              <w:rPr>
                <w:rFonts w:cstheme="minorHAnsi"/>
                <w:bCs/>
              </w:rPr>
            </w:pPr>
            <w:r w:rsidRPr="0068403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80EEF73" w:rsidR="00774AA5" w:rsidRPr="00684031" w:rsidRDefault="00FC233F" w:rsidP="0003169B">
            <w:pPr>
              <w:spacing w:after="0" w:line="240" w:lineRule="auto"/>
              <w:rPr>
                <w:rFonts w:cstheme="minorHAnsi"/>
                <w:iCs/>
              </w:rPr>
            </w:pPr>
            <w:r w:rsidRPr="00684031">
              <w:rPr>
                <w:rFonts w:cstheme="minorHAnsi"/>
                <w:iCs/>
              </w:rPr>
              <w:t>NETAIKOMA</w:t>
            </w:r>
          </w:p>
        </w:tc>
        <w:tc>
          <w:tcPr>
            <w:tcW w:w="2954" w:type="dxa"/>
            <w:shd w:val="clear" w:color="auto" w:fill="auto"/>
            <w:tcMar>
              <w:top w:w="0" w:type="dxa"/>
              <w:left w:w="108" w:type="dxa"/>
              <w:bottom w:w="0" w:type="dxa"/>
              <w:right w:w="108" w:type="dxa"/>
            </w:tcMar>
          </w:tcPr>
          <w:p w14:paraId="7A43570F" w14:textId="109114D7" w:rsidR="00774AA5" w:rsidRPr="00684031" w:rsidRDefault="00774AA5" w:rsidP="127DD6E8">
            <w:pPr>
              <w:spacing w:after="0" w:line="240" w:lineRule="auto"/>
            </w:pPr>
          </w:p>
        </w:tc>
      </w:tr>
      <w:tr w:rsidR="00684031" w:rsidRPr="0068403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684031" w:rsidRDefault="00774AA5" w:rsidP="0003169B">
            <w:pPr>
              <w:spacing w:after="0" w:line="240" w:lineRule="auto"/>
              <w:rPr>
                <w:rFonts w:cstheme="minorHAnsi"/>
                <w:bCs/>
              </w:rPr>
            </w:pPr>
            <w:r w:rsidRPr="00684031">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B1F3153" w:rsidR="00774AA5" w:rsidRPr="00684031" w:rsidRDefault="00FC233F" w:rsidP="00FC233F">
            <w:pPr>
              <w:spacing w:after="0" w:line="240" w:lineRule="auto"/>
              <w:jc w:val="both"/>
              <w:rPr>
                <w:rFonts w:cstheme="minorHAnsi"/>
              </w:rPr>
            </w:pPr>
            <w:r w:rsidRPr="00684031">
              <w:rPr>
                <w:rFonts w:cstheme="minorHAnsi"/>
              </w:rPr>
              <w:t>NETAIKOMA</w:t>
            </w:r>
          </w:p>
        </w:tc>
        <w:tc>
          <w:tcPr>
            <w:tcW w:w="2954" w:type="dxa"/>
            <w:shd w:val="clear" w:color="auto" w:fill="auto"/>
            <w:tcMar>
              <w:top w:w="0" w:type="dxa"/>
              <w:left w:w="108" w:type="dxa"/>
              <w:bottom w:w="0" w:type="dxa"/>
              <w:right w:w="108" w:type="dxa"/>
            </w:tcMar>
          </w:tcPr>
          <w:p w14:paraId="7D43700D" w14:textId="46B40276" w:rsidR="00774AA5" w:rsidRPr="00684031" w:rsidRDefault="00774AA5" w:rsidP="0003169B">
            <w:pPr>
              <w:spacing w:after="0" w:line="240" w:lineRule="auto"/>
            </w:pPr>
          </w:p>
        </w:tc>
      </w:tr>
      <w:tr w:rsidR="00684031" w:rsidRPr="0068403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684031" w:rsidRDefault="00774AA5" w:rsidP="0003169B">
            <w:pPr>
              <w:spacing w:after="0" w:line="240" w:lineRule="auto"/>
              <w:rPr>
                <w:rFonts w:cstheme="minorHAnsi"/>
                <w:bCs/>
              </w:rPr>
            </w:pPr>
            <w:r w:rsidRPr="00684031">
              <w:rPr>
                <w:rFonts w:cstheme="minorHAnsi"/>
                <w:bCs/>
              </w:rPr>
              <w:t xml:space="preserve">Perkančioji organizacija informuoja pirkimo dalyvius apie EBVPD </w:t>
            </w:r>
            <w:r w:rsidRPr="00684031">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4031" w:rsidRDefault="00774AA5" w:rsidP="0003169B">
            <w:pPr>
              <w:spacing w:after="0" w:line="240" w:lineRule="auto"/>
              <w:rPr>
                <w:rFonts w:cstheme="minorHAnsi"/>
                <w:bCs/>
              </w:rPr>
            </w:pPr>
            <w:r w:rsidRPr="00684031">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4031" w:rsidRDefault="00774AA5" w:rsidP="0003169B">
            <w:pPr>
              <w:spacing w:after="0" w:line="240" w:lineRule="auto"/>
              <w:rPr>
                <w:rFonts w:cstheme="minorHAnsi"/>
                <w:bCs/>
              </w:rPr>
            </w:pPr>
          </w:p>
        </w:tc>
      </w:tr>
      <w:tr w:rsidR="00684031" w:rsidRPr="0068403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684031" w:rsidRDefault="00774AA5" w:rsidP="0003169B">
            <w:pPr>
              <w:spacing w:after="0" w:line="240" w:lineRule="auto"/>
              <w:rPr>
                <w:rFonts w:cstheme="minorHAnsi"/>
                <w:bCs/>
              </w:rPr>
            </w:pPr>
            <w:r w:rsidRPr="00684031">
              <w:rPr>
                <w:rFonts w:cstheme="minorHAnsi"/>
                <w:bCs/>
              </w:rPr>
              <w:t xml:space="preserve">Perkančioji organizacija pirkimo dalyviams praneša apie priimtą sprendimą nustatyti laimėjusį pasiūlymą, </w:t>
            </w:r>
            <w:r w:rsidRPr="00684031">
              <w:rPr>
                <w:rFonts w:cstheme="minorHAnsi"/>
              </w:rPr>
              <w:t>dėl kurio bus sudaroma</w:t>
            </w:r>
            <w:r w:rsidRPr="0068403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4031" w:rsidRDefault="00CC70B1" w:rsidP="0003169B">
            <w:pPr>
              <w:spacing w:after="0" w:line="240" w:lineRule="auto"/>
              <w:rPr>
                <w:rFonts w:cstheme="minorHAnsi"/>
                <w:bCs/>
              </w:rPr>
            </w:pPr>
            <w:r w:rsidRPr="00684031">
              <w:rPr>
                <w:rFonts w:cstheme="minorHAnsi"/>
                <w:bCs/>
              </w:rPr>
              <w:t>3</w:t>
            </w:r>
            <w:r w:rsidR="00774AA5" w:rsidRPr="00684031">
              <w:rPr>
                <w:rFonts w:cstheme="minorHAnsi"/>
                <w:bCs/>
              </w:rPr>
              <w:t xml:space="preserve"> (</w:t>
            </w:r>
            <w:r w:rsidR="00D707AB" w:rsidRPr="00684031">
              <w:rPr>
                <w:rFonts w:cstheme="minorHAnsi"/>
                <w:bCs/>
              </w:rPr>
              <w:t>tris</w:t>
            </w:r>
            <w:r w:rsidR="00774AA5" w:rsidRPr="00684031">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4031" w:rsidRDefault="00774AA5" w:rsidP="0003169B">
            <w:pPr>
              <w:spacing w:after="0" w:line="240" w:lineRule="auto"/>
              <w:rPr>
                <w:rFonts w:cstheme="minorHAnsi"/>
              </w:rPr>
            </w:pPr>
          </w:p>
        </w:tc>
      </w:tr>
      <w:tr w:rsidR="00684031" w:rsidRPr="0068403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684031" w:rsidRDefault="00774AA5" w:rsidP="0003169B">
            <w:pPr>
              <w:spacing w:after="0" w:line="240" w:lineRule="auto"/>
              <w:rPr>
                <w:rFonts w:cstheme="minorHAnsi"/>
                <w:bCs/>
              </w:rPr>
            </w:pPr>
            <w:r w:rsidRPr="00684031">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4031" w:rsidRDefault="00774AA5" w:rsidP="0003169B">
            <w:pPr>
              <w:spacing w:after="0" w:line="240" w:lineRule="auto"/>
              <w:rPr>
                <w:rFonts w:cstheme="minorHAnsi"/>
                <w:bCs/>
              </w:rPr>
            </w:pPr>
            <w:r w:rsidRPr="0068403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4031"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84031" w:rsidRPr="0068403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684031" w:rsidRDefault="00774AA5" w:rsidP="0003169B">
            <w:pPr>
              <w:spacing w:after="0" w:line="240" w:lineRule="auto"/>
              <w:rPr>
                <w:rFonts w:cstheme="minorHAnsi"/>
                <w:bCs/>
              </w:rPr>
            </w:pPr>
            <w:r w:rsidRPr="00684031">
              <w:rPr>
                <w:rFonts w:cstheme="minorHAnsi"/>
                <w:shd w:val="clear" w:color="auto" w:fill="FFFFFF"/>
              </w:rPr>
              <w:t xml:space="preserve">Tiekėjas turi teisę pateikti pretenziją perkančiajai organizacijai, pateikti prašymą ar pareikšti ieškinį teismui </w:t>
            </w:r>
            <w:r w:rsidRPr="00684031">
              <w:rPr>
                <w:rFonts w:cstheme="minorHAnsi"/>
                <w:bCs/>
              </w:rPr>
              <w:t>ne vėliau kaip per</w:t>
            </w:r>
          </w:p>
        </w:tc>
        <w:tc>
          <w:tcPr>
            <w:tcW w:w="3643" w:type="dxa"/>
            <w:shd w:val="clear" w:color="auto" w:fill="auto"/>
            <w:tcMar>
              <w:top w:w="0" w:type="dxa"/>
              <w:left w:w="108" w:type="dxa"/>
              <w:bottom w:w="0" w:type="dxa"/>
              <w:right w:w="108" w:type="dxa"/>
            </w:tcMar>
          </w:tcPr>
          <w:p w14:paraId="28BC19B8" w14:textId="7DD1CAF8" w:rsidR="00774AA5" w:rsidRPr="00684031" w:rsidRDefault="00684031" w:rsidP="005A0791">
            <w:pPr>
              <w:spacing w:after="0" w:line="240" w:lineRule="auto"/>
              <w:rPr>
                <w:rFonts w:cstheme="minorHAnsi"/>
              </w:rPr>
            </w:pPr>
            <w:r w:rsidRPr="00684031">
              <w:rPr>
                <w:rFonts w:cstheme="minorHAnsi"/>
              </w:rPr>
              <w:t>1</w:t>
            </w:r>
            <w:r w:rsidR="00774AA5" w:rsidRPr="00684031">
              <w:rPr>
                <w:rFonts w:cstheme="minorHAnsi"/>
              </w:rPr>
              <w:t xml:space="preserve">0 (dešimt) </w:t>
            </w:r>
            <w:r w:rsidR="00C77CAE" w:rsidRPr="00684031">
              <w:rPr>
                <w:rFonts w:cstheme="minorHAnsi"/>
              </w:rPr>
              <w:t>dienų</w:t>
            </w:r>
          </w:p>
          <w:p w14:paraId="24167C40" w14:textId="02CF4362" w:rsidR="00774AA5" w:rsidRPr="00684031"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684031" w:rsidRDefault="00774AA5" w:rsidP="0003169B">
            <w:pPr>
              <w:spacing w:after="0" w:line="240" w:lineRule="auto"/>
              <w:rPr>
                <w:rFonts w:cstheme="minorHAnsi"/>
                <w:bCs/>
              </w:rPr>
            </w:pPr>
          </w:p>
        </w:tc>
      </w:tr>
      <w:tr w:rsidR="00684031" w:rsidRPr="0068403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4031"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684031" w:rsidRDefault="00774AA5" w:rsidP="0003169B">
            <w:pPr>
              <w:spacing w:after="0" w:line="240" w:lineRule="auto"/>
              <w:rPr>
                <w:rFonts w:cstheme="minorHAnsi"/>
              </w:rPr>
            </w:pPr>
            <w:r w:rsidRPr="006840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4031" w:rsidRDefault="00774AA5" w:rsidP="0003169B">
            <w:pPr>
              <w:spacing w:after="0" w:line="240" w:lineRule="auto"/>
              <w:rPr>
                <w:rFonts w:cstheme="minorHAnsi"/>
              </w:rPr>
            </w:pPr>
            <w:r w:rsidRPr="0068403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4031" w:rsidRDefault="00774AA5" w:rsidP="0003169B">
            <w:pPr>
              <w:spacing w:after="0" w:line="240" w:lineRule="auto"/>
              <w:rPr>
                <w:rFonts w:cstheme="minorHAnsi"/>
              </w:rPr>
            </w:pPr>
          </w:p>
        </w:tc>
      </w:tr>
      <w:tr w:rsidR="00684031" w:rsidRPr="006840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684031" w:rsidRDefault="00774AA5" w:rsidP="0003169B">
            <w:pPr>
              <w:spacing w:after="0" w:line="240" w:lineRule="auto"/>
              <w:rPr>
                <w:rFonts w:cstheme="minorHAnsi"/>
                <w:bCs/>
              </w:rPr>
            </w:pPr>
            <w:r w:rsidRPr="00684031">
              <w:rPr>
                <w:rFonts w:cstheme="minorHAnsi"/>
              </w:rPr>
              <w:t>Jeigu perkančioji organizacija per nustatytą terminą neišnagrinėja jai pateiktos pretenzijos, tiekėjas turi teisę pateikti prašymą ar pareikšti ieškinį teismui per</w:t>
            </w:r>
            <w:r w:rsidRPr="0068403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4031" w:rsidRDefault="00774AA5" w:rsidP="0003169B">
            <w:pPr>
              <w:spacing w:after="0" w:line="240" w:lineRule="auto"/>
              <w:rPr>
                <w:rFonts w:cstheme="minorHAnsi"/>
              </w:rPr>
            </w:pPr>
            <w:r w:rsidRPr="0068403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4031" w:rsidRDefault="00774AA5" w:rsidP="0003169B">
            <w:pPr>
              <w:spacing w:after="0" w:line="240" w:lineRule="auto"/>
              <w:rPr>
                <w:rFonts w:cstheme="minorHAnsi"/>
              </w:rPr>
            </w:pPr>
          </w:p>
        </w:tc>
      </w:tr>
      <w:tr w:rsidR="00684031" w:rsidRPr="0068403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4031"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684031" w:rsidRDefault="00774AA5" w:rsidP="0003169B">
            <w:pPr>
              <w:spacing w:after="0" w:line="240" w:lineRule="auto"/>
              <w:rPr>
                <w:rFonts w:cstheme="minorHAnsi"/>
              </w:rPr>
            </w:pPr>
            <w:r w:rsidRPr="0068403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F49D49A" w14:textId="77777777" w:rsidR="00FC233F" w:rsidRPr="00684031" w:rsidRDefault="00FC233F" w:rsidP="0003169B">
            <w:pPr>
              <w:spacing w:after="0" w:line="240" w:lineRule="auto"/>
              <w:rPr>
                <w:rFonts w:cstheme="minorHAnsi"/>
                <w:bCs/>
              </w:rPr>
            </w:pPr>
          </w:p>
          <w:p w14:paraId="1BDCB783" w14:textId="76601671" w:rsidR="00774AA5" w:rsidRPr="00684031" w:rsidRDefault="00774AA5" w:rsidP="0003169B">
            <w:pPr>
              <w:spacing w:after="0" w:line="240" w:lineRule="auto"/>
              <w:rPr>
                <w:rFonts w:cstheme="minorHAnsi"/>
              </w:rPr>
            </w:pPr>
            <w:r w:rsidRPr="00684031">
              <w:rPr>
                <w:rFonts w:cstheme="minorHAnsi"/>
                <w:bCs/>
              </w:rPr>
              <w:t>10 (dešimt) dienų,</w:t>
            </w:r>
            <w:r w:rsidRPr="00684031">
              <w:rPr>
                <w:rFonts w:cstheme="minorHAnsi"/>
              </w:rPr>
              <w:t xml:space="preserve"> nuo pranešimo apie sprendimą sudaryti sutartį (o jei buv</w:t>
            </w:r>
            <w:r w:rsidR="00087211" w:rsidRPr="00684031">
              <w:rPr>
                <w:rFonts w:cstheme="minorHAnsi"/>
              </w:rPr>
              <w:t>o</w:t>
            </w:r>
            <w:r w:rsidRPr="00684031">
              <w:rPr>
                <w:rFonts w:cstheme="minorHAnsi"/>
              </w:rPr>
              <w:t xml:space="preserve"> gauta pretenzija – </w:t>
            </w:r>
            <w:r w:rsidRPr="00684031">
              <w:t xml:space="preserve">nuo pranešimo raštu </w:t>
            </w:r>
            <w:r w:rsidRPr="00684031">
              <w:lastRenderedPageBreak/>
              <w:t xml:space="preserve">apie jos priimtą sprendimą </w:t>
            </w:r>
            <w:r w:rsidRPr="00684031">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6458CA43" w:rsidR="00774AA5" w:rsidRPr="00684031"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684031" w:rsidRDefault="00774AA5" w:rsidP="0003169B">
            <w:pPr>
              <w:spacing w:after="0" w:line="240" w:lineRule="auto"/>
              <w:rPr>
                <w:rFonts w:cstheme="minorHAnsi"/>
              </w:rPr>
            </w:pPr>
          </w:p>
        </w:tc>
      </w:tr>
      <w:tr w:rsidR="00684031" w:rsidRPr="0068403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4031"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684031" w:rsidRDefault="00F50C57" w:rsidP="0003169B">
            <w:pPr>
              <w:spacing w:after="0" w:line="240" w:lineRule="auto"/>
              <w:rPr>
                <w:rFonts w:cstheme="minorHAnsi"/>
              </w:rPr>
            </w:pPr>
            <w:r w:rsidRPr="00684031">
              <w:rPr>
                <w:rFonts w:cstheme="minorHAnsi"/>
              </w:rPr>
              <w:t xml:space="preserve">Jeigu </w:t>
            </w:r>
            <w:r w:rsidR="00F46E88" w:rsidRPr="00684031">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84031" w:rsidRDefault="000B4E01" w:rsidP="00451AF7">
            <w:pPr>
              <w:spacing w:after="0" w:line="240" w:lineRule="auto"/>
              <w:jc w:val="both"/>
              <w:rPr>
                <w:rFonts w:cstheme="minorHAnsi"/>
                <w:i/>
                <w:iCs/>
              </w:rPr>
            </w:pPr>
            <w:r w:rsidRPr="0068403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4031"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684031"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C233F"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FC233F">
        <w:rPr>
          <w:rFonts w:asciiTheme="minorHAnsi" w:eastAsia="Calibri" w:hAnsiTheme="minorHAnsi" w:cstheme="minorHAnsi"/>
          <w:color w:val="auto"/>
          <w:sz w:val="21"/>
          <w:szCs w:val="21"/>
        </w:rPr>
        <w:lastRenderedPageBreak/>
        <w:t xml:space="preserve">Pirkimo sąlygų </w:t>
      </w:r>
      <w:r w:rsidR="005F0B78" w:rsidRPr="00FC233F">
        <w:rPr>
          <w:rFonts w:asciiTheme="minorHAnsi" w:eastAsia="Calibri" w:hAnsiTheme="minorHAnsi" w:cstheme="minorHAnsi"/>
          <w:color w:val="auto"/>
          <w:sz w:val="21"/>
          <w:szCs w:val="21"/>
        </w:rPr>
        <w:t>2</w:t>
      </w:r>
      <w:r w:rsidRPr="00FC233F">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5930248C" w:rsidR="008D704D" w:rsidRPr="003021B7" w:rsidRDefault="00281735" w:rsidP="00BE1858">
      <w:pPr>
        <w:pStyle w:val="Subtitle"/>
        <w:jc w:val="center"/>
        <w:rPr>
          <w:b/>
        </w:rPr>
      </w:pPr>
      <w:r w:rsidRPr="003021B7">
        <w:rPr>
          <w:b/>
        </w:rPr>
        <w:t>TECHNINĖ SPECIFIKACIJA</w:t>
      </w:r>
    </w:p>
    <w:p w14:paraId="26F6F237" w14:textId="1DCD7565" w:rsidR="00FC233F" w:rsidRDefault="00FC233F" w:rsidP="00FC233F">
      <w:pPr>
        <w:jc w:val="center"/>
      </w:pPr>
      <w:r w:rsidRPr="00FC233F">
        <w:t>(pridedama atskiru dokumentu)</w:t>
      </w:r>
    </w:p>
    <w:p w14:paraId="08F8F089" w14:textId="513068D9" w:rsidR="00FC233F" w:rsidRDefault="00FC233F" w:rsidP="00FC233F"/>
    <w:p w14:paraId="493325B2" w14:textId="77777777" w:rsidR="00FC233F" w:rsidRPr="00FC233F" w:rsidRDefault="00FC233F" w:rsidP="00FC233F"/>
    <w:p w14:paraId="67C84AD2" w14:textId="779193AF" w:rsidR="00FC233F" w:rsidRDefault="00FC233F" w:rsidP="00FC233F">
      <w:pPr>
        <w:jc w:val="center"/>
      </w:pPr>
      <w:r>
        <w:br w:type="page"/>
      </w:r>
    </w:p>
    <w:p w14:paraId="73F43DFB" w14:textId="33FEF14C" w:rsidR="008D704D" w:rsidRPr="002811E2" w:rsidRDefault="008D704D" w:rsidP="008D704D">
      <w:pPr>
        <w:pStyle w:val="Heading2"/>
        <w:ind w:left="5103"/>
        <w:rPr>
          <w:rFonts w:asciiTheme="minorHAnsi" w:eastAsia="Calibri" w:hAnsiTheme="minorHAnsi" w:cstheme="minorHAnsi"/>
          <w:color w:val="auto"/>
          <w:sz w:val="21"/>
          <w:szCs w:val="21"/>
        </w:rPr>
      </w:pPr>
      <w:bookmarkStart w:id="48" w:name="_Ref38285444"/>
      <w:bookmarkStart w:id="49" w:name="_Ref38291496"/>
      <w:bookmarkStart w:id="50" w:name="_Toc126333941"/>
      <w:r w:rsidRPr="002811E2">
        <w:rPr>
          <w:rFonts w:asciiTheme="minorHAnsi" w:eastAsia="Calibri" w:hAnsiTheme="minorHAnsi" w:cstheme="minorHAnsi"/>
          <w:color w:val="auto"/>
          <w:sz w:val="21"/>
          <w:szCs w:val="21"/>
        </w:rPr>
        <w:lastRenderedPageBreak/>
        <w:t xml:space="preserve">Pirkimo sąlygų </w:t>
      </w:r>
      <w:r w:rsidR="00F1334C" w:rsidRPr="002811E2">
        <w:rPr>
          <w:rFonts w:asciiTheme="minorHAnsi" w:eastAsia="Calibri" w:hAnsiTheme="minorHAnsi" w:cstheme="minorHAnsi"/>
          <w:color w:val="auto"/>
          <w:sz w:val="21"/>
          <w:szCs w:val="21"/>
        </w:rPr>
        <w:t>3</w:t>
      </w:r>
      <w:r w:rsidRPr="002811E2">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2811E2" w:rsidRDefault="000E6657" w:rsidP="000E6657">
      <w:pPr>
        <w:jc w:val="center"/>
        <w:rPr>
          <w:rFonts w:cstheme="minorHAnsi"/>
          <w:b/>
          <w:bCs/>
          <w:smallCaps/>
          <w:sz w:val="22"/>
          <w:szCs w:val="22"/>
        </w:rPr>
      </w:pPr>
    </w:p>
    <w:p w14:paraId="626BA16A" w14:textId="0797F48D" w:rsidR="000E6657" w:rsidRPr="003021B7" w:rsidRDefault="000E6657" w:rsidP="00BE1858">
      <w:pPr>
        <w:pStyle w:val="Subtitle"/>
        <w:jc w:val="center"/>
        <w:rPr>
          <w:b/>
          <w:color w:val="auto"/>
        </w:rPr>
      </w:pPr>
      <w:r w:rsidRPr="003021B7">
        <w:rPr>
          <w:b/>
          <w:color w:val="auto"/>
        </w:rPr>
        <w:t>TIEKĖJŲ PAŠALINIMO PAGRINDAI</w:t>
      </w:r>
    </w:p>
    <w:p w14:paraId="2F9E02B5" w14:textId="77777777" w:rsidR="002811E2" w:rsidRPr="002811E2" w:rsidRDefault="002811E2" w:rsidP="002811E2">
      <w:pPr>
        <w:jc w:val="center"/>
        <w:rPr>
          <w:rFonts w:ascii="Times New Roman" w:hAnsi="Times New Roman" w:cs="Times New Roman"/>
          <w:color w:val="000000" w:themeColor="text1"/>
        </w:rPr>
      </w:pPr>
      <w:r w:rsidRPr="002811E2">
        <w:rPr>
          <w:rFonts w:ascii="Times New Roman" w:hAnsi="Times New Roman" w:cs="Times New Roman"/>
          <w:color w:val="000000" w:themeColor="text1"/>
        </w:rPr>
        <w:t>(pridedama atskiru dokumentu)</w:t>
      </w:r>
    </w:p>
    <w:p w14:paraId="6B8D87C2" w14:textId="77777777" w:rsidR="002811E2" w:rsidRPr="002811E2" w:rsidRDefault="002811E2" w:rsidP="002811E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684031"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26333942"/>
      <w:r w:rsidRPr="00684031">
        <w:rPr>
          <w:rFonts w:asciiTheme="minorHAnsi" w:eastAsia="Calibri" w:hAnsiTheme="minorHAnsi" w:cstheme="minorHAnsi"/>
          <w:color w:val="auto"/>
          <w:sz w:val="21"/>
          <w:szCs w:val="21"/>
        </w:rPr>
        <w:lastRenderedPageBreak/>
        <w:t xml:space="preserve">Pirkimo sąlygų </w:t>
      </w:r>
      <w:r w:rsidR="00F1334C" w:rsidRPr="00684031">
        <w:rPr>
          <w:rFonts w:asciiTheme="minorHAnsi" w:eastAsia="Calibri" w:hAnsiTheme="minorHAnsi" w:cstheme="minorHAnsi"/>
          <w:color w:val="auto"/>
          <w:sz w:val="21"/>
          <w:szCs w:val="21"/>
        </w:rPr>
        <w:t>4</w:t>
      </w:r>
      <w:r w:rsidRPr="00684031">
        <w:rPr>
          <w:rFonts w:asciiTheme="minorHAnsi" w:eastAsia="Calibri" w:hAnsiTheme="minorHAnsi" w:cstheme="minorHAnsi"/>
          <w:color w:val="auto"/>
          <w:sz w:val="21"/>
          <w:szCs w:val="21"/>
        </w:rPr>
        <w:t xml:space="preserve"> priedas „Tiekėjų kvalifikacijos reikalavimai</w:t>
      </w:r>
      <w:r w:rsidR="00283391" w:rsidRPr="00684031">
        <w:rPr>
          <w:rFonts w:asciiTheme="minorHAnsi" w:eastAsia="Calibri" w:hAnsiTheme="minorHAnsi" w:cstheme="minorHAnsi"/>
          <w:color w:val="auto"/>
          <w:sz w:val="21"/>
          <w:szCs w:val="21"/>
        </w:rPr>
        <w:t xml:space="preserve"> ir reikalaujami kokybės bei aplinkos apsaugos vadybos sistemų standartai</w:t>
      </w:r>
      <w:r w:rsidRPr="00684031">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684031" w:rsidRDefault="002F396F" w:rsidP="00DE290C">
      <w:pPr>
        <w:rPr>
          <w:rFonts w:cstheme="minorHAnsi"/>
          <w:b/>
          <w:bCs/>
          <w:smallCaps/>
          <w:sz w:val="22"/>
          <w:szCs w:val="22"/>
        </w:rPr>
      </w:pPr>
    </w:p>
    <w:p w14:paraId="2E4A6A51" w14:textId="7093DA19" w:rsidR="002F396F" w:rsidRPr="003021B7" w:rsidRDefault="002F396F" w:rsidP="007C0612">
      <w:pPr>
        <w:pStyle w:val="Subtitle"/>
        <w:spacing w:line="240" w:lineRule="auto"/>
        <w:jc w:val="center"/>
        <w:rPr>
          <w:b/>
          <w:smallCaps/>
        </w:rPr>
      </w:pPr>
      <w:r w:rsidRPr="003021B7">
        <w:rPr>
          <w:b/>
          <w:smallCaps/>
          <w:color w:val="auto"/>
        </w:rPr>
        <w:t>TIEKĖJŲ KVALIFIKACIJOS REIKALAVIMAI</w:t>
      </w:r>
      <w:r w:rsidR="00955F2F" w:rsidRPr="003021B7">
        <w:rPr>
          <w:b/>
          <w:smallCaps/>
          <w:color w:val="auto"/>
        </w:rPr>
        <w:t xml:space="preserve"> IR REIKALAVIMAI LAIKYTIS </w:t>
      </w:r>
      <w:r w:rsidR="00955F2F" w:rsidRPr="003021B7">
        <w:rPr>
          <w:b/>
          <w:lang w:eastAsia="en-US"/>
        </w:rPr>
        <w:t>KOKYBĖS VADYBOS SISTEMOS IR (ARBA) APLINKOS APSAUGOS VADYBOS SISTEMOS STANDARTŲ</w:t>
      </w:r>
    </w:p>
    <w:p w14:paraId="768E15C2" w14:textId="2AB1B399" w:rsidR="00E55E1A" w:rsidRPr="00F56FD0" w:rsidRDefault="00E55E1A" w:rsidP="00F56FD0">
      <w:pPr>
        <w:spacing w:after="0" w:line="20" w:lineRule="atLeast"/>
        <w:jc w:val="both"/>
        <w:rPr>
          <w:rFonts w:eastAsiaTheme="minorHAnsi" w:cstheme="minorHAnsi"/>
        </w:rPr>
      </w:pPr>
    </w:p>
    <w:p w14:paraId="0822B9A7" w14:textId="77777777" w:rsidR="0020417D" w:rsidRPr="00A35CB2" w:rsidRDefault="0020417D" w:rsidP="002D71B6">
      <w:pPr>
        <w:spacing w:before="60" w:after="60" w:line="256" w:lineRule="auto"/>
        <w:rPr>
          <w:rFonts w:eastAsiaTheme="minorHAnsi" w:cstheme="minorHAnsi"/>
          <w:b/>
          <w:bCs/>
          <w:sz w:val="22"/>
          <w:szCs w:val="22"/>
        </w:rPr>
      </w:pPr>
    </w:p>
    <w:p w14:paraId="2EB319AF" w14:textId="77777777" w:rsidR="00A35CB2" w:rsidRPr="00A35CB2" w:rsidRDefault="00A35CB2" w:rsidP="00A35CB2">
      <w:pPr>
        <w:pStyle w:val="ListParagraph"/>
        <w:numPr>
          <w:ilvl w:val="0"/>
          <w:numId w:val="22"/>
        </w:numPr>
        <w:spacing w:after="0" w:line="20" w:lineRule="atLeast"/>
        <w:jc w:val="both"/>
        <w:rPr>
          <w:rFonts w:cstheme="minorHAnsi"/>
          <w:sz w:val="22"/>
          <w:szCs w:val="22"/>
        </w:rPr>
      </w:pPr>
      <w:r w:rsidRPr="00A35CB2">
        <w:rPr>
          <w:rFonts w:cstheme="minorHAnsi"/>
          <w:sz w:val="22"/>
          <w:szCs w:val="22"/>
        </w:rP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7ED1BFA" w14:textId="77777777" w:rsidR="00A35CB2" w:rsidRPr="00A35CB2" w:rsidRDefault="00A35CB2" w:rsidP="00A35CB2">
      <w:pPr>
        <w:rPr>
          <w:rFonts w:cstheme="minorHAnsi"/>
          <w:sz w:val="22"/>
          <w:szCs w:val="22"/>
        </w:rPr>
      </w:pPr>
    </w:p>
    <w:p w14:paraId="4E5711A6" w14:textId="77777777" w:rsidR="00A35CB2" w:rsidRPr="00A35CB2" w:rsidRDefault="00A35CB2" w:rsidP="00A35CB2">
      <w:pPr>
        <w:rPr>
          <w:rFonts w:cstheme="minorHAnsi"/>
          <w:sz w:val="22"/>
          <w:szCs w:val="22"/>
        </w:rPr>
      </w:pPr>
      <w:r w:rsidRPr="00A35CB2">
        <w:rPr>
          <w:rFonts w:cstheme="minorHAnsi"/>
          <w:b/>
          <w:bCs/>
          <w:sz w:val="22"/>
          <w:szCs w:val="22"/>
        </w:rPr>
        <w:t>1 lentelė</w:t>
      </w:r>
      <w:r w:rsidRPr="00A35CB2">
        <w:rPr>
          <w:rFonts w:cstheme="minorHAnsi"/>
          <w:sz w:val="22"/>
          <w:szCs w:val="22"/>
        </w:rPr>
        <w:t>. Kvalifikacijos reikalavimai (Teisė verstis veikla)</w:t>
      </w:r>
    </w:p>
    <w:tbl>
      <w:tblPr>
        <w:tblStyle w:val="TableGrid"/>
        <w:tblW w:w="0" w:type="auto"/>
        <w:tblInd w:w="0" w:type="dxa"/>
        <w:tblLook w:val="04A0" w:firstRow="1" w:lastRow="0" w:firstColumn="1" w:lastColumn="0" w:noHBand="0" w:noVBand="1"/>
      </w:tblPr>
      <w:tblGrid>
        <w:gridCol w:w="562"/>
        <w:gridCol w:w="5478"/>
        <w:gridCol w:w="3021"/>
      </w:tblGrid>
      <w:tr w:rsidR="00A35CB2" w:rsidRPr="00A35CB2" w14:paraId="6D5A9468" w14:textId="77777777" w:rsidTr="004D3E71">
        <w:tc>
          <w:tcPr>
            <w:tcW w:w="562" w:type="dxa"/>
          </w:tcPr>
          <w:p w14:paraId="7D4CE03F"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Nr.</w:t>
            </w:r>
          </w:p>
        </w:tc>
        <w:tc>
          <w:tcPr>
            <w:tcW w:w="5478" w:type="dxa"/>
          </w:tcPr>
          <w:p w14:paraId="0943D404"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Kvalifikacijos reikalavimas</w:t>
            </w:r>
          </w:p>
        </w:tc>
        <w:tc>
          <w:tcPr>
            <w:tcW w:w="3021" w:type="dxa"/>
          </w:tcPr>
          <w:p w14:paraId="0A294C23"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Atitiktį reikalavimui įrodantys dokumentai</w:t>
            </w:r>
          </w:p>
        </w:tc>
      </w:tr>
      <w:tr w:rsidR="00A35CB2" w:rsidRPr="00A35CB2" w14:paraId="61845938" w14:textId="77777777" w:rsidTr="004D3E71">
        <w:tc>
          <w:tcPr>
            <w:tcW w:w="562" w:type="dxa"/>
          </w:tcPr>
          <w:p w14:paraId="46FC54BD"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1</w:t>
            </w:r>
          </w:p>
        </w:tc>
        <w:tc>
          <w:tcPr>
            <w:tcW w:w="5478" w:type="dxa"/>
          </w:tcPr>
          <w:p w14:paraId="594BB358"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2</w:t>
            </w:r>
          </w:p>
        </w:tc>
        <w:tc>
          <w:tcPr>
            <w:tcW w:w="3021" w:type="dxa"/>
          </w:tcPr>
          <w:p w14:paraId="482C2B42"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3</w:t>
            </w:r>
          </w:p>
        </w:tc>
      </w:tr>
      <w:tr w:rsidR="00A35CB2" w:rsidRPr="00A35CB2" w14:paraId="5B33CA9D" w14:textId="77777777" w:rsidTr="004D3E71">
        <w:tc>
          <w:tcPr>
            <w:tcW w:w="562" w:type="dxa"/>
          </w:tcPr>
          <w:p w14:paraId="2D5F95CF" w14:textId="77777777" w:rsidR="00A35CB2" w:rsidRPr="00A35CB2" w:rsidRDefault="00A35CB2" w:rsidP="004D3E71">
            <w:pPr>
              <w:rPr>
                <w:rFonts w:asciiTheme="minorHAnsi" w:cstheme="minorHAnsi"/>
                <w:sz w:val="22"/>
                <w:szCs w:val="22"/>
              </w:rPr>
            </w:pPr>
          </w:p>
        </w:tc>
        <w:tc>
          <w:tcPr>
            <w:tcW w:w="5478" w:type="dxa"/>
          </w:tcPr>
          <w:p w14:paraId="4702DF38" w14:textId="77777777" w:rsidR="00A35CB2" w:rsidRPr="00A35CB2" w:rsidRDefault="00A35CB2" w:rsidP="004D3E71">
            <w:pPr>
              <w:rPr>
                <w:rFonts w:asciiTheme="minorHAnsi" w:cstheme="minorHAnsi"/>
                <w:sz w:val="22"/>
                <w:szCs w:val="22"/>
              </w:rPr>
            </w:pPr>
          </w:p>
        </w:tc>
        <w:tc>
          <w:tcPr>
            <w:tcW w:w="3021" w:type="dxa"/>
          </w:tcPr>
          <w:p w14:paraId="543A49F3" w14:textId="77777777" w:rsidR="00A35CB2" w:rsidRPr="00A35CB2" w:rsidRDefault="00A35CB2" w:rsidP="004D3E71">
            <w:pPr>
              <w:rPr>
                <w:rFonts w:asciiTheme="minorHAnsi" w:cstheme="minorHAnsi"/>
                <w:sz w:val="22"/>
                <w:szCs w:val="22"/>
              </w:rPr>
            </w:pPr>
          </w:p>
        </w:tc>
      </w:tr>
      <w:tr w:rsidR="00A35CB2" w:rsidRPr="00A35CB2" w14:paraId="72DA4583" w14:textId="77777777" w:rsidTr="004D3E71">
        <w:tc>
          <w:tcPr>
            <w:tcW w:w="562" w:type="dxa"/>
          </w:tcPr>
          <w:p w14:paraId="6CF0D2FB" w14:textId="77777777" w:rsidR="00A35CB2" w:rsidRPr="00A35CB2" w:rsidRDefault="00A35CB2" w:rsidP="004D3E71">
            <w:pPr>
              <w:rPr>
                <w:rFonts w:asciiTheme="minorHAnsi" w:cstheme="minorHAnsi"/>
                <w:sz w:val="22"/>
                <w:szCs w:val="22"/>
              </w:rPr>
            </w:pPr>
          </w:p>
        </w:tc>
        <w:tc>
          <w:tcPr>
            <w:tcW w:w="5478" w:type="dxa"/>
          </w:tcPr>
          <w:p w14:paraId="6DDAE13D" w14:textId="77777777" w:rsidR="00A35CB2" w:rsidRPr="00A35CB2" w:rsidRDefault="00A35CB2" w:rsidP="004D3E71">
            <w:pPr>
              <w:rPr>
                <w:rFonts w:asciiTheme="minorHAnsi" w:cstheme="minorHAnsi"/>
                <w:sz w:val="22"/>
                <w:szCs w:val="22"/>
              </w:rPr>
            </w:pPr>
          </w:p>
        </w:tc>
        <w:tc>
          <w:tcPr>
            <w:tcW w:w="3021" w:type="dxa"/>
          </w:tcPr>
          <w:p w14:paraId="00FFDD52" w14:textId="77777777" w:rsidR="00A35CB2" w:rsidRPr="00A35CB2" w:rsidRDefault="00A35CB2" w:rsidP="004D3E71">
            <w:pPr>
              <w:rPr>
                <w:rFonts w:asciiTheme="minorHAnsi" w:cstheme="minorHAnsi"/>
                <w:sz w:val="22"/>
                <w:szCs w:val="22"/>
              </w:rPr>
            </w:pPr>
          </w:p>
        </w:tc>
      </w:tr>
    </w:tbl>
    <w:p w14:paraId="3AA9B1AC" w14:textId="77777777" w:rsidR="00A35CB2" w:rsidRPr="00A35CB2" w:rsidRDefault="00A35CB2" w:rsidP="00A35CB2">
      <w:pPr>
        <w:rPr>
          <w:rFonts w:cstheme="minorHAnsi"/>
          <w:sz w:val="22"/>
          <w:szCs w:val="22"/>
        </w:rPr>
      </w:pPr>
    </w:p>
    <w:p w14:paraId="1B11D4E6" w14:textId="77777777" w:rsidR="00A35CB2" w:rsidRPr="00A35CB2" w:rsidRDefault="00A35CB2" w:rsidP="00A35CB2">
      <w:pPr>
        <w:rPr>
          <w:rFonts w:cstheme="minorHAnsi"/>
          <w:sz w:val="22"/>
          <w:szCs w:val="22"/>
        </w:rPr>
      </w:pPr>
      <w:r w:rsidRPr="00A35CB2">
        <w:rPr>
          <w:rFonts w:cstheme="minorHAnsi"/>
          <w:b/>
          <w:bCs/>
          <w:sz w:val="22"/>
          <w:szCs w:val="22"/>
        </w:rPr>
        <w:t>2 lentelė</w:t>
      </w:r>
      <w:r w:rsidRPr="00A35CB2">
        <w:rPr>
          <w:rFonts w:cstheme="minorHAnsi"/>
          <w:sz w:val="22"/>
          <w:szCs w:val="22"/>
        </w:rPr>
        <w:t>. Kvalifikacijos reikalavimai (Finansinis ir ekonominis pajėgumas)</w:t>
      </w:r>
    </w:p>
    <w:tbl>
      <w:tblPr>
        <w:tblStyle w:val="TableGrid"/>
        <w:tblW w:w="0" w:type="auto"/>
        <w:tblInd w:w="0" w:type="dxa"/>
        <w:tblLook w:val="04A0" w:firstRow="1" w:lastRow="0" w:firstColumn="1" w:lastColumn="0" w:noHBand="0" w:noVBand="1"/>
      </w:tblPr>
      <w:tblGrid>
        <w:gridCol w:w="562"/>
        <w:gridCol w:w="5478"/>
        <w:gridCol w:w="3021"/>
      </w:tblGrid>
      <w:tr w:rsidR="00A35CB2" w:rsidRPr="00A35CB2" w14:paraId="1B81322B" w14:textId="77777777" w:rsidTr="004D3E71">
        <w:tc>
          <w:tcPr>
            <w:tcW w:w="562" w:type="dxa"/>
          </w:tcPr>
          <w:p w14:paraId="162144FD"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Nr.</w:t>
            </w:r>
          </w:p>
        </w:tc>
        <w:tc>
          <w:tcPr>
            <w:tcW w:w="5478" w:type="dxa"/>
          </w:tcPr>
          <w:p w14:paraId="156051B0"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Kvalifikacijos reikalavimas</w:t>
            </w:r>
          </w:p>
        </w:tc>
        <w:tc>
          <w:tcPr>
            <w:tcW w:w="3021" w:type="dxa"/>
          </w:tcPr>
          <w:p w14:paraId="2B2A941F"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Atitiktį reikalavimui įrodantys dokumentai</w:t>
            </w:r>
          </w:p>
        </w:tc>
      </w:tr>
      <w:tr w:rsidR="00A35CB2" w:rsidRPr="00A35CB2" w14:paraId="1D1D6B89" w14:textId="77777777" w:rsidTr="004D3E71">
        <w:tc>
          <w:tcPr>
            <w:tcW w:w="562" w:type="dxa"/>
          </w:tcPr>
          <w:p w14:paraId="466E6B58"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1</w:t>
            </w:r>
          </w:p>
        </w:tc>
        <w:tc>
          <w:tcPr>
            <w:tcW w:w="5478" w:type="dxa"/>
          </w:tcPr>
          <w:p w14:paraId="1518F300"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2</w:t>
            </w:r>
          </w:p>
        </w:tc>
        <w:tc>
          <w:tcPr>
            <w:tcW w:w="3021" w:type="dxa"/>
          </w:tcPr>
          <w:p w14:paraId="792F0D48"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3</w:t>
            </w:r>
          </w:p>
        </w:tc>
      </w:tr>
      <w:tr w:rsidR="00A35CB2" w:rsidRPr="00A35CB2" w14:paraId="464759AB" w14:textId="77777777" w:rsidTr="004D3E71">
        <w:tc>
          <w:tcPr>
            <w:tcW w:w="562" w:type="dxa"/>
          </w:tcPr>
          <w:p w14:paraId="0CB31B4C" w14:textId="77777777" w:rsidR="00A35CB2" w:rsidRPr="00A35CB2" w:rsidRDefault="00A35CB2" w:rsidP="004D3E71">
            <w:pPr>
              <w:rPr>
                <w:rFonts w:asciiTheme="minorHAnsi" w:cstheme="minorHAnsi"/>
                <w:sz w:val="22"/>
                <w:szCs w:val="22"/>
              </w:rPr>
            </w:pPr>
          </w:p>
        </w:tc>
        <w:tc>
          <w:tcPr>
            <w:tcW w:w="5478" w:type="dxa"/>
          </w:tcPr>
          <w:p w14:paraId="4E2AF2BF" w14:textId="77777777" w:rsidR="00A35CB2" w:rsidRPr="00A35CB2" w:rsidRDefault="00A35CB2" w:rsidP="004D3E71">
            <w:pPr>
              <w:rPr>
                <w:rFonts w:asciiTheme="minorHAnsi" w:cstheme="minorHAnsi"/>
                <w:sz w:val="22"/>
                <w:szCs w:val="22"/>
              </w:rPr>
            </w:pPr>
          </w:p>
        </w:tc>
        <w:tc>
          <w:tcPr>
            <w:tcW w:w="3021" w:type="dxa"/>
          </w:tcPr>
          <w:p w14:paraId="60AF75CE" w14:textId="77777777" w:rsidR="00A35CB2" w:rsidRPr="00A35CB2" w:rsidRDefault="00A35CB2" w:rsidP="004D3E71">
            <w:pPr>
              <w:rPr>
                <w:rFonts w:asciiTheme="minorHAnsi" w:cstheme="minorHAnsi"/>
                <w:sz w:val="22"/>
                <w:szCs w:val="22"/>
              </w:rPr>
            </w:pPr>
          </w:p>
        </w:tc>
      </w:tr>
      <w:tr w:rsidR="00A35CB2" w:rsidRPr="00A35CB2" w14:paraId="7B163A92" w14:textId="77777777" w:rsidTr="004D3E71">
        <w:tc>
          <w:tcPr>
            <w:tcW w:w="562" w:type="dxa"/>
          </w:tcPr>
          <w:p w14:paraId="3A47DC4C" w14:textId="77777777" w:rsidR="00A35CB2" w:rsidRPr="00A35CB2" w:rsidRDefault="00A35CB2" w:rsidP="004D3E71">
            <w:pPr>
              <w:rPr>
                <w:rFonts w:asciiTheme="minorHAnsi" w:cstheme="minorHAnsi"/>
                <w:sz w:val="22"/>
                <w:szCs w:val="22"/>
              </w:rPr>
            </w:pPr>
          </w:p>
        </w:tc>
        <w:tc>
          <w:tcPr>
            <w:tcW w:w="5478" w:type="dxa"/>
          </w:tcPr>
          <w:p w14:paraId="71DB2E04" w14:textId="77777777" w:rsidR="00A35CB2" w:rsidRPr="00A35CB2" w:rsidRDefault="00A35CB2" w:rsidP="004D3E71">
            <w:pPr>
              <w:rPr>
                <w:rFonts w:asciiTheme="minorHAnsi" w:cstheme="minorHAnsi"/>
                <w:sz w:val="22"/>
                <w:szCs w:val="22"/>
              </w:rPr>
            </w:pPr>
          </w:p>
        </w:tc>
        <w:tc>
          <w:tcPr>
            <w:tcW w:w="3021" w:type="dxa"/>
          </w:tcPr>
          <w:p w14:paraId="00814A91" w14:textId="77777777" w:rsidR="00A35CB2" w:rsidRPr="00A35CB2" w:rsidRDefault="00A35CB2" w:rsidP="004D3E71">
            <w:pPr>
              <w:rPr>
                <w:rFonts w:asciiTheme="minorHAnsi" w:cstheme="minorHAnsi"/>
                <w:sz w:val="22"/>
                <w:szCs w:val="22"/>
              </w:rPr>
            </w:pPr>
          </w:p>
        </w:tc>
      </w:tr>
    </w:tbl>
    <w:p w14:paraId="1ED1DF17" w14:textId="77777777" w:rsidR="00A35CB2" w:rsidRPr="00A35CB2" w:rsidRDefault="00A35CB2" w:rsidP="00A35CB2">
      <w:pPr>
        <w:rPr>
          <w:rFonts w:cstheme="minorHAnsi"/>
          <w:sz w:val="22"/>
          <w:szCs w:val="22"/>
        </w:rPr>
      </w:pPr>
    </w:p>
    <w:p w14:paraId="74683185" w14:textId="77777777" w:rsidR="00A35CB2" w:rsidRPr="00A35CB2" w:rsidRDefault="00A35CB2" w:rsidP="00A35CB2">
      <w:pPr>
        <w:rPr>
          <w:rFonts w:cstheme="minorHAnsi"/>
          <w:sz w:val="22"/>
          <w:szCs w:val="22"/>
        </w:rPr>
      </w:pPr>
      <w:r w:rsidRPr="00A35CB2">
        <w:rPr>
          <w:rFonts w:cstheme="minorHAnsi"/>
          <w:b/>
          <w:bCs/>
          <w:sz w:val="22"/>
          <w:szCs w:val="22"/>
        </w:rPr>
        <w:t>3 lentelė</w:t>
      </w:r>
      <w:r w:rsidRPr="00A35CB2">
        <w:rPr>
          <w:rFonts w:cstheme="minorHAnsi"/>
          <w:sz w:val="22"/>
          <w:szCs w:val="22"/>
        </w:rPr>
        <w:t>. Kvalifikacijos reikalavimai (Techninis ir profesinis pajėgumas)</w:t>
      </w:r>
    </w:p>
    <w:tbl>
      <w:tblPr>
        <w:tblStyle w:val="TableGrid"/>
        <w:tblW w:w="0" w:type="auto"/>
        <w:tblInd w:w="0" w:type="dxa"/>
        <w:tblLook w:val="04A0" w:firstRow="1" w:lastRow="0" w:firstColumn="1" w:lastColumn="0" w:noHBand="0" w:noVBand="1"/>
      </w:tblPr>
      <w:tblGrid>
        <w:gridCol w:w="562"/>
        <w:gridCol w:w="5478"/>
        <w:gridCol w:w="3021"/>
      </w:tblGrid>
      <w:tr w:rsidR="00A35CB2" w:rsidRPr="00A35CB2" w14:paraId="6C59C22D" w14:textId="77777777" w:rsidTr="004D3E71">
        <w:tc>
          <w:tcPr>
            <w:tcW w:w="562" w:type="dxa"/>
          </w:tcPr>
          <w:p w14:paraId="5C40B60C"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lastRenderedPageBreak/>
              <w:t>Nr.</w:t>
            </w:r>
          </w:p>
        </w:tc>
        <w:tc>
          <w:tcPr>
            <w:tcW w:w="5478" w:type="dxa"/>
          </w:tcPr>
          <w:p w14:paraId="3994D894"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Kvalifikacijos reikalavimas</w:t>
            </w:r>
            <w:r w:rsidRPr="00A35CB2">
              <w:rPr>
                <w:rStyle w:val="FootnoteReference"/>
                <w:rFonts w:asciiTheme="minorHAnsi" w:cstheme="minorHAnsi"/>
                <w:b/>
                <w:bCs/>
                <w:sz w:val="22"/>
                <w:szCs w:val="22"/>
              </w:rPr>
              <w:footnoteReference w:id="2"/>
            </w:r>
          </w:p>
        </w:tc>
        <w:tc>
          <w:tcPr>
            <w:tcW w:w="3021" w:type="dxa"/>
          </w:tcPr>
          <w:p w14:paraId="1E458706"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Atitiktį reikalavimui įrodantys dokumentai</w:t>
            </w:r>
          </w:p>
        </w:tc>
      </w:tr>
      <w:tr w:rsidR="00A35CB2" w:rsidRPr="00A35CB2" w14:paraId="034ECB64" w14:textId="77777777" w:rsidTr="004D3E71">
        <w:tc>
          <w:tcPr>
            <w:tcW w:w="562" w:type="dxa"/>
          </w:tcPr>
          <w:p w14:paraId="4A7B1FC0"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1</w:t>
            </w:r>
          </w:p>
        </w:tc>
        <w:tc>
          <w:tcPr>
            <w:tcW w:w="5478" w:type="dxa"/>
          </w:tcPr>
          <w:p w14:paraId="707DD5B3"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2</w:t>
            </w:r>
          </w:p>
        </w:tc>
        <w:tc>
          <w:tcPr>
            <w:tcW w:w="3021" w:type="dxa"/>
          </w:tcPr>
          <w:p w14:paraId="267C22C6" w14:textId="77777777" w:rsidR="00A35CB2" w:rsidRPr="00A35CB2" w:rsidRDefault="00A35CB2" w:rsidP="004D3E71">
            <w:pPr>
              <w:jc w:val="center"/>
              <w:rPr>
                <w:rFonts w:asciiTheme="minorHAnsi" w:cstheme="minorHAnsi"/>
                <w:b/>
                <w:bCs/>
                <w:sz w:val="22"/>
                <w:szCs w:val="22"/>
              </w:rPr>
            </w:pPr>
            <w:r w:rsidRPr="00A35CB2">
              <w:rPr>
                <w:rFonts w:asciiTheme="minorHAnsi" w:cstheme="minorHAnsi"/>
                <w:b/>
                <w:bCs/>
                <w:sz w:val="22"/>
                <w:szCs w:val="22"/>
              </w:rPr>
              <w:t>3</w:t>
            </w:r>
          </w:p>
        </w:tc>
      </w:tr>
      <w:tr w:rsidR="00A35CB2" w:rsidRPr="00A35CB2" w14:paraId="23808F71" w14:textId="77777777" w:rsidTr="004D3E71">
        <w:tc>
          <w:tcPr>
            <w:tcW w:w="562" w:type="dxa"/>
          </w:tcPr>
          <w:p w14:paraId="00DD7D6B"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1.</w:t>
            </w:r>
          </w:p>
        </w:tc>
        <w:tc>
          <w:tcPr>
            <w:tcW w:w="5478" w:type="dxa"/>
          </w:tcPr>
          <w:p w14:paraId="4C212D4B" w14:textId="4451C420" w:rsidR="00A35CB2" w:rsidRPr="00A35CB2" w:rsidRDefault="00A35CB2" w:rsidP="004D3E71">
            <w:pPr>
              <w:rPr>
                <w:rFonts w:asciiTheme="minorHAnsi" w:cstheme="minorHAnsi"/>
                <w:sz w:val="22"/>
                <w:szCs w:val="22"/>
              </w:rPr>
            </w:pPr>
            <w:r w:rsidRPr="00A35CB2">
              <w:rPr>
                <w:rFonts w:asciiTheme="minorHAnsi" w:cstheme="minorHAnsi"/>
                <w:sz w:val="22"/>
                <w:szCs w:val="22"/>
              </w:rPr>
              <w:t xml:space="preserve">Tiekėjas per </w:t>
            </w:r>
            <w:r w:rsidRPr="003E71B1">
              <w:rPr>
                <w:rFonts w:asciiTheme="minorHAnsi" w:cstheme="minorHAnsi"/>
                <w:sz w:val="22"/>
                <w:szCs w:val="22"/>
              </w:rPr>
              <w:t>paskutinius 3 metus iki pasiūlymo pateikimo termino pabaigos pagal vieną ar daugiau sutarčių yra savo jėgomis pristatęs ir sumontavęs HCI</w:t>
            </w:r>
            <w:r w:rsidRPr="003E71B1">
              <w:rPr>
                <w:rStyle w:val="FootnoteReference"/>
                <w:rFonts w:asciiTheme="minorHAnsi" w:cstheme="minorHAnsi"/>
                <w:sz w:val="22"/>
                <w:szCs w:val="22"/>
              </w:rPr>
              <w:footnoteReference w:id="3"/>
            </w:r>
            <w:r w:rsidRPr="003E71B1">
              <w:rPr>
                <w:rFonts w:asciiTheme="minorHAnsi" w:cstheme="minorHAnsi"/>
                <w:sz w:val="22"/>
                <w:szCs w:val="22"/>
              </w:rPr>
              <w:t xml:space="preserve"> (angl. </w:t>
            </w:r>
            <w:proofErr w:type="spellStart"/>
            <w:r w:rsidRPr="003E71B1">
              <w:rPr>
                <w:rFonts w:asciiTheme="minorHAnsi" w:cstheme="minorHAnsi"/>
                <w:sz w:val="22"/>
                <w:szCs w:val="22"/>
              </w:rPr>
              <w:t>Hyper-Converged</w:t>
            </w:r>
            <w:proofErr w:type="spellEnd"/>
            <w:r w:rsidRPr="003E71B1">
              <w:rPr>
                <w:rFonts w:asciiTheme="minorHAnsi" w:cstheme="minorHAnsi"/>
                <w:sz w:val="22"/>
                <w:szCs w:val="22"/>
              </w:rPr>
              <w:t xml:space="preserve"> </w:t>
            </w:r>
            <w:proofErr w:type="spellStart"/>
            <w:r w:rsidRPr="003E71B1">
              <w:rPr>
                <w:rFonts w:asciiTheme="minorHAnsi" w:cstheme="minorHAnsi"/>
                <w:sz w:val="22"/>
                <w:szCs w:val="22"/>
              </w:rPr>
              <w:t>Infrastructure</w:t>
            </w:r>
            <w:proofErr w:type="spellEnd"/>
            <w:r w:rsidRPr="003E71B1">
              <w:rPr>
                <w:rFonts w:asciiTheme="minorHAnsi" w:cstheme="minorHAnsi"/>
                <w:sz w:val="22"/>
                <w:szCs w:val="22"/>
              </w:rPr>
              <w:t xml:space="preserve">) arba lygiavertę infrastruktūrą, kurių vertė buvo ne mažesnė kaip </w:t>
            </w:r>
            <w:r w:rsidR="00CC00AF" w:rsidRPr="003E71B1">
              <w:rPr>
                <w:rFonts w:asciiTheme="minorHAnsi" w:cstheme="minorHAnsi"/>
                <w:b/>
                <w:sz w:val="22"/>
                <w:szCs w:val="22"/>
              </w:rPr>
              <w:t>29</w:t>
            </w:r>
            <w:r w:rsidRPr="003E71B1">
              <w:rPr>
                <w:rFonts w:asciiTheme="minorHAnsi" w:cstheme="minorHAnsi"/>
                <w:b/>
                <w:sz w:val="22"/>
                <w:szCs w:val="22"/>
              </w:rPr>
              <w:t>0 000</w:t>
            </w:r>
            <w:r w:rsidRPr="003E71B1">
              <w:rPr>
                <w:rFonts w:asciiTheme="minorHAnsi" w:cstheme="minorHAnsi"/>
                <w:sz w:val="22"/>
                <w:szCs w:val="22"/>
              </w:rPr>
              <w:t xml:space="preserve"> Eur be </w:t>
            </w:r>
            <w:r w:rsidRPr="00A35CB2">
              <w:rPr>
                <w:rFonts w:asciiTheme="minorHAnsi" w:cstheme="minorHAnsi"/>
                <w:sz w:val="22"/>
                <w:szCs w:val="22"/>
              </w:rPr>
              <w:t>PVM.</w:t>
            </w:r>
          </w:p>
          <w:p w14:paraId="2FD3624B" w14:textId="77777777" w:rsidR="00A35CB2" w:rsidRPr="00A35CB2" w:rsidRDefault="00A35CB2" w:rsidP="004D3E71">
            <w:pPr>
              <w:rPr>
                <w:rFonts w:asciiTheme="minorHAnsi" w:cstheme="minorHAnsi"/>
                <w:sz w:val="22"/>
                <w:szCs w:val="22"/>
              </w:rPr>
            </w:pPr>
          </w:p>
          <w:p w14:paraId="5B6EABFD"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Reikalavimai:</w:t>
            </w:r>
          </w:p>
          <w:p w14:paraId="3FC8F375"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1B30B496"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2. tiekėjas gali remtis kitų ūkio subjektų pajėgumais tik tuo atveju, jeigu tie subjektai patys vykdys tą pirkimo sutarties dalį, kuriai reikia jų turimų pajėgumų;</w:t>
            </w:r>
          </w:p>
          <w:p w14:paraId="368C933E"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3. subtiekėjams šis reikalavimas nenustatomas.</w:t>
            </w:r>
          </w:p>
          <w:p w14:paraId="49F98691" w14:textId="77777777" w:rsidR="00A35CB2" w:rsidRPr="00A35CB2" w:rsidRDefault="00A35CB2" w:rsidP="004D3E71">
            <w:pPr>
              <w:rPr>
                <w:rFonts w:asciiTheme="minorHAnsi" w:cstheme="minorHAnsi"/>
                <w:sz w:val="22"/>
                <w:szCs w:val="22"/>
              </w:rPr>
            </w:pPr>
          </w:p>
          <w:p w14:paraId="04AC48BD"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3021" w:type="dxa"/>
          </w:tcPr>
          <w:p w14:paraId="5D3B0222" w14:textId="77777777" w:rsidR="00A35CB2" w:rsidRDefault="00A35CB2" w:rsidP="004D3E71">
            <w:pPr>
              <w:rPr>
                <w:rFonts w:asciiTheme="minorHAnsi" w:cstheme="minorHAnsi"/>
                <w:sz w:val="22"/>
                <w:szCs w:val="22"/>
              </w:rPr>
            </w:pPr>
            <w:r w:rsidRPr="00A35CB2">
              <w:rPr>
                <w:rFonts w:asciiTheme="minorHAnsi" w:cstheme="minorHAnsi"/>
                <w:sz w:val="22"/>
                <w:szCs w:val="22"/>
              </w:rPr>
              <w:t xml:space="preserve">Pagrindinių per paskutinius </w:t>
            </w:r>
            <w:r w:rsidRPr="002C423D">
              <w:rPr>
                <w:rFonts w:asciiTheme="minorHAnsi" w:cstheme="minorHAnsi"/>
                <w:sz w:val="22"/>
                <w:szCs w:val="22"/>
              </w:rPr>
              <w:t xml:space="preserve">3 metus </w:t>
            </w:r>
            <w:r w:rsidRPr="00A35CB2">
              <w:rPr>
                <w:rFonts w:asciiTheme="minorHAnsi" w:cstheme="minorHAnsi"/>
                <w:sz w:val="22"/>
                <w:szCs w:val="22"/>
              </w:rPr>
              <w:t>patiektų prekių sąrašas, kuriame nurodytos prekių bendros sumos, datos ir prekių gavėjai (tiek viešieji, tiek privatieji). Perkančioji organizacija reikalauja kartu pateikti užsakovų pažymas, kuriose būtų nurodytos prekių bendros sumos, datos ir vieta, prekių gavėjai, ar prekės buvo pristatytos ir sumontuotos tinkamai.</w:t>
            </w:r>
          </w:p>
          <w:p w14:paraId="606F28E4" w14:textId="10B49420" w:rsidR="002C423D" w:rsidRPr="00A35CB2" w:rsidRDefault="002C423D" w:rsidP="004D3E71">
            <w:pPr>
              <w:rPr>
                <w:rFonts w:asciiTheme="minorHAnsi" w:cstheme="minorHAnsi"/>
                <w:sz w:val="22"/>
                <w:szCs w:val="22"/>
              </w:rPr>
            </w:pPr>
            <w:bookmarkStart w:id="55" w:name="_GoBack"/>
            <w:r w:rsidRPr="002C423D">
              <w:rPr>
                <w:rFonts w:asciiTheme="minorHAnsi" w:cstheme="minorHAnsi"/>
                <w:b/>
                <w:sz w:val="22"/>
                <w:szCs w:val="22"/>
              </w:rPr>
              <w:t>Pastaba</w:t>
            </w:r>
            <w:bookmarkEnd w:id="55"/>
            <w:r w:rsidRPr="002C423D">
              <w:rPr>
                <w:rFonts w:asciiTheme="minorHAnsi" w:cstheme="minorHAnsi"/>
                <w:sz w:val="22"/>
                <w:szCs w:val="22"/>
              </w:rPr>
              <w:t>.  Perkančioji organizacija, siekdama įsitikinti arba patikslinti pateiktą informaciją apie sutartį (-</w:t>
            </w:r>
            <w:proofErr w:type="spellStart"/>
            <w:r w:rsidRPr="002C423D">
              <w:rPr>
                <w:rFonts w:asciiTheme="minorHAnsi" w:cstheme="minorHAnsi"/>
                <w:sz w:val="22"/>
                <w:szCs w:val="22"/>
              </w:rPr>
              <w:t>is</w:t>
            </w:r>
            <w:proofErr w:type="spellEnd"/>
            <w:r w:rsidRPr="002C423D">
              <w:rPr>
                <w:rFonts w:asciiTheme="minorHAnsi" w:cstheme="minorHAnsi"/>
                <w:sz w:val="22"/>
                <w:szCs w:val="22"/>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pirkėjus.</w:t>
            </w:r>
          </w:p>
        </w:tc>
      </w:tr>
      <w:tr w:rsidR="00A35CB2" w:rsidRPr="00A35CB2" w14:paraId="24C619C4" w14:textId="77777777" w:rsidTr="004D3E71">
        <w:tc>
          <w:tcPr>
            <w:tcW w:w="562" w:type="dxa"/>
          </w:tcPr>
          <w:p w14:paraId="160BA903"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2.</w:t>
            </w:r>
          </w:p>
        </w:tc>
        <w:tc>
          <w:tcPr>
            <w:tcW w:w="5478" w:type="dxa"/>
          </w:tcPr>
          <w:p w14:paraId="585F8C17" w14:textId="4E49A2C2" w:rsidR="00A35CB2" w:rsidRPr="00A35CB2" w:rsidRDefault="00A35CB2" w:rsidP="004D3E71">
            <w:pPr>
              <w:rPr>
                <w:rFonts w:asciiTheme="minorHAnsi" w:cstheme="minorHAnsi"/>
                <w:sz w:val="22"/>
                <w:szCs w:val="22"/>
              </w:rPr>
            </w:pPr>
            <w:r w:rsidRPr="00A35CB2">
              <w:rPr>
                <w:rFonts w:asciiTheme="minorHAnsi" w:cstheme="minorHAnsi"/>
                <w:sz w:val="22"/>
                <w:szCs w:val="22"/>
              </w:rPr>
              <w:t xml:space="preserve">Tiekėjas sutarties įgyvendinimui turi duomenų kopijavimo posistemės diegimo ir konfigūravimo specialistą, kuris turi tiekėjo siūlomos duomenų kopijavimo posistemės programinės įrangos gamintojo ne ankščiau kaip prieš </w:t>
            </w:r>
            <w:r w:rsidR="00CC00AF">
              <w:rPr>
                <w:rFonts w:asciiTheme="minorHAnsi" w:cstheme="minorHAnsi"/>
                <w:sz w:val="22"/>
                <w:szCs w:val="22"/>
              </w:rPr>
              <w:t>7</w:t>
            </w:r>
            <w:r w:rsidRPr="00A35CB2">
              <w:rPr>
                <w:rFonts w:asciiTheme="minorHAnsi" w:cstheme="minorHAnsi"/>
                <w:sz w:val="22"/>
                <w:szCs w:val="22"/>
              </w:rPr>
              <w:t xml:space="preserve"> metus išduotą sertifikatą, patvirtinantį kad specialistas yra susipažinęs su tiekėjo siūlomu programinės įrangos gamintojo produktu ir yra įgijęs specifines diegimo ir konfigūravimo žinias; arba lygiavertis dokumentas.</w:t>
            </w:r>
          </w:p>
          <w:p w14:paraId="648E2A71" w14:textId="77777777" w:rsidR="00A35CB2" w:rsidRPr="00A35CB2" w:rsidRDefault="00A35CB2" w:rsidP="004D3E71">
            <w:pPr>
              <w:rPr>
                <w:rFonts w:asciiTheme="minorHAnsi" w:cstheme="minorHAnsi"/>
                <w:sz w:val="22"/>
                <w:szCs w:val="22"/>
              </w:rPr>
            </w:pPr>
          </w:p>
          <w:p w14:paraId="3CFF13F5"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lastRenderedPageBreak/>
              <w:t>Reikalavimai:</w:t>
            </w:r>
          </w:p>
          <w:p w14:paraId="20AD6EDB"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1. jeigu pasiūlymą teikia ūkio subjektų grupė – reikalavimą turi atitikti ūkio subjektų grupės nario (-</w:t>
            </w:r>
            <w:proofErr w:type="spellStart"/>
            <w:r w:rsidRPr="00A35CB2">
              <w:rPr>
                <w:rFonts w:asciiTheme="minorHAnsi" w:cstheme="minorHAnsi"/>
                <w:sz w:val="22"/>
                <w:szCs w:val="22"/>
              </w:rPr>
              <w:t>ių</w:t>
            </w:r>
            <w:proofErr w:type="spellEnd"/>
            <w:r w:rsidRPr="00A35CB2">
              <w:rPr>
                <w:rFonts w:asciiTheme="minorHAnsi" w:cstheme="minorHAnsi"/>
                <w:sz w:val="22"/>
                <w:szCs w:val="22"/>
              </w:rPr>
              <w:t>) specialistai, atsižvelgiant į jų prisiimamus įsipareigojimus pirkimo sutarčiai vykdyti;</w:t>
            </w:r>
          </w:p>
          <w:p w14:paraId="38827AA9"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2. tiekėjas gali remtis kitų ūkio subjektų pajėgumais tik tuo atveju, jeigu tie subjektai (jų darbuotojai) patys vykdys tą pirkimo sutarties dalį, kuriai reikia jų turimų pajėgumų;</w:t>
            </w:r>
          </w:p>
          <w:p w14:paraId="00A87A98"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3021" w:type="dxa"/>
          </w:tcPr>
          <w:p w14:paraId="5A73BA7C"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lastRenderedPageBreak/>
              <w:t>Kvalifikaciją liudijančių galiojančių sertifikatų kopijos, kiti patirtį bei žinias pagrindžiantys dokumentai.</w:t>
            </w:r>
          </w:p>
        </w:tc>
      </w:tr>
      <w:tr w:rsidR="00A35CB2" w:rsidRPr="00A35CB2" w14:paraId="7907C7DF" w14:textId="77777777" w:rsidTr="004D3E71">
        <w:tc>
          <w:tcPr>
            <w:tcW w:w="562" w:type="dxa"/>
          </w:tcPr>
          <w:p w14:paraId="5ED736AA"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3.</w:t>
            </w:r>
          </w:p>
        </w:tc>
        <w:tc>
          <w:tcPr>
            <w:tcW w:w="5478" w:type="dxa"/>
          </w:tcPr>
          <w:p w14:paraId="0158F606" w14:textId="660AB47B" w:rsidR="00A35CB2" w:rsidRPr="00A35CB2" w:rsidRDefault="00A35CB2" w:rsidP="004D3E71">
            <w:pPr>
              <w:rPr>
                <w:rFonts w:asciiTheme="minorHAnsi" w:cstheme="minorHAnsi"/>
                <w:sz w:val="22"/>
                <w:szCs w:val="22"/>
              </w:rPr>
            </w:pPr>
            <w:r w:rsidRPr="00A35CB2">
              <w:rPr>
                <w:rFonts w:asciiTheme="minorHAnsi" w:cstheme="minorHAnsi"/>
                <w:sz w:val="22"/>
                <w:szCs w:val="22"/>
              </w:rPr>
              <w:t xml:space="preserve">Tiekėjas sutarties įgyvendinimui turi aukšto patikimumo skaičiavimo resursų posistemės diegimo ir konfigūravimo specialistą, kuris turi tiekėjo siūlomos aukšto patikimumo skaičiavimo resursų posistemės programinės įrangos gamintojo ne ankščiau kaip prieš </w:t>
            </w:r>
            <w:r w:rsidR="00CC00AF">
              <w:rPr>
                <w:rFonts w:asciiTheme="minorHAnsi" w:cstheme="minorHAnsi"/>
                <w:sz w:val="22"/>
                <w:szCs w:val="22"/>
              </w:rPr>
              <w:t>7</w:t>
            </w:r>
            <w:r w:rsidRPr="00A35CB2">
              <w:rPr>
                <w:rFonts w:asciiTheme="minorHAnsi" w:cstheme="minorHAnsi"/>
                <w:sz w:val="22"/>
                <w:szCs w:val="22"/>
              </w:rPr>
              <w:t xml:space="preserve"> metus išduotą sertifikatą, patvirtinantį kad specialistas yra susipažinęs su tiekėjo siūlomu programinės įrangos gamintojo produktu ir yra įgijęs specifines diegimo ir konfigūravimo žinias; arba lygiavertis dokumentas.</w:t>
            </w:r>
          </w:p>
          <w:p w14:paraId="4CE2E4A0" w14:textId="77777777" w:rsidR="00A35CB2" w:rsidRPr="00A35CB2" w:rsidRDefault="00A35CB2" w:rsidP="004D3E71">
            <w:pPr>
              <w:rPr>
                <w:rFonts w:asciiTheme="minorHAnsi" w:cstheme="minorHAnsi"/>
                <w:sz w:val="22"/>
                <w:szCs w:val="22"/>
              </w:rPr>
            </w:pPr>
          </w:p>
          <w:p w14:paraId="37699A8E"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Reikalavimai:</w:t>
            </w:r>
          </w:p>
          <w:p w14:paraId="695B0303"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1. jeigu pasiūlymą teikia ūkio subjektų grupė – reikalavimą turi atitikti ūkio subjektų grupės nario (-</w:t>
            </w:r>
            <w:proofErr w:type="spellStart"/>
            <w:r w:rsidRPr="00A35CB2">
              <w:rPr>
                <w:rFonts w:asciiTheme="minorHAnsi" w:cstheme="minorHAnsi"/>
                <w:sz w:val="22"/>
                <w:szCs w:val="22"/>
              </w:rPr>
              <w:t>ių</w:t>
            </w:r>
            <w:proofErr w:type="spellEnd"/>
            <w:r w:rsidRPr="00A35CB2">
              <w:rPr>
                <w:rFonts w:asciiTheme="minorHAnsi" w:cstheme="minorHAnsi"/>
                <w:sz w:val="22"/>
                <w:szCs w:val="22"/>
              </w:rPr>
              <w:t>) specialistai, atsižvelgiant į jų prisiimamus įsipareigojimus pirkimo sutarčiai vykdyti;</w:t>
            </w:r>
          </w:p>
          <w:p w14:paraId="638F8A97"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2. tiekėjas gali remtis kitų ūkio subjektų pajėgumais tik tuo atveju, jeigu tie subjektai (jų darbuotojai) patys vykdys tą pirkimo sutarties dalį, kuriai reikia jų turimų pajėgumų;</w:t>
            </w:r>
          </w:p>
          <w:p w14:paraId="14C4B067"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3021" w:type="dxa"/>
          </w:tcPr>
          <w:p w14:paraId="58B02852" w14:textId="77777777" w:rsidR="00A35CB2" w:rsidRPr="00A35CB2" w:rsidRDefault="00A35CB2" w:rsidP="004D3E71">
            <w:pPr>
              <w:rPr>
                <w:rFonts w:asciiTheme="minorHAnsi" w:cstheme="minorHAnsi"/>
                <w:sz w:val="22"/>
                <w:szCs w:val="22"/>
              </w:rPr>
            </w:pPr>
            <w:r w:rsidRPr="00A35CB2">
              <w:rPr>
                <w:rFonts w:asciiTheme="minorHAnsi" w:cstheme="minorHAnsi"/>
                <w:sz w:val="22"/>
                <w:szCs w:val="22"/>
              </w:rPr>
              <w:t>Kvalifikaciją liudijančių galiojančių sertifikatų kopijos, kiti patirtį bei žinias pagrindžiantys dokumentai.</w:t>
            </w:r>
          </w:p>
        </w:tc>
      </w:tr>
    </w:tbl>
    <w:p w14:paraId="3A8BC068" w14:textId="77777777" w:rsidR="00A35CB2" w:rsidRPr="00A35CB2" w:rsidRDefault="00A35CB2" w:rsidP="00A35CB2">
      <w:pPr>
        <w:rPr>
          <w:rFonts w:cstheme="minorHAnsi"/>
          <w:sz w:val="22"/>
          <w:szCs w:val="22"/>
        </w:rPr>
      </w:pPr>
    </w:p>
    <w:p w14:paraId="1E611C24" w14:textId="77777777" w:rsidR="00A35CB2" w:rsidRPr="00A35CB2" w:rsidRDefault="00A35CB2" w:rsidP="00A35CB2">
      <w:pPr>
        <w:pStyle w:val="ListParagraph"/>
        <w:numPr>
          <w:ilvl w:val="0"/>
          <w:numId w:val="22"/>
        </w:numPr>
        <w:spacing w:after="0" w:line="20" w:lineRule="atLeast"/>
        <w:jc w:val="both"/>
        <w:rPr>
          <w:rFonts w:cstheme="minorHAnsi"/>
          <w:sz w:val="22"/>
          <w:szCs w:val="22"/>
        </w:rPr>
      </w:pPr>
      <w:r w:rsidRPr="00A35CB2">
        <w:rPr>
          <w:rFonts w:cstheme="minorHAnsi"/>
          <w:sz w:val="22"/>
          <w:szCs w:val="22"/>
        </w:rPr>
        <w:t>Šiame priede reikalaujama kvalifikacija turi būti įgyta iki pasiūlymų pateikimo termino pabaigos.</w:t>
      </w:r>
    </w:p>
    <w:p w14:paraId="0E815A10" w14:textId="77777777" w:rsidR="00A35CB2" w:rsidRPr="00A35CB2" w:rsidRDefault="00A35CB2" w:rsidP="00A35CB2">
      <w:pPr>
        <w:rPr>
          <w:rFonts w:cstheme="minorHAnsi"/>
          <w:sz w:val="22"/>
          <w:szCs w:val="22"/>
        </w:rPr>
      </w:pPr>
    </w:p>
    <w:p w14:paraId="28DC35C0" w14:textId="77777777" w:rsidR="00A35CB2" w:rsidRPr="00A35CB2" w:rsidRDefault="00A35CB2" w:rsidP="002D71B6">
      <w:pPr>
        <w:spacing w:before="60" w:after="60" w:line="256" w:lineRule="auto"/>
        <w:rPr>
          <w:rFonts w:eastAsiaTheme="minorHAnsi" w:cstheme="minorHAnsi"/>
          <w:b/>
          <w:bCs/>
        </w:rPr>
      </w:pPr>
    </w:p>
    <w:p w14:paraId="0DB8D79C" w14:textId="1C66A532" w:rsidR="00A35CB2" w:rsidRDefault="00A35CB2" w:rsidP="002D71B6">
      <w:pPr>
        <w:spacing w:before="60" w:after="60" w:line="256" w:lineRule="auto"/>
        <w:rPr>
          <w:rFonts w:eastAsiaTheme="minorHAnsi" w:cstheme="minorHAnsi"/>
          <w:b/>
          <w:bCs/>
        </w:rPr>
        <w:sectPr w:rsidR="00A35CB2" w:rsidSect="00153FC8">
          <w:footerReference w:type="first" r:id="rId15"/>
          <w:pgSz w:w="12240" w:h="15840"/>
          <w:pgMar w:top="1134" w:right="567" w:bottom="1134" w:left="1701" w:header="720" w:footer="720" w:gutter="0"/>
          <w:pgNumType w:start="13"/>
          <w:cols w:space="720"/>
          <w:titlePg/>
          <w:docGrid w:linePitch="360"/>
        </w:sectPr>
      </w:pPr>
    </w:p>
    <w:p w14:paraId="5D0FDE6E" w14:textId="192DF949" w:rsidR="008D704D" w:rsidRPr="00846D1B" w:rsidRDefault="008D704D" w:rsidP="008D704D">
      <w:pPr>
        <w:pStyle w:val="Heading2"/>
        <w:ind w:left="5103"/>
        <w:rPr>
          <w:rFonts w:asciiTheme="minorHAnsi" w:hAnsiTheme="minorHAnsi" w:cstheme="minorHAnsi"/>
          <w:color w:val="auto"/>
          <w:sz w:val="21"/>
          <w:szCs w:val="21"/>
        </w:rPr>
      </w:pPr>
      <w:bookmarkStart w:id="56" w:name="_Ref38291379"/>
      <w:bookmarkStart w:id="57" w:name="_Ref38291394"/>
      <w:bookmarkStart w:id="58" w:name="_Ref38898251"/>
      <w:bookmarkStart w:id="59" w:name="_Toc126333943"/>
      <w:r w:rsidRPr="00846D1B">
        <w:rPr>
          <w:rFonts w:asciiTheme="minorHAnsi" w:eastAsia="Calibri" w:hAnsiTheme="minorHAnsi" w:cstheme="minorHAnsi"/>
          <w:color w:val="auto"/>
          <w:sz w:val="21"/>
          <w:szCs w:val="21"/>
        </w:rPr>
        <w:lastRenderedPageBreak/>
        <w:t xml:space="preserve">Pirkimo sąlygų </w:t>
      </w:r>
      <w:r w:rsidR="00F1334C" w:rsidRPr="00846D1B">
        <w:rPr>
          <w:rFonts w:asciiTheme="minorHAnsi" w:eastAsia="Calibri" w:hAnsiTheme="minorHAnsi" w:cstheme="minorHAnsi"/>
          <w:color w:val="auto"/>
          <w:sz w:val="21"/>
          <w:szCs w:val="21"/>
        </w:rPr>
        <w:t>5</w:t>
      </w:r>
      <w:r w:rsidRPr="00846D1B">
        <w:rPr>
          <w:rFonts w:asciiTheme="minorHAnsi" w:eastAsia="Calibri" w:hAnsiTheme="minorHAnsi" w:cstheme="minorHAnsi"/>
          <w:color w:val="auto"/>
          <w:sz w:val="21"/>
          <w:szCs w:val="21"/>
        </w:rPr>
        <w:t xml:space="preserve"> priedas „EBVPD“ </w:t>
      </w:r>
      <w:r w:rsidRPr="00846D1B">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3021B7" w:rsidRDefault="00B970B0" w:rsidP="00BE1858">
      <w:pPr>
        <w:pStyle w:val="Subtitle"/>
        <w:jc w:val="center"/>
        <w:rPr>
          <w:b/>
          <w:bCs/>
          <w:smallCaps/>
        </w:rPr>
      </w:pPr>
      <w:r w:rsidRPr="003021B7">
        <w:rPr>
          <w:b/>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46D1B" w:rsidRDefault="008D704D" w:rsidP="008D704D">
      <w:pPr>
        <w:pStyle w:val="Heading2"/>
        <w:ind w:left="5103"/>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126333944"/>
      <w:r w:rsidRPr="00846D1B">
        <w:rPr>
          <w:rFonts w:asciiTheme="minorHAnsi" w:eastAsia="Calibri" w:hAnsiTheme="minorHAnsi" w:cstheme="minorHAnsi"/>
          <w:color w:val="auto"/>
          <w:sz w:val="21"/>
          <w:szCs w:val="21"/>
        </w:rPr>
        <w:lastRenderedPageBreak/>
        <w:t xml:space="preserve">Pirkimo sąlygų </w:t>
      </w:r>
      <w:r w:rsidR="00F1334C" w:rsidRPr="00846D1B">
        <w:rPr>
          <w:rFonts w:asciiTheme="minorHAnsi" w:eastAsia="Calibri" w:hAnsiTheme="minorHAnsi" w:cstheme="minorHAnsi"/>
          <w:color w:val="auto"/>
          <w:sz w:val="21"/>
          <w:szCs w:val="21"/>
        </w:rPr>
        <w:t>6</w:t>
      </w:r>
      <w:r w:rsidRPr="00846D1B">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1B01CA48" w14:textId="77777777" w:rsidR="002811E2" w:rsidRPr="002811E2" w:rsidRDefault="002811E2" w:rsidP="002811E2">
      <w:pPr>
        <w:jc w:val="center"/>
        <w:rPr>
          <w:rFonts w:cstheme="minorHAnsi"/>
          <w:b/>
          <w:sz w:val="28"/>
          <w:szCs w:val="28"/>
        </w:rPr>
      </w:pPr>
      <w:r w:rsidRPr="002811E2">
        <w:rPr>
          <w:rFonts w:cstheme="minorHAnsi"/>
          <w:b/>
          <w:sz w:val="28"/>
          <w:szCs w:val="28"/>
        </w:rPr>
        <w:t>PASIŪLYMAS</w:t>
      </w:r>
    </w:p>
    <w:p w14:paraId="2EB9FA75" w14:textId="589E4CD5" w:rsidR="002811E2" w:rsidRPr="002811E2" w:rsidRDefault="002811E2" w:rsidP="002811E2">
      <w:pPr>
        <w:jc w:val="center"/>
        <w:rPr>
          <w:rFonts w:cstheme="minorHAnsi"/>
          <w:b/>
          <w:sz w:val="28"/>
          <w:szCs w:val="28"/>
        </w:rPr>
      </w:pPr>
      <w:r w:rsidRPr="002811E2">
        <w:rPr>
          <w:rFonts w:cstheme="minorHAnsi"/>
          <w:b/>
          <w:sz w:val="28"/>
          <w:szCs w:val="28"/>
        </w:rPr>
        <w:t xml:space="preserve">DĖL </w:t>
      </w:r>
      <w:r w:rsidR="00D27BDE" w:rsidRPr="00D27BDE">
        <w:rPr>
          <w:rFonts w:cstheme="minorHAnsi"/>
          <w:b/>
          <w:sz w:val="28"/>
          <w:szCs w:val="28"/>
        </w:rPr>
        <w:t>DIDELIO NAŠUMO SERVERIŲ KLASTERI</w:t>
      </w:r>
      <w:r w:rsidR="00D27BDE">
        <w:rPr>
          <w:rFonts w:cstheme="minorHAnsi"/>
          <w:b/>
          <w:sz w:val="28"/>
          <w:szCs w:val="28"/>
        </w:rPr>
        <w:t>O</w:t>
      </w:r>
      <w:r w:rsidR="00D27BDE" w:rsidRPr="00D27BDE">
        <w:rPr>
          <w:rFonts w:cstheme="minorHAnsi"/>
          <w:b/>
          <w:sz w:val="28"/>
          <w:szCs w:val="28"/>
        </w:rPr>
        <w:t xml:space="preserve"> ML/AI/HPC PASLAUGŲ TEIKIMUI </w:t>
      </w:r>
      <w:r w:rsidRPr="002811E2">
        <w:rPr>
          <w:rFonts w:cstheme="minorHAnsi"/>
          <w:b/>
          <w:sz w:val="28"/>
          <w:szCs w:val="28"/>
        </w:rPr>
        <w:t>PIRKIMO</w:t>
      </w:r>
    </w:p>
    <w:p w14:paraId="2FCA2D3A" w14:textId="77777777" w:rsidR="002811E2" w:rsidRPr="002811E2" w:rsidRDefault="002811E2" w:rsidP="002811E2">
      <w:pPr>
        <w:jc w:val="center"/>
        <w:rPr>
          <w:rFonts w:cstheme="minorHAnsi"/>
        </w:rPr>
      </w:pPr>
      <w:bookmarkStart w:id="64" w:name="_Hlk167961269"/>
      <w:r w:rsidRPr="002811E2">
        <w:rPr>
          <w:rFonts w:cstheme="minorHAnsi"/>
        </w:rPr>
        <w:t>(pridedama atskiru dokumentu)</w:t>
      </w:r>
    </w:p>
    <w:bookmarkEnd w:id="64"/>
    <w:p w14:paraId="34D360E5" w14:textId="77777777" w:rsidR="002811E2" w:rsidRDefault="002811E2" w:rsidP="00982EE8">
      <w:pPr>
        <w:jc w:val="center"/>
        <w:rPr>
          <w:rFonts w:cstheme="minorHAnsi"/>
          <w:color w:val="7030A0"/>
        </w:rPr>
      </w:pPr>
    </w:p>
    <w:p w14:paraId="21A2D804" w14:textId="77777777" w:rsidR="002811E2" w:rsidRDefault="002811E2" w:rsidP="00982EE8">
      <w:pPr>
        <w:jc w:val="center"/>
        <w:rPr>
          <w:rFonts w:cstheme="minorHAnsi"/>
        </w:rPr>
      </w:pPr>
    </w:p>
    <w:p w14:paraId="326732B8" w14:textId="77777777" w:rsidR="002811E2" w:rsidRDefault="002811E2" w:rsidP="00982EE8">
      <w:pPr>
        <w:jc w:val="center"/>
        <w:rPr>
          <w:rFonts w:cstheme="minorHAnsi"/>
        </w:rPr>
      </w:pPr>
    </w:p>
    <w:p w14:paraId="0A9D7FF0" w14:textId="77777777" w:rsidR="002811E2" w:rsidRDefault="002811E2" w:rsidP="00982EE8">
      <w:pPr>
        <w:jc w:val="center"/>
        <w:rPr>
          <w:rFonts w:cstheme="minorHAnsi"/>
        </w:rPr>
      </w:pPr>
    </w:p>
    <w:p w14:paraId="5A12B57E" w14:textId="3C119C14"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2811E2"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126333945"/>
      <w:r w:rsidRPr="002811E2">
        <w:rPr>
          <w:rFonts w:asciiTheme="minorHAnsi" w:eastAsia="Calibri" w:hAnsiTheme="minorHAnsi" w:cstheme="minorHAnsi"/>
          <w:color w:val="auto"/>
          <w:sz w:val="21"/>
          <w:szCs w:val="21"/>
        </w:rPr>
        <w:t xml:space="preserve">Pirkimo sąlygų </w:t>
      </w:r>
      <w:r w:rsidR="00910C39" w:rsidRPr="002811E2">
        <w:rPr>
          <w:rFonts w:asciiTheme="minorHAnsi" w:eastAsia="Calibri" w:hAnsiTheme="minorHAnsi" w:cstheme="minorHAnsi"/>
          <w:color w:val="auto"/>
          <w:sz w:val="21"/>
          <w:szCs w:val="21"/>
        </w:rPr>
        <w:t>7</w:t>
      </w:r>
      <w:r w:rsidRPr="002811E2">
        <w:rPr>
          <w:rFonts w:asciiTheme="minorHAnsi" w:eastAsia="Calibri" w:hAnsiTheme="minorHAnsi" w:cstheme="minorHAnsi"/>
          <w:color w:val="auto"/>
          <w:sz w:val="21"/>
          <w:szCs w:val="21"/>
        </w:rPr>
        <w:t xml:space="preserve"> priedas „Pasiūlymų vertinimo kriterijai ir sąlygos“</w:t>
      </w:r>
      <w:bookmarkEnd w:id="65"/>
      <w:bookmarkEnd w:id="66"/>
      <w:bookmarkEnd w:id="67"/>
    </w:p>
    <w:p w14:paraId="6A0BFF9D" w14:textId="77777777" w:rsidR="00FE3D7C" w:rsidRPr="002811E2" w:rsidRDefault="00FE3D7C" w:rsidP="00FE3D7C">
      <w:pPr>
        <w:jc w:val="center"/>
        <w:rPr>
          <w:b/>
          <w:szCs w:val="24"/>
        </w:rPr>
      </w:pPr>
    </w:p>
    <w:p w14:paraId="5D3ED609" w14:textId="627F213F" w:rsidR="00203725" w:rsidRPr="003021B7" w:rsidRDefault="00FE3D7C" w:rsidP="002058A4">
      <w:pPr>
        <w:pStyle w:val="Subtitle"/>
        <w:jc w:val="center"/>
        <w:rPr>
          <w:rFonts w:cstheme="minorHAnsi"/>
          <w:b/>
          <w:bCs/>
          <w:smallCaps/>
          <w:sz w:val="22"/>
          <w:szCs w:val="22"/>
        </w:rPr>
      </w:pPr>
      <w:r w:rsidRPr="003021B7">
        <w:rPr>
          <w:b/>
        </w:rPr>
        <w:t>PASIŪLYMŲ VERTINIMO KRITERIJAI</w:t>
      </w:r>
      <w:r w:rsidR="00031A62" w:rsidRPr="003021B7">
        <w:rPr>
          <w:b/>
        </w:rPr>
        <w:t xml:space="preserve"> ir Sąlygos</w:t>
      </w:r>
    </w:p>
    <w:p w14:paraId="0331F798" w14:textId="77777777" w:rsidR="00D27BDE" w:rsidRPr="00E42AD1" w:rsidRDefault="00D27BDE" w:rsidP="00D27BDE">
      <w:pPr>
        <w:pStyle w:val="ListParagraph"/>
        <w:numPr>
          <w:ilvl w:val="0"/>
          <w:numId w:val="20"/>
        </w:numPr>
        <w:tabs>
          <w:tab w:val="left" w:pos="993"/>
        </w:tabs>
        <w:spacing w:after="0" w:line="240" w:lineRule="auto"/>
        <w:ind w:left="0" w:firstLine="567"/>
        <w:jc w:val="both"/>
        <w:rPr>
          <w:rFonts w:cs="Tahoma"/>
          <w:noProof/>
          <w:sz w:val="22"/>
          <w:szCs w:val="22"/>
        </w:rPr>
      </w:pPr>
      <w:r w:rsidRPr="00E42AD1">
        <w:rPr>
          <w:rFonts w:cs="Tahoma"/>
          <w:noProof/>
          <w:sz w:val="22"/>
          <w:szCs w:val="22"/>
        </w:rPr>
        <w:t>Perkančioji organizacija ekonomiškai naudingiausią pasiūlymą išrenka pagal kainą ir kokybę, vadovaudamasi šiame priede nustatyta vertinimo tvarka.</w:t>
      </w:r>
    </w:p>
    <w:p w14:paraId="2EF4267C" w14:textId="77777777" w:rsidR="00D27BDE" w:rsidRPr="00E42AD1" w:rsidRDefault="00D27BDE" w:rsidP="00D27BDE">
      <w:pPr>
        <w:pStyle w:val="ListParagraph"/>
        <w:numPr>
          <w:ilvl w:val="0"/>
          <w:numId w:val="20"/>
        </w:numPr>
        <w:tabs>
          <w:tab w:val="left" w:pos="993"/>
        </w:tabs>
        <w:spacing w:after="0" w:line="240" w:lineRule="auto"/>
        <w:ind w:left="0" w:firstLine="567"/>
        <w:jc w:val="both"/>
        <w:rPr>
          <w:rFonts w:cs="Tahoma"/>
          <w:noProof/>
          <w:sz w:val="22"/>
          <w:szCs w:val="22"/>
        </w:rPr>
      </w:pPr>
      <w:r w:rsidRPr="00E42AD1">
        <w:rPr>
          <w:rFonts w:cs="Tahoma"/>
          <w:sz w:val="22"/>
          <w:szCs w:val="22"/>
          <w:shd w:val="clear" w:color="auto" w:fill="FFFFFF"/>
        </w:rPr>
        <w:t>Pasiūlyme nurodyta pirkimo objekto kaina visais atvejais laikoma neįprastai maža, jeigu ji</w:t>
      </w:r>
      <w:r w:rsidRPr="00E42AD1">
        <w:rPr>
          <w:rFonts w:cs="Tahoma"/>
          <w:sz w:val="22"/>
          <w:szCs w:val="22"/>
        </w:rPr>
        <w:br/>
      </w:r>
      <w:r w:rsidRPr="00E42AD1">
        <w:rPr>
          <w:rFonts w:cs="Tahoma"/>
          <w:sz w:val="22"/>
          <w:szCs w:val="22"/>
          <w:shd w:val="clear" w:color="auto" w:fill="FFFFFF"/>
        </w:rPr>
        <w:t>yra 30 ir daugiau procentų mažesnė už visų tiekėjų, kurių pasiūlymai neatmesti dėl kitų priežasčių ir</w:t>
      </w:r>
      <w:r w:rsidRPr="00E42AD1">
        <w:rPr>
          <w:rFonts w:cs="Tahoma"/>
          <w:sz w:val="22"/>
          <w:szCs w:val="22"/>
        </w:rPr>
        <w:br/>
      </w:r>
      <w:r w:rsidRPr="00E42AD1">
        <w:rPr>
          <w:rFonts w:cs="Tahoma"/>
          <w:sz w:val="22"/>
          <w:szCs w:val="22"/>
          <w:shd w:val="clear" w:color="auto" w:fill="FFFFFF"/>
        </w:rPr>
        <w:t>kurių pasiūlyta kaina neviršija pirkimui skirtų lėšų, nustatytų ir užfiksuotų perkančiosios organizacijos</w:t>
      </w:r>
      <w:r w:rsidRPr="00E42AD1">
        <w:rPr>
          <w:rFonts w:cs="Tahoma"/>
          <w:sz w:val="22"/>
          <w:szCs w:val="22"/>
        </w:rPr>
        <w:br/>
      </w:r>
      <w:r w:rsidRPr="00E42AD1">
        <w:rPr>
          <w:rFonts w:cs="Tahoma"/>
          <w:sz w:val="22"/>
          <w:szCs w:val="22"/>
          <w:shd w:val="clear" w:color="auto" w:fill="FFFFFF"/>
        </w:rPr>
        <w:t>rengiamuose dokumentuose prieš pradedant pirkimo procedūrą, pasiūlytos kainos aritmetinį vidurkį.</w:t>
      </w:r>
    </w:p>
    <w:p w14:paraId="67753997" w14:textId="77777777" w:rsidR="00D27BDE" w:rsidRPr="00E42AD1" w:rsidRDefault="00D27BDE" w:rsidP="00D27BDE">
      <w:pPr>
        <w:pStyle w:val="ListParagraph"/>
        <w:numPr>
          <w:ilvl w:val="0"/>
          <w:numId w:val="20"/>
        </w:numPr>
        <w:tabs>
          <w:tab w:val="left" w:pos="993"/>
        </w:tabs>
        <w:spacing w:after="0" w:line="240" w:lineRule="auto"/>
        <w:ind w:left="0" w:firstLine="567"/>
        <w:jc w:val="both"/>
        <w:rPr>
          <w:rFonts w:cs="Tahoma"/>
          <w:noProof/>
          <w:sz w:val="22"/>
          <w:szCs w:val="22"/>
        </w:rPr>
      </w:pPr>
      <w:r w:rsidRPr="00E42AD1">
        <w:rPr>
          <w:rFonts w:cs="Tahoma"/>
          <w:noProof/>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172F3ED5" w14:textId="0A8A3737" w:rsidR="00D27BDE" w:rsidRPr="00E42AD1" w:rsidRDefault="00D27BDE" w:rsidP="00D27BDE">
      <w:pPr>
        <w:pStyle w:val="ListParagraph"/>
        <w:numPr>
          <w:ilvl w:val="0"/>
          <w:numId w:val="20"/>
        </w:numPr>
        <w:tabs>
          <w:tab w:val="left" w:pos="993"/>
        </w:tabs>
        <w:spacing w:after="0" w:line="240" w:lineRule="auto"/>
        <w:ind w:left="0" w:firstLine="567"/>
        <w:jc w:val="both"/>
        <w:rPr>
          <w:rFonts w:cs="Tahoma"/>
          <w:noProof/>
          <w:sz w:val="22"/>
          <w:szCs w:val="22"/>
        </w:rPr>
      </w:pPr>
      <w:r w:rsidRPr="00E42AD1">
        <w:rPr>
          <w:rFonts w:cs="Tahoma"/>
          <w:noProof/>
          <w:sz w:val="22"/>
          <w:szCs w:val="22"/>
        </w:rPr>
        <w:t>Pasiūlymų vertinimo kriterijai:</w:t>
      </w:r>
    </w:p>
    <w:p w14:paraId="7374F78B" w14:textId="77777777" w:rsidR="00D27BDE" w:rsidRPr="00E42AD1" w:rsidRDefault="00D27BDE" w:rsidP="00D27BDE">
      <w:pPr>
        <w:pStyle w:val="ListParagraph"/>
        <w:tabs>
          <w:tab w:val="left" w:pos="993"/>
        </w:tabs>
        <w:spacing w:after="0" w:line="240" w:lineRule="auto"/>
        <w:ind w:left="567"/>
        <w:jc w:val="both"/>
        <w:rPr>
          <w:rFonts w:cs="Tahoma"/>
          <w:noProof/>
          <w:sz w:val="22"/>
          <w:szCs w:val="22"/>
        </w:rPr>
      </w:pPr>
    </w:p>
    <w:tbl>
      <w:tblPr>
        <w:tblW w:w="51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6487"/>
        <w:gridCol w:w="2993"/>
      </w:tblGrid>
      <w:tr w:rsidR="00D27BDE" w:rsidRPr="00D27BDE" w14:paraId="320AED78" w14:textId="77777777" w:rsidTr="00A0584C">
        <w:trPr>
          <w:cantSplit/>
          <w:trHeight w:val="1183"/>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8F4D4" w14:textId="77777777" w:rsidR="00D27BDE" w:rsidRPr="00D27BDE" w:rsidRDefault="00D27BDE" w:rsidP="00D27BDE">
            <w:pPr>
              <w:spacing w:after="200"/>
              <w:jc w:val="center"/>
              <w:rPr>
                <w:rFonts w:cstheme="minorHAnsi"/>
                <w:b/>
                <w:bCs/>
                <w:color w:val="000000" w:themeColor="text1"/>
                <w:sz w:val="22"/>
                <w:szCs w:val="22"/>
                <w:lang w:eastAsia="zh-CN"/>
              </w:rPr>
            </w:pPr>
            <w:r w:rsidRPr="00D27BDE">
              <w:rPr>
                <w:rFonts w:cstheme="minorHAnsi"/>
                <w:b/>
                <w:bCs/>
                <w:color w:val="000000" w:themeColor="text1"/>
                <w:sz w:val="22"/>
                <w:szCs w:val="22"/>
                <w:lang w:eastAsia="zh-CN"/>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55BBA" w14:textId="77777777" w:rsidR="00D27BDE" w:rsidRPr="00D27BDE" w:rsidRDefault="00D27BDE" w:rsidP="00D27BDE">
            <w:pPr>
              <w:spacing w:after="200"/>
              <w:jc w:val="center"/>
              <w:rPr>
                <w:rFonts w:cstheme="minorHAnsi"/>
                <w:b/>
                <w:bCs/>
                <w:color w:val="000000" w:themeColor="text1"/>
                <w:sz w:val="22"/>
                <w:szCs w:val="22"/>
                <w:lang w:eastAsia="zh-CN"/>
              </w:rPr>
            </w:pPr>
            <w:r w:rsidRPr="00D27BDE">
              <w:rPr>
                <w:rFonts w:cstheme="minorHAnsi"/>
                <w:b/>
                <w:bCs/>
                <w:color w:val="000000" w:themeColor="text1"/>
                <w:sz w:val="22"/>
                <w:szCs w:val="22"/>
                <w:lang w:eastAsia="zh-CN"/>
              </w:rPr>
              <w:t>Vertinimo kriterijai</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CF25F" w14:textId="77777777" w:rsidR="00D27BDE" w:rsidRPr="00D27BDE" w:rsidRDefault="00D27BDE" w:rsidP="00D27BDE">
            <w:pPr>
              <w:spacing w:after="200"/>
              <w:ind w:hanging="7"/>
              <w:jc w:val="center"/>
              <w:rPr>
                <w:rFonts w:cstheme="minorHAnsi"/>
                <w:b/>
                <w:bCs/>
                <w:color w:val="000000" w:themeColor="text1"/>
                <w:sz w:val="22"/>
                <w:szCs w:val="22"/>
                <w:lang w:eastAsia="zh-CN"/>
              </w:rPr>
            </w:pPr>
            <w:r w:rsidRPr="00D27BDE">
              <w:rPr>
                <w:rFonts w:cstheme="minorHAnsi"/>
                <w:b/>
                <w:bCs/>
                <w:color w:val="000000" w:themeColor="text1"/>
                <w:sz w:val="22"/>
                <w:szCs w:val="22"/>
                <w:lang w:eastAsia="zh-CN"/>
              </w:rPr>
              <w:t>Lyginamasis kriterijaus svoris ekonominio naudingumo vertinime</w:t>
            </w:r>
          </w:p>
        </w:tc>
      </w:tr>
      <w:tr w:rsidR="00D27BDE" w:rsidRPr="00D27BDE" w14:paraId="0A5FCD31" w14:textId="77777777" w:rsidTr="00A0584C">
        <w:trPr>
          <w:cantSplit/>
          <w:trHeight w:val="529"/>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44EEF5" w14:textId="77777777" w:rsidR="00D27BDE" w:rsidRPr="00D27BDE" w:rsidRDefault="00D27BDE" w:rsidP="00D27BDE">
            <w:pPr>
              <w:spacing w:after="200"/>
              <w:jc w:val="center"/>
              <w:rPr>
                <w:rFonts w:cstheme="minorHAnsi"/>
                <w:color w:val="000000" w:themeColor="text1"/>
                <w:sz w:val="22"/>
                <w:szCs w:val="22"/>
                <w:lang w:eastAsia="zh-CN"/>
              </w:rPr>
            </w:pPr>
            <w:r w:rsidRPr="00D27BDE">
              <w:rPr>
                <w:rFonts w:cstheme="minorHAnsi"/>
                <w:color w:val="000000" w:themeColor="text1"/>
                <w:sz w:val="22"/>
                <w:szCs w:val="22"/>
                <w:lang w:eastAsia="zh-CN"/>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900917" w14:textId="77777777" w:rsidR="00D27BDE" w:rsidRPr="00D27BDE" w:rsidRDefault="00D27BDE" w:rsidP="00D27BDE">
            <w:pPr>
              <w:spacing w:after="200"/>
              <w:rPr>
                <w:rFonts w:cstheme="minorHAnsi"/>
                <w:b/>
                <w:bCs/>
                <w:color w:val="000000" w:themeColor="text1"/>
                <w:sz w:val="22"/>
                <w:szCs w:val="22"/>
                <w:lang w:eastAsia="zh-CN"/>
              </w:rPr>
            </w:pPr>
            <w:r w:rsidRPr="00D27BDE">
              <w:rPr>
                <w:rFonts w:cstheme="minorHAnsi"/>
                <w:b/>
                <w:bCs/>
                <w:color w:val="000000" w:themeColor="text1"/>
                <w:sz w:val="22"/>
                <w:szCs w:val="22"/>
                <w:lang w:eastAsia="zh-CN"/>
              </w:rPr>
              <w:t xml:space="preserve">Pirmas kriterijus </w:t>
            </w:r>
            <w:bookmarkStart w:id="68" w:name="_Hlk139267176"/>
            <w:r w:rsidRPr="00D27BDE">
              <w:rPr>
                <w:rFonts w:cstheme="minorHAnsi"/>
                <w:b/>
                <w:bCs/>
                <w:color w:val="000000" w:themeColor="text1"/>
                <w:sz w:val="22"/>
                <w:szCs w:val="22"/>
                <w:lang w:eastAsia="zh-CN"/>
              </w:rPr>
              <w:t>–</w:t>
            </w:r>
            <w:bookmarkEnd w:id="68"/>
            <w:r w:rsidRPr="00D27BDE">
              <w:rPr>
                <w:rFonts w:cstheme="minorHAnsi"/>
                <w:b/>
                <w:bCs/>
                <w:color w:val="000000" w:themeColor="text1"/>
                <w:sz w:val="22"/>
                <w:szCs w:val="22"/>
                <w:lang w:eastAsia="zh-CN"/>
              </w:rPr>
              <w:t xml:space="preserve"> pasiūlymo kaina (A)</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99A43" w14:textId="116E8BCD" w:rsidR="00D27BDE" w:rsidRPr="00D27BDE" w:rsidRDefault="00D27BDE" w:rsidP="00D27BDE">
            <w:pPr>
              <w:spacing w:after="200"/>
              <w:jc w:val="center"/>
              <w:rPr>
                <w:rFonts w:cstheme="minorHAnsi"/>
                <w:color w:val="000000" w:themeColor="text1"/>
                <w:sz w:val="22"/>
                <w:szCs w:val="22"/>
                <w:lang w:eastAsia="zh-CN"/>
              </w:rPr>
            </w:pPr>
            <w:r w:rsidRPr="00D27BDE">
              <w:rPr>
                <w:rFonts w:cstheme="minorHAnsi"/>
                <w:color w:val="000000" w:themeColor="text1"/>
                <w:sz w:val="22"/>
                <w:szCs w:val="22"/>
                <w:lang w:eastAsia="zh-CN"/>
              </w:rPr>
              <w:t>X=9</w:t>
            </w:r>
            <w:r w:rsidR="00174613">
              <w:rPr>
                <w:rFonts w:cstheme="minorHAnsi"/>
                <w:color w:val="000000" w:themeColor="text1"/>
                <w:sz w:val="22"/>
                <w:szCs w:val="22"/>
                <w:lang w:eastAsia="zh-CN"/>
              </w:rPr>
              <w:t>7</w:t>
            </w:r>
          </w:p>
        </w:tc>
      </w:tr>
      <w:tr w:rsidR="006906FC" w:rsidRPr="00D27BDE" w14:paraId="36971991" w14:textId="77777777" w:rsidTr="00A0584C">
        <w:trPr>
          <w:cantSplit/>
          <w:trHeight w:val="529"/>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05F2B4EE" w14:textId="2F67E467" w:rsidR="006906FC" w:rsidRPr="00D27BDE" w:rsidRDefault="006906FC" w:rsidP="00D27BDE">
            <w:pPr>
              <w:spacing w:after="200"/>
              <w:jc w:val="center"/>
              <w:rPr>
                <w:rFonts w:cstheme="minorHAnsi"/>
                <w:color w:val="000000" w:themeColor="text1"/>
                <w:sz w:val="22"/>
                <w:szCs w:val="22"/>
                <w:lang w:eastAsia="zh-CN"/>
              </w:rPr>
            </w:pPr>
            <w:r>
              <w:rPr>
                <w:rFonts w:cstheme="minorHAnsi"/>
                <w:color w:val="000000" w:themeColor="text1"/>
                <w:sz w:val="22"/>
                <w:szCs w:val="22"/>
                <w:lang w:eastAsia="zh-CN"/>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4B13C7EE" w14:textId="365BB60F" w:rsidR="006906FC" w:rsidRPr="00D27BDE" w:rsidRDefault="006906FC" w:rsidP="00174613">
            <w:pPr>
              <w:spacing w:after="200"/>
              <w:rPr>
                <w:rFonts w:cstheme="minorHAnsi"/>
                <w:b/>
                <w:bCs/>
                <w:color w:val="000000" w:themeColor="text1"/>
                <w:sz w:val="22"/>
                <w:szCs w:val="22"/>
                <w:lang w:eastAsia="zh-CN"/>
              </w:rPr>
            </w:pPr>
            <w:r w:rsidRPr="006906FC">
              <w:rPr>
                <w:rFonts w:cstheme="minorHAnsi"/>
                <w:b/>
                <w:bCs/>
                <w:color w:val="000000" w:themeColor="text1"/>
                <w:sz w:val="22"/>
                <w:szCs w:val="22"/>
                <w:lang w:eastAsia="zh-CN"/>
              </w:rPr>
              <w:t>Antrasis kriterijus –</w:t>
            </w:r>
            <w:r w:rsidR="00174613">
              <w:rPr>
                <w:rFonts w:cstheme="minorHAnsi"/>
                <w:b/>
                <w:bCs/>
                <w:color w:val="000000" w:themeColor="text1"/>
                <w:sz w:val="22"/>
                <w:szCs w:val="22"/>
                <w:lang w:eastAsia="zh-CN"/>
              </w:rPr>
              <w:t xml:space="preserve"> papildoma garantija (B)</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9DB83" w14:textId="104D86D3" w:rsidR="006906FC" w:rsidRPr="00D27BDE" w:rsidRDefault="006906FC" w:rsidP="00D27BDE">
            <w:pPr>
              <w:spacing w:after="200"/>
              <w:jc w:val="center"/>
              <w:rPr>
                <w:rFonts w:cstheme="minorHAnsi"/>
                <w:color w:val="000000" w:themeColor="text1"/>
                <w:sz w:val="22"/>
                <w:szCs w:val="22"/>
                <w:lang w:eastAsia="zh-CN"/>
              </w:rPr>
            </w:pPr>
            <w:r w:rsidRPr="006906FC">
              <w:rPr>
                <w:rFonts w:cstheme="minorHAnsi"/>
                <w:color w:val="000000" w:themeColor="text1"/>
                <w:sz w:val="22"/>
                <w:szCs w:val="22"/>
                <w:lang w:eastAsia="zh-CN"/>
              </w:rPr>
              <w:t>Y=</w:t>
            </w:r>
            <w:r w:rsidR="00174613">
              <w:rPr>
                <w:rFonts w:cstheme="minorHAnsi"/>
                <w:color w:val="000000" w:themeColor="text1"/>
                <w:sz w:val="22"/>
                <w:szCs w:val="22"/>
                <w:lang w:eastAsia="zh-CN"/>
              </w:rPr>
              <w:t>3</w:t>
            </w:r>
          </w:p>
        </w:tc>
      </w:tr>
    </w:tbl>
    <w:p w14:paraId="0D4462F5" w14:textId="77777777" w:rsidR="00174613" w:rsidRPr="00174613" w:rsidRDefault="00174613" w:rsidP="00174613">
      <w:pPr>
        <w:tabs>
          <w:tab w:val="left" w:pos="180"/>
          <w:tab w:val="left" w:pos="1134"/>
        </w:tabs>
        <w:suppressAutoHyphens/>
        <w:spacing w:after="0" w:line="240" w:lineRule="auto"/>
        <w:ind w:left="912"/>
        <w:contextualSpacing/>
        <w:jc w:val="both"/>
        <w:rPr>
          <w:rFonts w:cstheme="minorHAnsi"/>
          <w:bCs/>
        </w:rPr>
      </w:pPr>
    </w:p>
    <w:p w14:paraId="1394F98B" w14:textId="77777777" w:rsidR="00174613" w:rsidRPr="00174613" w:rsidRDefault="00174613" w:rsidP="00174613">
      <w:pPr>
        <w:spacing w:after="120"/>
        <w:ind w:firstLine="397"/>
        <w:jc w:val="both"/>
        <w:rPr>
          <w:rFonts w:eastAsia="Times New Roman" w:cstheme="minorHAnsi"/>
          <w:lang w:eastAsia="en-US"/>
        </w:rPr>
      </w:pPr>
      <w:r w:rsidRPr="00174613">
        <w:rPr>
          <w:rFonts w:eastAsia="Times New Roman" w:cstheme="minorHAnsi"/>
          <w:lang w:eastAsia="en-US"/>
        </w:rPr>
        <w:t xml:space="preserve">5. </w:t>
      </w:r>
      <w:r w:rsidRPr="00174613">
        <w:rPr>
          <w:rFonts w:eastAsia="Times New Roman" w:cstheme="minorHAnsi"/>
          <w:b/>
          <w:lang w:eastAsia="en-US"/>
        </w:rPr>
        <w:t>Ekonominis naudingumas (S)</w:t>
      </w:r>
      <w:r w:rsidRPr="00174613">
        <w:rPr>
          <w:rFonts w:eastAsia="Times New Roman" w:cstheme="minorHAnsi"/>
          <w:lang w:eastAsia="en-US"/>
        </w:rPr>
        <w:t xml:space="preserve"> apskaičiuojamas sudedant visų kriterijų balus:</w:t>
      </w:r>
    </w:p>
    <w:p w14:paraId="5536073C" w14:textId="77777777" w:rsidR="00174613" w:rsidRPr="00174613" w:rsidRDefault="00174613" w:rsidP="00174613">
      <w:pPr>
        <w:spacing w:after="120"/>
        <w:ind w:firstLine="397"/>
        <w:rPr>
          <w:rFonts w:eastAsia="Times New Roman" w:cstheme="minorHAnsi"/>
          <w:lang w:eastAsia="en-US"/>
        </w:rPr>
      </w:pPr>
      <w:r w:rsidRPr="00174613">
        <w:rPr>
          <w:rFonts w:eastAsia="Times New Roman" w:cstheme="minorHAnsi"/>
          <w:lang w:eastAsia="en-US"/>
        </w:rPr>
        <w:t>S= A + B, kur:</w:t>
      </w:r>
    </w:p>
    <w:p w14:paraId="14C07C6A" w14:textId="77777777" w:rsidR="00174613" w:rsidRPr="00174613" w:rsidRDefault="00174613" w:rsidP="00174613">
      <w:pPr>
        <w:spacing w:after="120"/>
        <w:ind w:firstLine="397"/>
        <w:rPr>
          <w:rFonts w:eastAsia="Times New Roman" w:cstheme="minorHAnsi"/>
          <w:lang w:eastAsia="en-US"/>
        </w:rPr>
      </w:pPr>
      <w:r w:rsidRPr="00174613">
        <w:rPr>
          <w:rFonts w:eastAsia="Times New Roman" w:cstheme="minorHAnsi"/>
          <w:lang w:eastAsia="en-US"/>
        </w:rPr>
        <w:t xml:space="preserve">5.1. </w:t>
      </w:r>
      <w:r w:rsidRPr="00174613">
        <w:rPr>
          <w:rFonts w:eastAsia="Times New Roman" w:cstheme="minorHAnsi"/>
          <w:b/>
          <w:lang w:eastAsia="en-US"/>
        </w:rPr>
        <w:t>Pasiūlymo kainos (A)</w:t>
      </w:r>
      <w:r w:rsidRPr="00174613">
        <w:rPr>
          <w:rFonts w:eastAsia="Times New Roman" w:cstheme="minorHAnsi"/>
          <w:lang w:eastAsia="en-US"/>
        </w:rPr>
        <w:t xml:space="preserve"> balai apskaičiuojami mažiausios pasiūlytos kainos (</w:t>
      </w:r>
      <w:proofErr w:type="spellStart"/>
      <w:r w:rsidRPr="00174613">
        <w:rPr>
          <w:rFonts w:eastAsia="Times New Roman" w:cstheme="minorHAnsi"/>
          <w:lang w:eastAsia="en-US"/>
        </w:rPr>
        <w:t>Amin</w:t>
      </w:r>
      <w:proofErr w:type="spellEnd"/>
      <w:r w:rsidRPr="00174613">
        <w:rPr>
          <w:rFonts w:eastAsia="Times New Roman" w:cstheme="minorHAnsi"/>
          <w:lang w:eastAsia="en-US"/>
        </w:rPr>
        <w:t>) ir vertinamo pasiūlymo kainos (</w:t>
      </w:r>
      <w:proofErr w:type="spellStart"/>
      <w:r w:rsidRPr="00174613">
        <w:rPr>
          <w:rFonts w:eastAsia="Times New Roman" w:cstheme="minorHAnsi"/>
          <w:lang w:eastAsia="en-US"/>
        </w:rPr>
        <w:t>Ap</w:t>
      </w:r>
      <w:proofErr w:type="spellEnd"/>
      <w:r w:rsidRPr="00174613">
        <w:rPr>
          <w:rFonts w:eastAsia="Times New Roman" w:cstheme="minorHAnsi"/>
          <w:lang w:eastAsia="en-US"/>
        </w:rPr>
        <w:t>) santykį padauginant iš kainos lyginamojo svorio (X):</w:t>
      </w:r>
    </w:p>
    <w:p w14:paraId="3771AC66" w14:textId="77777777" w:rsidR="00174613" w:rsidRPr="00174613" w:rsidRDefault="00174613" w:rsidP="00174613">
      <w:pPr>
        <w:spacing w:after="120"/>
        <w:ind w:firstLine="397"/>
        <w:rPr>
          <w:rFonts w:eastAsia="Times New Roman" w:cstheme="minorHAnsi"/>
          <w:lang w:eastAsia="en-US"/>
        </w:rPr>
      </w:pPr>
      <m:oMathPara>
        <m:oMath>
          <m:r>
            <w:rPr>
              <w:rFonts w:ascii="Cambria Math" w:eastAsia="Times New Roman" w:hAnsi="Cambria Math" w:cstheme="minorHAnsi"/>
              <w:lang w:eastAsia="en-US"/>
            </w:rPr>
            <m:t xml:space="preserve">          A=</m:t>
          </m:r>
          <m:f>
            <m:fPr>
              <m:ctrlPr>
                <w:rPr>
                  <w:rFonts w:ascii="Cambria Math" w:eastAsia="Times New Roman" w:hAnsi="Cambria Math" w:cstheme="minorHAnsi"/>
                  <w:i/>
                  <w:lang w:eastAsia="en-US"/>
                </w:rPr>
              </m:ctrlPr>
            </m:fPr>
            <m:num>
              <m:sSub>
                <m:sSubPr>
                  <m:ctrlPr>
                    <w:rPr>
                      <w:rFonts w:ascii="Cambria Math" w:eastAsia="Times New Roman" w:hAnsi="Cambria Math" w:cstheme="minorHAnsi"/>
                      <w:i/>
                      <w:lang w:eastAsia="en-US"/>
                    </w:rPr>
                  </m:ctrlPr>
                </m:sSubPr>
                <m:e>
                  <m:r>
                    <w:rPr>
                      <w:rFonts w:ascii="Cambria Math" w:eastAsia="Times New Roman" w:hAnsi="Cambria Math" w:cstheme="minorHAnsi"/>
                      <w:lang w:eastAsia="en-US"/>
                    </w:rPr>
                    <m:t>A</m:t>
                  </m:r>
                </m:e>
                <m:sub>
                  <m:r>
                    <w:rPr>
                      <w:rFonts w:ascii="Cambria Math" w:eastAsia="Times New Roman" w:hAnsi="Cambria Math" w:cstheme="minorHAnsi"/>
                      <w:lang w:eastAsia="en-US"/>
                    </w:rPr>
                    <m:t>min</m:t>
                  </m:r>
                </m:sub>
              </m:sSub>
            </m:num>
            <m:den>
              <m:sSub>
                <m:sSubPr>
                  <m:ctrlPr>
                    <w:rPr>
                      <w:rFonts w:ascii="Cambria Math" w:eastAsia="Times New Roman" w:hAnsi="Cambria Math" w:cstheme="minorHAnsi"/>
                      <w:i/>
                      <w:lang w:eastAsia="en-US"/>
                    </w:rPr>
                  </m:ctrlPr>
                </m:sSubPr>
                <m:e>
                  <m:r>
                    <w:rPr>
                      <w:rFonts w:ascii="Cambria Math" w:eastAsia="Times New Roman" w:hAnsi="Cambria Math" w:cstheme="minorHAnsi"/>
                      <w:lang w:eastAsia="en-US"/>
                    </w:rPr>
                    <m:t>A</m:t>
                  </m:r>
                </m:e>
                <m:sub>
                  <m:r>
                    <w:rPr>
                      <w:rFonts w:ascii="Cambria Math" w:eastAsia="Times New Roman" w:hAnsi="Cambria Math" w:cstheme="minorHAnsi"/>
                      <w:lang w:eastAsia="en-US"/>
                    </w:rPr>
                    <m:t>p</m:t>
                  </m:r>
                </m:sub>
              </m:sSub>
            </m:den>
          </m:f>
          <m:r>
            <m:rPr>
              <m:sty m:val="p"/>
            </m:rPr>
            <w:rPr>
              <w:rFonts w:ascii="Cambria Math" w:eastAsia="Times New Roman" w:hAnsi="Cambria Math" w:cstheme="minorHAnsi"/>
              <w:lang w:eastAsia="en-US"/>
            </w:rPr>
            <m:t>·</m:t>
          </m:r>
          <m:r>
            <w:rPr>
              <w:rFonts w:ascii="Cambria Math" w:eastAsia="Times New Roman" w:hAnsi="Cambria Math" w:cstheme="minorHAnsi"/>
              <w:lang w:eastAsia="en-US"/>
            </w:rPr>
            <m:t>X</m:t>
          </m:r>
        </m:oMath>
      </m:oMathPara>
    </w:p>
    <w:p w14:paraId="1EEFA03F" w14:textId="77777777" w:rsidR="00174613" w:rsidRPr="00174613" w:rsidRDefault="00174613" w:rsidP="00174613">
      <w:pPr>
        <w:spacing w:after="120"/>
        <w:ind w:firstLine="397"/>
        <w:rPr>
          <w:rFonts w:eastAsia="Times New Roman" w:cstheme="minorHAnsi"/>
          <w:lang w:eastAsia="en-US"/>
        </w:rPr>
      </w:pPr>
      <w:r w:rsidRPr="00174613">
        <w:rPr>
          <w:rFonts w:eastAsia="Times New Roman" w:cstheme="minorHAnsi"/>
          <w:lang w:eastAsia="en-US"/>
        </w:rPr>
        <w:t>Kainos (A) balai apvalinami paliekant 2 (du) skaitmenis po kablelio.</w:t>
      </w:r>
    </w:p>
    <w:p w14:paraId="69E34688" w14:textId="77777777" w:rsidR="00174613" w:rsidRPr="00174613" w:rsidRDefault="00174613" w:rsidP="00174613">
      <w:pPr>
        <w:spacing w:after="120"/>
        <w:ind w:firstLine="397"/>
        <w:rPr>
          <w:rFonts w:eastAsia="Times New Roman" w:cstheme="minorHAnsi"/>
          <w:sz w:val="22"/>
          <w:szCs w:val="22"/>
          <w:lang w:eastAsia="en-US"/>
        </w:rPr>
      </w:pPr>
      <w:r w:rsidRPr="00174613">
        <w:rPr>
          <w:rFonts w:eastAsia="Times New Roman" w:cstheme="minorHAnsi"/>
          <w:lang w:eastAsia="en-US"/>
        </w:rPr>
        <w:t xml:space="preserve">5.2. </w:t>
      </w:r>
      <w:r w:rsidRPr="00174613">
        <w:rPr>
          <w:rFonts w:eastAsia="Times New Roman" w:cstheme="minorHAnsi"/>
          <w:b/>
          <w:bCs/>
          <w:sz w:val="22"/>
          <w:szCs w:val="22"/>
          <w:lang w:eastAsia="en-US"/>
        </w:rPr>
        <w:t xml:space="preserve">Antro kriterijaus (B) </w:t>
      </w:r>
      <w:r w:rsidRPr="00174613">
        <w:rPr>
          <w:rFonts w:eastAsia="Times New Roman" w:cstheme="minorHAnsi"/>
          <w:b/>
          <w:sz w:val="22"/>
          <w:szCs w:val="22"/>
          <w:lang w:eastAsia="en-US"/>
        </w:rPr>
        <w:t>–</w:t>
      </w:r>
      <w:r w:rsidRPr="00174613">
        <w:rPr>
          <w:rFonts w:eastAsia="Times New Roman" w:cstheme="minorHAnsi"/>
          <w:b/>
          <w:bCs/>
          <w:sz w:val="22"/>
          <w:szCs w:val="22"/>
          <w:lang w:eastAsia="en-US"/>
        </w:rPr>
        <w:t xml:space="preserve"> Papildoma garantija,</w:t>
      </w:r>
      <w:r w:rsidRPr="00174613">
        <w:rPr>
          <w:rFonts w:eastAsia="Times New Roman" w:cstheme="minorHAnsi"/>
          <w:bCs/>
          <w:sz w:val="22"/>
          <w:szCs w:val="22"/>
          <w:lang w:eastAsia="en-US"/>
        </w:rPr>
        <w:t xml:space="preserve"> balai priskiriami taip:</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712"/>
      </w:tblGrid>
      <w:tr w:rsidR="00174613" w:rsidRPr="00174613" w14:paraId="09524F4D" w14:textId="77777777" w:rsidTr="00B93091">
        <w:tc>
          <w:tcPr>
            <w:tcW w:w="4218" w:type="dxa"/>
            <w:tcBorders>
              <w:top w:val="single" w:sz="4" w:space="0" w:color="auto"/>
              <w:left w:val="single" w:sz="4" w:space="0" w:color="auto"/>
              <w:bottom w:val="single" w:sz="4" w:space="0" w:color="auto"/>
              <w:right w:val="single" w:sz="4" w:space="0" w:color="auto"/>
            </w:tcBorders>
          </w:tcPr>
          <w:p w14:paraId="4F15D1B5" w14:textId="77777777" w:rsidR="00174613" w:rsidRPr="00174613" w:rsidRDefault="00174613" w:rsidP="00174613">
            <w:pPr>
              <w:spacing w:after="120"/>
              <w:ind w:firstLine="397"/>
              <w:jc w:val="center"/>
              <w:rPr>
                <w:rFonts w:eastAsia="Times New Roman" w:cstheme="minorHAnsi"/>
                <w:b/>
                <w:sz w:val="22"/>
                <w:szCs w:val="22"/>
                <w:lang w:val="en-US" w:eastAsia="en-US"/>
              </w:rPr>
            </w:pPr>
            <w:bookmarkStart w:id="69" w:name="_Toc110427466"/>
            <w:bookmarkStart w:id="70" w:name="_Toc110428508"/>
            <w:r w:rsidRPr="00174613">
              <w:rPr>
                <w:rFonts w:eastAsia="Times New Roman" w:cstheme="minorHAnsi"/>
                <w:b/>
                <w:sz w:val="22"/>
                <w:szCs w:val="22"/>
                <w:lang w:eastAsia="en-US"/>
              </w:rPr>
              <w:t>Tiekėjo siūlomas</w:t>
            </w:r>
            <w:bookmarkEnd w:id="69"/>
            <w:bookmarkEnd w:id="70"/>
            <w:r w:rsidRPr="00174613">
              <w:rPr>
                <w:rFonts w:eastAsia="Times New Roman" w:cstheme="minorHAnsi"/>
                <w:b/>
                <w:sz w:val="22"/>
                <w:szCs w:val="22"/>
                <w:lang w:eastAsia="en-US"/>
              </w:rPr>
              <w:t xml:space="preserve"> garantijos terminas (mėnesiai)</w:t>
            </w:r>
          </w:p>
        </w:tc>
        <w:tc>
          <w:tcPr>
            <w:tcW w:w="4712" w:type="dxa"/>
            <w:tcBorders>
              <w:top w:val="single" w:sz="4" w:space="0" w:color="auto"/>
              <w:left w:val="single" w:sz="4" w:space="0" w:color="auto"/>
              <w:bottom w:val="single" w:sz="4" w:space="0" w:color="auto"/>
              <w:right w:val="single" w:sz="4" w:space="0" w:color="auto"/>
            </w:tcBorders>
          </w:tcPr>
          <w:p w14:paraId="131AE1BA" w14:textId="77777777" w:rsidR="00174613" w:rsidRPr="00174613" w:rsidRDefault="00174613" w:rsidP="00174613">
            <w:pPr>
              <w:spacing w:after="120"/>
              <w:ind w:firstLine="397"/>
              <w:jc w:val="center"/>
              <w:rPr>
                <w:rFonts w:eastAsia="Times New Roman" w:cstheme="minorHAnsi"/>
                <w:b/>
                <w:sz w:val="22"/>
                <w:szCs w:val="22"/>
                <w:lang w:eastAsia="en-US"/>
              </w:rPr>
            </w:pPr>
            <w:bookmarkStart w:id="71" w:name="_Toc110427467"/>
            <w:bookmarkStart w:id="72" w:name="_Toc110428509"/>
            <w:r w:rsidRPr="00174613">
              <w:rPr>
                <w:rFonts w:eastAsia="Times New Roman" w:cstheme="minorHAnsi"/>
                <w:b/>
                <w:sz w:val="22"/>
                <w:szCs w:val="22"/>
                <w:lang w:eastAsia="en-US"/>
              </w:rPr>
              <w:t>Ekonominio naudingumo balai, kurie bus suteikti šiam kriterijui</w:t>
            </w:r>
            <w:bookmarkEnd w:id="71"/>
            <w:bookmarkEnd w:id="72"/>
          </w:p>
        </w:tc>
      </w:tr>
      <w:tr w:rsidR="00174613" w:rsidRPr="00174613" w14:paraId="3C3B09CF" w14:textId="77777777" w:rsidTr="00B93091">
        <w:tc>
          <w:tcPr>
            <w:tcW w:w="4218" w:type="dxa"/>
            <w:tcBorders>
              <w:top w:val="single" w:sz="4" w:space="0" w:color="auto"/>
              <w:left w:val="single" w:sz="4" w:space="0" w:color="auto"/>
              <w:bottom w:val="single" w:sz="4" w:space="0" w:color="auto"/>
              <w:right w:val="single" w:sz="4" w:space="0" w:color="auto"/>
            </w:tcBorders>
          </w:tcPr>
          <w:p w14:paraId="35B8EF53" w14:textId="26371743" w:rsidR="00174613" w:rsidRPr="00174613" w:rsidRDefault="00174613" w:rsidP="00174613">
            <w:pPr>
              <w:spacing w:after="120"/>
              <w:ind w:firstLine="397"/>
              <w:jc w:val="center"/>
              <w:rPr>
                <w:rFonts w:eastAsia="Times New Roman" w:cstheme="minorHAnsi"/>
                <w:sz w:val="22"/>
                <w:szCs w:val="22"/>
                <w:lang w:val="en-US" w:eastAsia="en-US"/>
              </w:rPr>
            </w:pPr>
            <w:r>
              <w:rPr>
                <w:rFonts w:eastAsia="Times New Roman" w:cstheme="minorHAnsi"/>
                <w:sz w:val="22"/>
                <w:szCs w:val="22"/>
                <w:lang w:val="en-US" w:eastAsia="en-US"/>
              </w:rPr>
              <w:t>60</w:t>
            </w:r>
          </w:p>
        </w:tc>
        <w:tc>
          <w:tcPr>
            <w:tcW w:w="4712" w:type="dxa"/>
            <w:tcBorders>
              <w:top w:val="single" w:sz="4" w:space="0" w:color="auto"/>
              <w:left w:val="single" w:sz="4" w:space="0" w:color="auto"/>
              <w:bottom w:val="single" w:sz="4" w:space="0" w:color="auto"/>
              <w:right w:val="single" w:sz="4" w:space="0" w:color="auto"/>
            </w:tcBorders>
          </w:tcPr>
          <w:p w14:paraId="12C21F64" w14:textId="29A770DE" w:rsidR="00174613" w:rsidRPr="00174613" w:rsidRDefault="00174613" w:rsidP="00174613">
            <w:pPr>
              <w:spacing w:after="120"/>
              <w:ind w:firstLine="397"/>
              <w:jc w:val="center"/>
              <w:rPr>
                <w:rFonts w:eastAsia="Times New Roman" w:cstheme="minorHAnsi"/>
                <w:sz w:val="22"/>
                <w:szCs w:val="22"/>
                <w:lang w:eastAsia="en-US"/>
              </w:rPr>
            </w:pPr>
            <w:r>
              <w:rPr>
                <w:rFonts w:eastAsia="Times New Roman" w:cstheme="minorHAnsi"/>
                <w:sz w:val="22"/>
                <w:szCs w:val="22"/>
                <w:lang w:eastAsia="en-US"/>
              </w:rPr>
              <w:t>0</w:t>
            </w:r>
          </w:p>
        </w:tc>
      </w:tr>
      <w:tr w:rsidR="00174613" w:rsidRPr="00174613" w14:paraId="4D5317DF" w14:textId="77777777" w:rsidTr="00B93091">
        <w:tc>
          <w:tcPr>
            <w:tcW w:w="4218" w:type="dxa"/>
            <w:tcBorders>
              <w:top w:val="single" w:sz="4" w:space="0" w:color="auto"/>
              <w:left w:val="single" w:sz="4" w:space="0" w:color="auto"/>
              <w:bottom w:val="single" w:sz="4" w:space="0" w:color="auto"/>
              <w:right w:val="single" w:sz="4" w:space="0" w:color="auto"/>
            </w:tcBorders>
          </w:tcPr>
          <w:p w14:paraId="3FF412CE" w14:textId="3CEE7BF4" w:rsidR="00174613" w:rsidRPr="00174613" w:rsidRDefault="00174613" w:rsidP="00174613">
            <w:pPr>
              <w:spacing w:after="120"/>
              <w:ind w:firstLine="397"/>
              <w:jc w:val="center"/>
              <w:rPr>
                <w:rFonts w:eastAsia="Times New Roman" w:cstheme="minorHAnsi"/>
                <w:sz w:val="22"/>
                <w:szCs w:val="22"/>
                <w:lang w:eastAsia="en-US"/>
              </w:rPr>
            </w:pPr>
            <w:r>
              <w:rPr>
                <w:rFonts w:eastAsia="Times New Roman" w:cstheme="minorHAnsi"/>
                <w:sz w:val="22"/>
                <w:szCs w:val="22"/>
                <w:lang w:eastAsia="en-US"/>
              </w:rPr>
              <w:t>72</w:t>
            </w:r>
          </w:p>
        </w:tc>
        <w:tc>
          <w:tcPr>
            <w:tcW w:w="4712" w:type="dxa"/>
            <w:tcBorders>
              <w:top w:val="single" w:sz="4" w:space="0" w:color="auto"/>
              <w:left w:val="single" w:sz="4" w:space="0" w:color="auto"/>
              <w:bottom w:val="single" w:sz="4" w:space="0" w:color="auto"/>
              <w:right w:val="single" w:sz="4" w:space="0" w:color="auto"/>
            </w:tcBorders>
          </w:tcPr>
          <w:p w14:paraId="1182430E" w14:textId="7F329179" w:rsidR="00174613" w:rsidRPr="00174613" w:rsidRDefault="00174613" w:rsidP="00174613">
            <w:pPr>
              <w:spacing w:after="120"/>
              <w:ind w:firstLine="397"/>
              <w:jc w:val="center"/>
              <w:rPr>
                <w:rFonts w:eastAsia="Times New Roman" w:cstheme="minorHAnsi"/>
                <w:sz w:val="22"/>
                <w:szCs w:val="22"/>
                <w:lang w:eastAsia="en-US"/>
              </w:rPr>
            </w:pPr>
            <w:r>
              <w:rPr>
                <w:rFonts w:eastAsia="Times New Roman" w:cstheme="minorHAnsi"/>
                <w:sz w:val="22"/>
                <w:szCs w:val="22"/>
                <w:lang w:eastAsia="en-US"/>
              </w:rPr>
              <w:t>3</w:t>
            </w:r>
          </w:p>
        </w:tc>
      </w:tr>
    </w:tbl>
    <w:p w14:paraId="07C7B12A" w14:textId="4BFF56E7" w:rsidR="00174613" w:rsidRPr="00174613" w:rsidRDefault="00174613" w:rsidP="00174613">
      <w:pPr>
        <w:spacing w:after="120"/>
        <w:ind w:firstLine="397"/>
        <w:jc w:val="both"/>
        <w:rPr>
          <w:rFonts w:eastAsia="Times New Roman" w:cstheme="minorHAnsi"/>
          <w:sz w:val="22"/>
          <w:szCs w:val="22"/>
          <w:lang w:eastAsia="en-US"/>
        </w:rPr>
      </w:pPr>
      <w:r w:rsidRPr="00174613">
        <w:rPr>
          <w:rFonts w:eastAsia="Times New Roman" w:cstheme="minorHAnsi"/>
          <w:sz w:val="22"/>
          <w:szCs w:val="22"/>
          <w:lang w:eastAsia="en-US"/>
        </w:rPr>
        <w:lastRenderedPageBreak/>
        <w:t xml:space="preserve">5.3. </w:t>
      </w:r>
      <w:r>
        <w:rPr>
          <w:rFonts w:eastAsia="Times New Roman" w:cstheme="minorHAnsi"/>
          <w:sz w:val="22"/>
          <w:szCs w:val="22"/>
          <w:lang w:eastAsia="en-US"/>
        </w:rPr>
        <w:t>Prekei</w:t>
      </w:r>
      <w:r w:rsidRPr="00174613">
        <w:rPr>
          <w:rFonts w:eastAsia="Times New Roman" w:cstheme="minorHAnsi"/>
          <w:sz w:val="22"/>
          <w:szCs w:val="22"/>
          <w:lang w:eastAsia="en-US"/>
        </w:rPr>
        <w:t xml:space="preserve"> taikoma garantija turi būti patvirtinta gamintojo. </w:t>
      </w:r>
      <w:r w:rsidRPr="00174613">
        <w:rPr>
          <w:rFonts w:eastAsia="Times New Roman" w:cstheme="minorHAnsi"/>
          <w:b/>
          <w:sz w:val="22"/>
          <w:szCs w:val="22"/>
          <w:lang w:eastAsia="en-US"/>
        </w:rPr>
        <w:t xml:space="preserve">Visi </w:t>
      </w:r>
      <w:r w:rsidR="00A95680">
        <w:rPr>
          <w:rFonts w:eastAsia="Times New Roman" w:cstheme="minorHAnsi"/>
          <w:b/>
          <w:sz w:val="22"/>
          <w:szCs w:val="22"/>
          <w:lang w:eastAsia="en-US"/>
        </w:rPr>
        <w:t>5.2 p.</w:t>
      </w:r>
      <w:r w:rsidRPr="00174613">
        <w:rPr>
          <w:rFonts w:eastAsia="Times New Roman" w:cstheme="minorHAnsi"/>
          <w:b/>
          <w:sz w:val="22"/>
          <w:szCs w:val="22"/>
          <w:lang w:eastAsia="en-US"/>
        </w:rPr>
        <w:t xml:space="preserve"> išvardinti reikalavimai privalo būti garantuojami gamintojo.</w:t>
      </w:r>
      <w:r w:rsidRPr="00174613">
        <w:rPr>
          <w:rFonts w:eastAsia="Times New Roman" w:cstheme="minorHAnsi"/>
          <w:sz w:val="22"/>
          <w:szCs w:val="22"/>
          <w:lang w:eastAsia="en-US"/>
        </w:rPr>
        <w:t xml:space="preserve"> </w:t>
      </w:r>
    </w:p>
    <w:p w14:paraId="12E441FF" w14:textId="77777777" w:rsidR="00174613" w:rsidRPr="00174613" w:rsidRDefault="00174613" w:rsidP="00174613">
      <w:pPr>
        <w:spacing w:after="120"/>
        <w:ind w:firstLine="397"/>
        <w:jc w:val="both"/>
        <w:rPr>
          <w:rFonts w:eastAsia="Times New Roman" w:cstheme="minorHAnsi"/>
          <w:sz w:val="22"/>
          <w:szCs w:val="22"/>
          <w:lang w:eastAsia="en-US"/>
        </w:rPr>
      </w:pPr>
      <w:r w:rsidRPr="00174613">
        <w:rPr>
          <w:rFonts w:eastAsia="Times New Roman" w:cstheme="minorHAnsi"/>
          <w:sz w:val="22"/>
          <w:szCs w:val="22"/>
          <w:lang w:eastAsia="en-US"/>
        </w:rPr>
        <w:t>Pateikti gamintojo raštą patvirtinantį, kad įrangai bus suteikta reikalaujama garantija.</w:t>
      </w:r>
    </w:p>
    <w:p w14:paraId="59C48DC8" w14:textId="77777777" w:rsidR="00174613" w:rsidRPr="00174613" w:rsidRDefault="00174613" w:rsidP="00174613">
      <w:pPr>
        <w:spacing w:after="120"/>
        <w:ind w:firstLine="397"/>
        <w:rPr>
          <w:rFonts w:ascii="Times New Roman" w:eastAsia="Times New Roman" w:hAnsi="Times New Roman" w:cstheme="minorHAnsi"/>
          <w:b/>
          <w:sz w:val="22"/>
          <w:szCs w:val="24"/>
          <w:lang w:eastAsia="en-US"/>
        </w:rPr>
      </w:pPr>
      <w:r w:rsidRPr="00174613">
        <w:rPr>
          <w:rFonts w:eastAsia="Times New Roman" w:cstheme="minorHAnsi"/>
          <w:sz w:val="22"/>
          <w:szCs w:val="22"/>
          <w:lang w:eastAsia="en-US"/>
        </w:rPr>
        <w:t xml:space="preserve">Skaitmeninė dokumento kopija pateikiama kartu su pasiūlymu. </w:t>
      </w:r>
    </w:p>
    <w:p w14:paraId="5EED1F50" w14:textId="77777777" w:rsidR="002811E2" w:rsidRPr="002811E2" w:rsidRDefault="002811E2" w:rsidP="002811E2">
      <w:pPr>
        <w:spacing w:after="120"/>
        <w:ind w:firstLine="397"/>
        <w:rPr>
          <w:rFonts w:eastAsia="Times New Roman" w:cstheme="minorHAnsi"/>
          <w:color w:val="7030A0"/>
          <w:sz w:val="22"/>
          <w:szCs w:val="22"/>
          <w:lang w:eastAsia="en-US"/>
        </w:rPr>
      </w:pPr>
    </w:p>
    <w:p w14:paraId="3A024621" w14:textId="2D3FE4A5" w:rsidR="00210870" w:rsidRPr="00210870" w:rsidRDefault="00210870" w:rsidP="002811E2">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2811E2" w:rsidRDefault="00FE3D1F" w:rsidP="00AB5541">
      <w:pPr>
        <w:pStyle w:val="Heading2"/>
        <w:ind w:left="5103"/>
        <w:rPr>
          <w:rFonts w:asciiTheme="minorHAnsi" w:hAnsiTheme="minorHAnsi"/>
          <w:color w:val="auto"/>
          <w:sz w:val="21"/>
          <w:szCs w:val="21"/>
        </w:rPr>
      </w:pPr>
      <w:bookmarkStart w:id="73" w:name="_Toc126333946"/>
      <w:bookmarkStart w:id="74" w:name="_Ref39586171"/>
      <w:bookmarkStart w:id="75" w:name="_Ref39673580"/>
      <w:bookmarkStart w:id="76" w:name="_Ref39674283"/>
      <w:r w:rsidRPr="002811E2">
        <w:rPr>
          <w:rFonts w:asciiTheme="minorHAnsi" w:hAnsiTheme="minorHAnsi"/>
          <w:color w:val="auto"/>
          <w:sz w:val="21"/>
          <w:szCs w:val="21"/>
        </w:rPr>
        <w:lastRenderedPageBreak/>
        <w:t xml:space="preserve">Pirkimo sąlygų </w:t>
      </w:r>
      <w:r w:rsidR="007545D6" w:rsidRPr="002811E2">
        <w:rPr>
          <w:rFonts w:asciiTheme="minorHAnsi" w:hAnsiTheme="minorHAnsi"/>
          <w:color w:val="auto"/>
          <w:sz w:val="21"/>
          <w:szCs w:val="21"/>
        </w:rPr>
        <w:t>8 priedas „</w:t>
      </w:r>
      <w:r w:rsidR="00FF607F" w:rsidRPr="002811E2">
        <w:rPr>
          <w:rFonts w:asciiTheme="minorHAnsi" w:hAnsiTheme="minorHAnsi"/>
          <w:color w:val="auto"/>
          <w:sz w:val="21"/>
          <w:szCs w:val="21"/>
        </w:rPr>
        <w:t>Tiekėjo deklaracija</w:t>
      </w:r>
      <w:r w:rsidR="004D3BE3" w:rsidRPr="002811E2">
        <w:rPr>
          <w:rFonts w:asciiTheme="minorHAnsi" w:hAnsiTheme="minorHAnsi"/>
          <w:color w:val="auto"/>
          <w:sz w:val="21"/>
          <w:szCs w:val="21"/>
        </w:rPr>
        <w:t xml:space="preserve"> </w:t>
      </w:r>
      <w:r w:rsidR="00B03CE0" w:rsidRPr="002811E2">
        <w:rPr>
          <w:rFonts w:asciiTheme="minorHAnsi" w:hAnsiTheme="minorHAnsi"/>
          <w:color w:val="auto"/>
          <w:sz w:val="21"/>
          <w:szCs w:val="21"/>
        </w:rPr>
        <w:t xml:space="preserve">dėl </w:t>
      </w:r>
      <w:r w:rsidR="00596C27" w:rsidRPr="002811E2">
        <w:rPr>
          <w:rFonts w:asciiTheme="minorHAnsi" w:hAnsiTheme="minorHAnsi"/>
          <w:color w:val="auto"/>
          <w:sz w:val="21"/>
          <w:szCs w:val="21"/>
        </w:rPr>
        <w:t xml:space="preserve">atitikties </w:t>
      </w:r>
      <w:r w:rsidR="00B03CE0" w:rsidRPr="002811E2">
        <w:rPr>
          <w:rFonts w:asciiTheme="minorHAnsi" w:hAnsiTheme="minorHAnsi"/>
          <w:color w:val="auto"/>
          <w:sz w:val="21"/>
          <w:szCs w:val="21"/>
        </w:rPr>
        <w:t xml:space="preserve">Reglamento </w:t>
      </w:r>
      <w:r w:rsidR="00596C27" w:rsidRPr="002811E2">
        <w:rPr>
          <w:rFonts w:asciiTheme="minorHAnsi" w:hAnsiTheme="minorHAnsi"/>
          <w:color w:val="auto"/>
          <w:sz w:val="21"/>
          <w:szCs w:val="21"/>
        </w:rPr>
        <w:t>nuostatoms</w:t>
      </w:r>
      <w:r w:rsidR="00B03CE0" w:rsidRPr="002811E2">
        <w:rPr>
          <w:rFonts w:asciiTheme="minorHAnsi" w:hAnsiTheme="minorHAnsi"/>
          <w:color w:val="auto"/>
          <w:sz w:val="21"/>
          <w:szCs w:val="21"/>
        </w:rPr>
        <w:t xml:space="preserve"> </w:t>
      </w:r>
      <w:r w:rsidR="004D3BE3" w:rsidRPr="002811E2">
        <w:rPr>
          <w:rFonts w:asciiTheme="minorHAnsi" w:hAnsiTheme="minorHAnsi"/>
          <w:color w:val="auto"/>
          <w:sz w:val="21"/>
          <w:szCs w:val="21"/>
        </w:rPr>
        <w:t>juridiniam asmeniui</w:t>
      </w:r>
      <w:r w:rsidR="00FF607F" w:rsidRPr="002811E2">
        <w:rPr>
          <w:rFonts w:asciiTheme="minorHAnsi" w:hAnsiTheme="minorHAnsi"/>
          <w:color w:val="auto"/>
          <w:sz w:val="21"/>
          <w:szCs w:val="21"/>
        </w:rPr>
        <w:t>“</w:t>
      </w:r>
      <w:bookmarkEnd w:id="73"/>
    </w:p>
    <w:p w14:paraId="5B45E78B" w14:textId="77777777" w:rsidR="00210594" w:rsidRPr="002811E2"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2D675208" w:rsidR="008C7C8C" w:rsidRDefault="008C7C8C" w:rsidP="008C7C8C">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FC2BEC4" w14:textId="10CF2431" w:rsidR="00CC00AF" w:rsidRDefault="00CC00AF" w:rsidP="008C7C8C">
      <w:pPr>
        <w:jc w:val="both"/>
        <w:rPr>
          <w:rFonts w:cstheme="minorHAnsi"/>
          <w:sz w:val="20"/>
          <w:szCs w:val="20"/>
        </w:rPr>
      </w:pPr>
    </w:p>
    <w:p w14:paraId="406AA20A" w14:textId="77777777" w:rsidR="00CC00AF" w:rsidRPr="00CC00AF" w:rsidRDefault="00CC00AF" w:rsidP="00CC00AF">
      <w:pPr>
        <w:spacing w:after="0" w:line="240" w:lineRule="auto"/>
        <w:ind w:left="720"/>
        <w:contextualSpacing/>
        <w:jc w:val="center"/>
        <w:rPr>
          <w:rFonts w:eastAsiaTheme="minorHAnsi" w:cstheme="minorHAnsi"/>
          <w:b/>
          <w:bCs/>
          <w:caps/>
          <w:sz w:val="24"/>
          <w:szCs w:val="24"/>
          <w:lang w:eastAsia="en-US"/>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0AF" w:rsidRPr="00CC00AF" w14:paraId="57D38F46" w14:textId="77777777" w:rsidTr="00E857F2">
        <w:trPr>
          <w:trHeight w:val="186"/>
        </w:trPr>
        <w:tc>
          <w:tcPr>
            <w:tcW w:w="3888" w:type="dxa"/>
            <w:tcBorders>
              <w:top w:val="single" w:sz="4" w:space="0" w:color="auto"/>
              <w:left w:val="nil"/>
              <w:bottom w:val="nil"/>
              <w:right w:val="nil"/>
            </w:tcBorders>
          </w:tcPr>
          <w:p w14:paraId="55D73412" w14:textId="77777777" w:rsidR="00CC00AF" w:rsidRPr="00CC00AF" w:rsidRDefault="00CC00AF" w:rsidP="00CC00AF">
            <w:pPr>
              <w:spacing w:after="0" w:line="240" w:lineRule="auto"/>
              <w:rPr>
                <w:rFonts w:ascii="Calibri(Body)" w:hAnsi="Calibri(Body)" w:cs="Times New Roman"/>
                <w:color w:val="808080" w:themeColor="background1" w:themeShade="80"/>
                <w:sz w:val="22"/>
                <w:szCs w:val="22"/>
                <w:vertAlign w:val="superscript"/>
              </w:rPr>
            </w:pPr>
            <w:r w:rsidRPr="00CC00AF">
              <w:rPr>
                <w:rFonts w:ascii="Calibri(Body)" w:hAnsi="Calibri(Body)" w:cs="Times New Roman"/>
                <w:i/>
                <w:color w:val="808080" w:themeColor="background1" w:themeShade="80"/>
                <w:sz w:val="22"/>
                <w:szCs w:val="22"/>
                <w:vertAlign w:val="superscript"/>
              </w:rPr>
              <w:t xml:space="preserve"> (Tiekėjo arba jo įgalioto asmens pareigų pavadinimas)</w:t>
            </w:r>
          </w:p>
        </w:tc>
        <w:tc>
          <w:tcPr>
            <w:tcW w:w="607" w:type="dxa"/>
            <w:tcBorders>
              <w:top w:val="nil"/>
              <w:left w:val="nil"/>
              <w:bottom w:val="nil"/>
              <w:right w:val="nil"/>
            </w:tcBorders>
          </w:tcPr>
          <w:p w14:paraId="3BF57998" w14:textId="77777777" w:rsidR="00CC00AF" w:rsidRPr="00CC00AF" w:rsidRDefault="00CC00AF" w:rsidP="00CC00AF">
            <w:pPr>
              <w:spacing w:after="0" w:line="240" w:lineRule="auto"/>
              <w:rPr>
                <w:rFonts w:ascii="Calibri(Body)" w:hAnsi="Calibri(Body)"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53469B01" w14:textId="77777777" w:rsidR="00CC00AF" w:rsidRPr="00CC00AF" w:rsidRDefault="00CC00AF" w:rsidP="00CC00AF">
            <w:pPr>
              <w:spacing w:after="0" w:line="240" w:lineRule="auto"/>
              <w:jc w:val="center"/>
              <w:rPr>
                <w:rFonts w:ascii="Calibri(Body)" w:hAnsi="Calibri(Body)" w:cs="Times New Roman"/>
                <w:color w:val="808080" w:themeColor="background1" w:themeShade="80"/>
                <w:sz w:val="22"/>
                <w:szCs w:val="22"/>
                <w:vertAlign w:val="superscript"/>
              </w:rPr>
            </w:pPr>
            <w:r w:rsidRPr="00CC00AF">
              <w:rPr>
                <w:rFonts w:ascii="Calibri(Body)" w:hAnsi="Calibri(Body)"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56B54696" w14:textId="77777777" w:rsidR="00CC00AF" w:rsidRPr="00CC00AF" w:rsidRDefault="00CC00AF" w:rsidP="00CC00AF">
            <w:pPr>
              <w:spacing w:after="0" w:line="240" w:lineRule="auto"/>
              <w:rPr>
                <w:rFonts w:ascii="Calibri(Body)" w:hAnsi="Calibri(Body)"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0361BE70" w14:textId="77777777" w:rsidR="00CC00AF" w:rsidRPr="00CC00AF" w:rsidRDefault="00CC00AF" w:rsidP="00CC00AF">
            <w:pPr>
              <w:spacing w:after="0" w:line="240" w:lineRule="auto"/>
              <w:jc w:val="right"/>
              <w:rPr>
                <w:rFonts w:ascii="Calibri(Body)" w:hAnsi="Calibri(Body)" w:cs="Times New Roman"/>
                <w:color w:val="808080" w:themeColor="background1" w:themeShade="80"/>
                <w:sz w:val="22"/>
                <w:szCs w:val="22"/>
                <w:vertAlign w:val="superscript"/>
              </w:rPr>
            </w:pPr>
            <w:r w:rsidRPr="00CC00AF">
              <w:rPr>
                <w:rFonts w:ascii="Calibri(Body)" w:hAnsi="Calibri(Body)" w:cs="Times New Roman"/>
                <w:i/>
                <w:color w:val="808080" w:themeColor="background1" w:themeShade="80"/>
                <w:sz w:val="22"/>
                <w:szCs w:val="22"/>
                <w:vertAlign w:val="superscript"/>
              </w:rPr>
              <w:t>(Vardas, pavardė)</w:t>
            </w:r>
          </w:p>
        </w:tc>
      </w:tr>
    </w:tbl>
    <w:p w14:paraId="75AC1755" w14:textId="6608062C" w:rsidR="00CC00AF" w:rsidRDefault="00CC00AF" w:rsidP="008C7C8C">
      <w:pPr>
        <w:jc w:val="both"/>
        <w:rPr>
          <w:rFonts w:cstheme="minorHAnsi"/>
          <w:sz w:val="20"/>
          <w:szCs w:val="20"/>
        </w:rPr>
      </w:pPr>
    </w:p>
    <w:p w14:paraId="5CE1AE35" w14:textId="58E51A7E" w:rsidR="00CC00AF" w:rsidRDefault="00CC00AF" w:rsidP="008C7C8C">
      <w:pPr>
        <w:jc w:val="both"/>
        <w:rPr>
          <w:rFonts w:cstheme="minorHAnsi"/>
          <w:sz w:val="20"/>
          <w:szCs w:val="20"/>
        </w:rPr>
      </w:pPr>
    </w:p>
    <w:p w14:paraId="68363B8C" w14:textId="77777777" w:rsidR="00CC00AF" w:rsidRPr="00425CFB" w:rsidRDefault="00CC00AF" w:rsidP="008C7C8C">
      <w:pPr>
        <w:jc w:val="both"/>
        <w:rPr>
          <w:rFonts w:cstheme="minorHAnsi"/>
          <w:sz w:val="20"/>
          <w:szCs w:val="20"/>
        </w:rPr>
      </w:pP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2811E2" w:rsidRDefault="004D3BE3" w:rsidP="004D3BE3">
      <w:pPr>
        <w:pStyle w:val="Heading2"/>
        <w:ind w:left="5103"/>
        <w:rPr>
          <w:rFonts w:asciiTheme="minorHAnsi" w:hAnsiTheme="minorHAnsi"/>
          <w:color w:val="auto"/>
          <w:sz w:val="21"/>
          <w:szCs w:val="21"/>
        </w:rPr>
      </w:pPr>
      <w:bookmarkStart w:id="77" w:name="_Toc126333947"/>
      <w:r w:rsidRPr="002811E2">
        <w:rPr>
          <w:rFonts w:asciiTheme="minorHAnsi" w:hAnsiTheme="minorHAnsi"/>
          <w:color w:val="auto"/>
          <w:sz w:val="21"/>
          <w:szCs w:val="21"/>
        </w:rPr>
        <w:lastRenderedPageBreak/>
        <w:t xml:space="preserve">Pirkimo sąlygų 9 priedas „Tiekėjo deklaracija </w:t>
      </w:r>
      <w:r w:rsidR="002A25D9" w:rsidRPr="002811E2">
        <w:rPr>
          <w:rFonts w:asciiTheme="minorHAnsi" w:hAnsiTheme="minorHAnsi"/>
          <w:color w:val="auto"/>
          <w:sz w:val="21"/>
          <w:szCs w:val="21"/>
        </w:rPr>
        <w:t xml:space="preserve">dėl atitikties Reglamento nuostatoms </w:t>
      </w:r>
      <w:r w:rsidRPr="002811E2">
        <w:rPr>
          <w:rFonts w:asciiTheme="minorHAnsi" w:hAnsiTheme="minorHAnsi"/>
          <w:color w:val="auto"/>
          <w:sz w:val="21"/>
          <w:szCs w:val="21"/>
        </w:rPr>
        <w:t>fiziniam asmeniui“</w:t>
      </w:r>
      <w:bookmarkEnd w:id="77"/>
    </w:p>
    <w:p w14:paraId="722834BE" w14:textId="77777777" w:rsidR="00210594" w:rsidRPr="002811E2"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6A2C604C"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3C69635" w14:textId="77777777" w:rsidR="00CC00AF" w:rsidRPr="00CC00AF" w:rsidRDefault="00CC00AF" w:rsidP="00CC00AF">
      <w:pPr>
        <w:spacing w:after="0" w:line="240" w:lineRule="auto"/>
        <w:ind w:left="720"/>
        <w:contextualSpacing/>
        <w:jc w:val="center"/>
        <w:rPr>
          <w:rFonts w:eastAsiaTheme="minorHAnsi" w:cstheme="minorHAnsi"/>
          <w:b/>
          <w:bCs/>
          <w:caps/>
          <w:sz w:val="24"/>
          <w:szCs w:val="24"/>
          <w:lang w:eastAsia="en-US"/>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0AF" w:rsidRPr="00CC00AF" w14:paraId="5B4EA014" w14:textId="77777777" w:rsidTr="00E857F2">
        <w:trPr>
          <w:trHeight w:val="186"/>
        </w:trPr>
        <w:tc>
          <w:tcPr>
            <w:tcW w:w="3888" w:type="dxa"/>
            <w:tcBorders>
              <w:top w:val="single" w:sz="4" w:space="0" w:color="auto"/>
              <w:left w:val="nil"/>
              <w:bottom w:val="nil"/>
              <w:right w:val="nil"/>
            </w:tcBorders>
          </w:tcPr>
          <w:p w14:paraId="047D4D38" w14:textId="77777777" w:rsidR="00CC00AF" w:rsidRPr="00CC00AF" w:rsidRDefault="00CC00AF" w:rsidP="00CC00AF">
            <w:pPr>
              <w:spacing w:after="0" w:line="240" w:lineRule="auto"/>
              <w:rPr>
                <w:rFonts w:ascii="Calibri(Body)" w:hAnsi="Calibri(Body)" w:cs="Times New Roman"/>
                <w:color w:val="808080" w:themeColor="background1" w:themeShade="80"/>
                <w:sz w:val="22"/>
                <w:szCs w:val="22"/>
                <w:vertAlign w:val="superscript"/>
              </w:rPr>
            </w:pPr>
            <w:r w:rsidRPr="00CC00AF">
              <w:rPr>
                <w:rFonts w:ascii="Calibri(Body)" w:hAnsi="Calibri(Body)" w:cs="Times New Roman"/>
                <w:i/>
                <w:color w:val="808080" w:themeColor="background1" w:themeShade="80"/>
                <w:sz w:val="22"/>
                <w:szCs w:val="22"/>
                <w:vertAlign w:val="superscript"/>
              </w:rPr>
              <w:t xml:space="preserve"> (Tiekėjo arba jo įgalioto asmens pareigų pavadinimas)</w:t>
            </w:r>
          </w:p>
        </w:tc>
        <w:tc>
          <w:tcPr>
            <w:tcW w:w="607" w:type="dxa"/>
            <w:tcBorders>
              <w:top w:val="nil"/>
              <w:left w:val="nil"/>
              <w:bottom w:val="nil"/>
              <w:right w:val="nil"/>
            </w:tcBorders>
          </w:tcPr>
          <w:p w14:paraId="56080847" w14:textId="77777777" w:rsidR="00CC00AF" w:rsidRPr="00CC00AF" w:rsidRDefault="00CC00AF" w:rsidP="00CC00AF">
            <w:pPr>
              <w:spacing w:after="0" w:line="240" w:lineRule="auto"/>
              <w:rPr>
                <w:rFonts w:ascii="Calibri(Body)" w:hAnsi="Calibri(Body)"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0D3268B5" w14:textId="77777777" w:rsidR="00CC00AF" w:rsidRPr="00CC00AF" w:rsidRDefault="00CC00AF" w:rsidP="00CC00AF">
            <w:pPr>
              <w:spacing w:after="0" w:line="240" w:lineRule="auto"/>
              <w:jc w:val="center"/>
              <w:rPr>
                <w:rFonts w:ascii="Calibri(Body)" w:hAnsi="Calibri(Body)" w:cs="Times New Roman"/>
                <w:color w:val="808080" w:themeColor="background1" w:themeShade="80"/>
                <w:sz w:val="22"/>
                <w:szCs w:val="22"/>
                <w:vertAlign w:val="superscript"/>
              </w:rPr>
            </w:pPr>
            <w:r w:rsidRPr="00CC00AF">
              <w:rPr>
                <w:rFonts w:ascii="Calibri(Body)" w:hAnsi="Calibri(Body)"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61E7A438" w14:textId="77777777" w:rsidR="00CC00AF" w:rsidRPr="00CC00AF" w:rsidRDefault="00CC00AF" w:rsidP="00CC00AF">
            <w:pPr>
              <w:spacing w:after="0" w:line="240" w:lineRule="auto"/>
              <w:rPr>
                <w:rFonts w:ascii="Calibri(Body)" w:hAnsi="Calibri(Body)"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0E93E897" w14:textId="77777777" w:rsidR="00CC00AF" w:rsidRPr="00CC00AF" w:rsidRDefault="00CC00AF" w:rsidP="00CC00AF">
            <w:pPr>
              <w:spacing w:after="0" w:line="240" w:lineRule="auto"/>
              <w:jc w:val="right"/>
              <w:rPr>
                <w:rFonts w:ascii="Calibri(Body)" w:hAnsi="Calibri(Body)" w:cs="Times New Roman"/>
                <w:color w:val="808080" w:themeColor="background1" w:themeShade="80"/>
                <w:sz w:val="22"/>
                <w:szCs w:val="22"/>
                <w:vertAlign w:val="superscript"/>
              </w:rPr>
            </w:pPr>
            <w:r w:rsidRPr="00CC00AF">
              <w:rPr>
                <w:rFonts w:ascii="Calibri(Body)" w:hAnsi="Calibri(Body)" w:cs="Times New Roman"/>
                <w:i/>
                <w:color w:val="808080" w:themeColor="background1" w:themeShade="80"/>
                <w:sz w:val="22"/>
                <w:szCs w:val="22"/>
                <w:vertAlign w:val="superscript"/>
              </w:rPr>
              <w:t>(Vardas, pavardė)</w:t>
            </w:r>
          </w:p>
        </w:tc>
      </w:tr>
    </w:tbl>
    <w:p w14:paraId="437724B7" w14:textId="03CF5B7A" w:rsidR="00CC00AF" w:rsidRDefault="00CC00AF" w:rsidP="00E957CD">
      <w:pPr>
        <w:jc w:val="both"/>
        <w:rPr>
          <w:rFonts w:cstheme="minorHAnsi"/>
          <w:sz w:val="20"/>
          <w:szCs w:val="20"/>
          <w:shd w:val="clear" w:color="auto" w:fill="FFFFFF"/>
        </w:rPr>
      </w:pPr>
    </w:p>
    <w:p w14:paraId="44F5136A" w14:textId="77777777" w:rsidR="00CC00AF" w:rsidRDefault="00CC00AF">
      <w:pPr>
        <w:rPr>
          <w:rFonts w:cstheme="minorHAnsi"/>
          <w:sz w:val="20"/>
          <w:szCs w:val="20"/>
          <w:shd w:val="clear" w:color="auto" w:fill="FFFFFF"/>
        </w:rPr>
      </w:pPr>
      <w:r>
        <w:rPr>
          <w:rFonts w:cstheme="minorHAnsi"/>
          <w:sz w:val="20"/>
          <w:szCs w:val="20"/>
          <w:shd w:val="clear" w:color="auto" w:fill="FFFFFF"/>
        </w:rPr>
        <w:br w:type="page"/>
      </w:r>
    </w:p>
    <w:p w14:paraId="5DC5C150" w14:textId="0C822510" w:rsidR="008D704D" w:rsidRPr="002811E2" w:rsidRDefault="00FE3D1F" w:rsidP="00AB5541">
      <w:pPr>
        <w:pStyle w:val="Heading2"/>
        <w:ind w:left="5103"/>
        <w:rPr>
          <w:rFonts w:asciiTheme="minorHAnsi" w:hAnsiTheme="minorHAnsi"/>
          <w:color w:val="auto"/>
          <w:sz w:val="21"/>
          <w:szCs w:val="21"/>
        </w:rPr>
      </w:pPr>
      <w:bookmarkStart w:id="78" w:name="_Toc126333948"/>
      <w:r w:rsidRPr="002811E2">
        <w:rPr>
          <w:rFonts w:asciiTheme="minorHAnsi" w:hAnsiTheme="minorHAnsi"/>
          <w:color w:val="auto"/>
          <w:sz w:val="21"/>
          <w:szCs w:val="21"/>
        </w:rPr>
        <w:lastRenderedPageBreak/>
        <w:t xml:space="preserve">Pirkimo sąlygų </w:t>
      </w:r>
      <w:r w:rsidR="00AB5FFA" w:rsidRPr="002811E2">
        <w:rPr>
          <w:rFonts w:asciiTheme="minorHAnsi" w:hAnsiTheme="minorHAnsi"/>
          <w:color w:val="auto"/>
          <w:sz w:val="21"/>
          <w:szCs w:val="21"/>
        </w:rPr>
        <w:t>10</w:t>
      </w:r>
      <w:r w:rsidRPr="002811E2">
        <w:rPr>
          <w:rFonts w:asciiTheme="minorHAnsi" w:hAnsiTheme="minorHAnsi"/>
          <w:color w:val="auto"/>
          <w:sz w:val="21"/>
          <w:szCs w:val="21"/>
        </w:rPr>
        <w:t xml:space="preserve"> priedas </w:t>
      </w:r>
      <w:r w:rsidR="008D704D" w:rsidRPr="002811E2">
        <w:rPr>
          <w:rFonts w:asciiTheme="minorHAnsi" w:hAnsiTheme="minorHAnsi"/>
          <w:color w:val="auto"/>
          <w:sz w:val="21"/>
          <w:szCs w:val="21"/>
        </w:rPr>
        <w:t>„Sutarties projektas“</w:t>
      </w:r>
      <w:bookmarkEnd w:id="74"/>
      <w:bookmarkEnd w:id="75"/>
      <w:bookmarkEnd w:id="76"/>
      <w:bookmarkEnd w:id="78"/>
    </w:p>
    <w:p w14:paraId="54AC534A" w14:textId="77777777" w:rsidR="002811E2" w:rsidRDefault="002811E2" w:rsidP="002811E2">
      <w:pPr>
        <w:jc w:val="center"/>
        <w:rPr>
          <w:rFonts w:eastAsia="Calibri" w:cstheme="minorHAnsi"/>
          <w:b/>
          <w:iCs/>
          <w:sz w:val="28"/>
          <w:szCs w:val="28"/>
        </w:rPr>
      </w:pPr>
    </w:p>
    <w:p w14:paraId="14ECD5D4" w14:textId="72042CB3" w:rsidR="002811E2" w:rsidRPr="002811E2" w:rsidRDefault="002811E2" w:rsidP="002811E2">
      <w:pPr>
        <w:jc w:val="center"/>
        <w:rPr>
          <w:rFonts w:eastAsia="Calibri" w:cstheme="minorHAnsi"/>
          <w:b/>
          <w:iCs/>
          <w:sz w:val="28"/>
          <w:szCs w:val="28"/>
        </w:rPr>
      </w:pPr>
      <w:r w:rsidRPr="002811E2">
        <w:rPr>
          <w:rFonts w:eastAsia="Calibri" w:cstheme="minorHAnsi"/>
          <w:b/>
          <w:iCs/>
          <w:sz w:val="28"/>
          <w:szCs w:val="28"/>
        </w:rPr>
        <w:t>SUTARTIES PROJEKTAS</w:t>
      </w:r>
    </w:p>
    <w:p w14:paraId="5CD3E002" w14:textId="77777777" w:rsidR="002811E2" w:rsidRPr="002811E2" w:rsidRDefault="002811E2" w:rsidP="002811E2">
      <w:pPr>
        <w:jc w:val="center"/>
        <w:rPr>
          <w:rFonts w:eastAsia="Calibri" w:cstheme="minorHAnsi"/>
          <w:i/>
          <w:iCs/>
        </w:rPr>
      </w:pPr>
      <w:r w:rsidRPr="002811E2">
        <w:rPr>
          <w:rFonts w:eastAsia="Calibri" w:cstheme="minorHAnsi"/>
          <w:i/>
          <w:iCs/>
        </w:rPr>
        <w:t xml:space="preserve">(pridedama atskiru dokumentu) </w:t>
      </w:r>
    </w:p>
    <w:p w14:paraId="77D492C1" w14:textId="77777777" w:rsidR="002811E2" w:rsidRPr="002811E2" w:rsidRDefault="002811E2" w:rsidP="002811E2"/>
    <w:sectPr w:rsidR="002811E2" w:rsidRPr="002811E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8B60D" w14:textId="77777777" w:rsidR="00023911" w:rsidRDefault="00023911" w:rsidP="00D05666">
      <w:r>
        <w:separator/>
      </w:r>
    </w:p>
  </w:endnote>
  <w:endnote w:type="continuationSeparator" w:id="0">
    <w:p w14:paraId="2D91B085" w14:textId="77777777" w:rsidR="00023911" w:rsidRDefault="00023911" w:rsidP="00D05666">
      <w:r>
        <w:continuationSeparator/>
      </w:r>
    </w:p>
  </w:endnote>
  <w:endnote w:type="continuationNotice" w:id="1">
    <w:p w14:paraId="7A71A307" w14:textId="77777777" w:rsidR="00023911" w:rsidRDefault="00023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186ACA" w:rsidRDefault="00186A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186ACA" w:rsidRDefault="0018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186ACA" w:rsidRDefault="00186ACA">
    <w:pPr>
      <w:pStyle w:val="Footer"/>
      <w:jc w:val="right"/>
    </w:pPr>
  </w:p>
  <w:p w14:paraId="2575BBBA" w14:textId="77777777" w:rsidR="00186ACA" w:rsidRDefault="00186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186ACA" w:rsidRDefault="00186ACA">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186ACA" w:rsidRDefault="00186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9E47B" w14:textId="77777777" w:rsidR="00023911" w:rsidRDefault="00023911" w:rsidP="00D05666">
      <w:r>
        <w:separator/>
      </w:r>
    </w:p>
  </w:footnote>
  <w:footnote w:type="continuationSeparator" w:id="0">
    <w:p w14:paraId="23403368" w14:textId="77777777" w:rsidR="00023911" w:rsidRDefault="00023911" w:rsidP="00D05666">
      <w:r>
        <w:continuationSeparator/>
      </w:r>
    </w:p>
  </w:footnote>
  <w:footnote w:type="continuationNotice" w:id="1">
    <w:p w14:paraId="491B2060" w14:textId="77777777" w:rsidR="00023911" w:rsidRDefault="00023911">
      <w:pPr>
        <w:spacing w:after="0" w:line="240" w:lineRule="auto"/>
      </w:pPr>
    </w:p>
  </w:footnote>
  <w:footnote w:id="2">
    <w:p w14:paraId="1183DB88" w14:textId="77777777" w:rsidR="00A35CB2" w:rsidRDefault="00A35CB2" w:rsidP="00A35CB2">
      <w:pPr>
        <w:pStyle w:val="FootnoteText"/>
      </w:pPr>
      <w:r>
        <w:rPr>
          <w:rStyle w:val="FootnoteReference"/>
        </w:rPr>
        <w:footnoteRef/>
      </w:r>
      <w:r>
        <w:t xml:space="preserve"> </w:t>
      </w:r>
      <w:r w:rsidRPr="00205931">
        <w:t>Tas pats asmuo gal</w:t>
      </w:r>
      <w:r>
        <w:t>i</w:t>
      </w:r>
      <w:r w:rsidRPr="00205931">
        <w:t xml:space="preserve"> vykdyti kelių specialistų</w:t>
      </w:r>
      <w:r>
        <w:t xml:space="preserve"> funkcijas. </w:t>
      </w:r>
      <w:r w:rsidRPr="00205931">
        <w:t>Sutartį galės vykdyti tik nustatytus kvalifikacijos reikalavimus atitinkantys specialistai</w:t>
      </w:r>
      <w:r>
        <w:t>.</w:t>
      </w:r>
    </w:p>
  </w:footnote>
  <w:footnote w:id="3">
    <w:p w14:paraId="0A89B6C4" w14:textId="77777777" w:rsidR="00A35CB2" w:rsidRDefault="00A35CB2" w:rsidP="00A35CB2">
      <w:pPr>
        <w:pStyle w:val="FootnoteText"/>
      </w:pPr>
      <w:r>
        <w:rPr>
          <w:rStyle w:val="FootnoteReference"/>
        </w:rPr>
        <w:footnoteRef/>
      </w:r>
      <w:r>
        <w:t xml:space="preserve"> </w:t>
      </w:r>
      <w:r w:rsidRPr="00AB3542">
        <w:t>HCI (angl. Hyper-Converged Infrastructure) – tai IT infrastruktūros architektūra, kuri sujungia skaičiavimo, saugyklos ir tinklų valdymo resursus į vieną integruotą platformą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186ACA" w:rsidRDefault="00186ACA">
    <w:pPr>
      <w:pStyle w:val="Header"/>
      <w:jc w:val="right"/>
    </w:pPr>
  </w:p>
  <w:p w14:paraId="68E3FFE8" w14:textId="3805043F" w:rsidR="00186ACA" w:rsidRDefault="00186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F476B8"/>
    <w:multiLevelType w:val="hybridMultilevel"/>
    <w:tmpl w:val="745680AC"/>
    <w:lvl w:ilvl="0" w:tplc="04270001">
      <w:start w:val="1"/>
      <w:numFmt w:val="bullet"/>
      <w:lvlText w:val=""/>
      <w:lvlJc w:val="left"/>
      <w:pPr>
        <w:ind w:left="789" w:hanging="360"/>
      </w:pPr>
      <w:rPr>
        <w:rFonts w:ascii="Symbol" w:hAnsi="Symbol" w:hint="default"/>
      </w:rPr>
    </w:lvl>
    <w:lvl w:ilvl="1" w:tplc="04270003" w:tentative="1">
      <w:start w:val="1"/>
      <w:numFmt w:val="bullet"/>
      <w:lvlText w:val="o"/>
      <w:lvlJc w:val="left"/>
      <w:pPr>
        <w:ind w:left="1509" w:hanging="360"/>
      </w:pPr>
      <w:rPr>
        <w:rFonts w:ascii="Courier New" w:hAnsi="Courier New" w:cs="Courier New" w:hint="default"/>
      </w:rPr>
    </w:lvl>
    <w:lvl w:ilvl="2" w:tplc="04270005" w:tentative="1">
      <w:start w:val="1"/>
      <w:numFmt w:val="bullet"/>
      <w:lvlText w:val=""/>
      <w:lvlJc w:val="left"/>
      <w:pPr>
        <w:ind w:left="2229" w:hanging="360"/>
      </w:pPr>
      <w:rPr>
        <w:rFonts w:ascii="Wingdings" w:hAnsi="Wingdings" w:hint="default"/>
      </w:rPr>
    </w:lvl>
    <w:lvl w:ilvl="3" w:tplc="04270001" w:tentative="1">
      <w:start w:val="1"/>
      <w:numFmt w:val="bullet"/>
      <w:lvlText w:val=""/>
      <w:lvlJc w:val="left"/>
      <w:pPr>
        <w:ind w:left="2949" w:hanging="360"/>
      </w:pPr>
      <w:rPr>
        <w:rFonts w:ascii="Symbol" w:hAnsi="Symbol" w:hint="default"/>
      </w:rPr>
    </w:lvl>
    <w:lvl w:ilvl="4" w:tplc="04270003" w:tentative="1">
      <w:start w:val="1"/>
      <w:numFmt w:val="bullet"/>
      <w:lvlText w:val="o"/>
      <w:lvlJc w:val="left"/>
      <w:pPr>
        <w:ind w:left="3669" w:hanging="360"/>
      </w:pPr>
      <w:rPr>
        <w:rFonts w:ascii="Courier New" w:hAnsi="Courier New" w:cs="Courier New" w:hint="default"/>
      </w:rPr>
    </w:lvl>
    <w:lvl w:ilvl="5" w:tplc="04270005" w:tentative="1">
      <w:start w:val="1"/>
      <w:numFmt w:val="bullet"/>
      <w:lvlText w:val=""/>
      <w:lvlJc w:val="left"/>
      <w:pPr>
        <w:ind w:left="4389" w:hanging="360"/>
      </w:pPr>
      <w:rPr>
        <w:rFonts w:ascii="Wingdings" w:hAnsi="Wingdings" w:hint="default"/>
      </w:rPr>
    </w:lvl>
    <w:lvl w:ilvl="6" w:tplc="04270001" w:tentative="1">
      <w:start w:val="1"/>
      <w:numFmt w:val="bullet"/>
      <w:lvlText w:val=""/>
      <w:lvlJc w:val="left"/>
      <w:pPr>
        <w:ind w:left="5109" w:hanging="360"/>
      </w:pPr>
      <w:rPr>
        <w:rFonts w:ascii="Symbol" w:hAnsi="Symbol" w:hint="default"/>
      </w:rPr>
    </w:lvl>
    <w:lvl w:ilvl="7" w:tplc="04270003" w:tentative="1">
      <w:start w:val="1"/>
      <w:numFmt w:val="bullet"/>
      <w:lvlText w:val="o"/>
      <w:lvlJc w:val="left"/>
      <w:pPr>
        <w:ind w:left="5829" w:hanging="360"/>
      </w:pPr>
      <w:rPr>
        <w:rFonts w:ascii="Courier New" w:hAnsi="Courier New" w:cs="Courier New" w:hint="default"/>
      </w:rPr>
    </w:lvl>
    <w:lvl w:ilvl="8" w:tplc="04270005" w:tentative="1">
      <w:start w:val="1"/>
      <w:numFmt w:val="bullet"/>
      <w:lvlText w:val=""/>
      <w:lvlJc w:val="left"/>
      <w:pPr>
        <w:ind w:left="6549" w:hanging="360"/>
      </w:pPr>
      <w:rPr>
        <w:rFonts w:ascii="Wingdings" w:hAnsi="Wingdings" w:hint="default"/>
      </w:rPr>
    </w:lvl>
  </w:abstractNum>
  <w:abstractNum w:abstractNumId="4" w15:restartNumberingAfterBreak="0">
    <w:nsid w:val="1F9309BB"/>
    <w:multiLevelType w:val="multilevel"/>
    <w:tmpl w:val="9C700F30"/>
    <w:lvl w:ilvl="0">
      <w:start w:val="1"/>
      <w:numFmt w:val="decimal"/>
      <w:lvlText w:val="%1."/>
      <w:lvlJc w:val="left"/>
      <w:pPr>
        <w:ind w:left="360" w:hanging="360"/>
      </w:pPr>
      <w:rPr>
        <w:rFonts w:asciiTheme="minorHAnsi" w:eastAsia="Calibri" w:hAnsiTheme="minorHAnsi" w:cstheme="minorHAnsi"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13E0A1D"/>
    <w:multiLevelType w:val="hybridMultilevel"/>
    <w:tmpl w:val="D02E19C0"/>
    <w:lvl w:ilvl="0" w:tplc="3CA84B70">
      <w:start w:val="2"/>
      <w:numFmt w:val="decimal"/>
      <w:lvlText w:val="%1."/>
      <w:lvlJc w:val="left"/>
      <w:pPr>
        <w:ind w:left="912" w:hanging="360"/>
      </w:pPr>
      <w:rPr>
        <w:sz w:val="21"/>
        <w:szCs w:val="21"/>
      </w:r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5046857"/>
    <w:multiLevelType w:val="hybridMultilevel"/>
    <w:tmpl w:val="5A5CF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1"/>
  </w:num>
  <w:num w:numId="3">
    <w:abstractNumId w:val="13"/>
  </w:num>
  <w:num w:numId="4">
    <w:abstractNumId w:val="15"/>
  </w:num>
  <w:num w:numId="5">
    <w:abstractNumId w:val="12"/>
  </w:num>
  <w:num w:numId="6">
    <w:abstractNumId w:val="21"/>
  </w:num>
  <w:num w:numId="7">
    <w:abstractNumId w:val="18"/>
  </w:num>
  <w:num w:numId="8">
    <w:abstractNumId w:val="0"/>
  </w:num>
  <w:num w:numId="9">
    <w:abstractNumId w:val="19"/>
  </w:num>
  <w:num w:numId="10">
    <w:abstractNumId w:val="17"/>
  </w:num>
  <w:num w:numId="11">
    <w:abstractNumId w:val="14"/>
  </w:num>
  <w:num w:numId="12">
    <w:abstractNumId w:val="8"/>
  </w:num>
  <w:num w:numId="13">
    <w:abstractNumId w:val="9"/>
  </w:num>
  <w:num w:numId="14">
    <w:abstractNumId w:val="16"/>
  </w:num>
  <w:num w:numId="15">
    <w:abstractNumId w:val="2"/>
  </w:num>
  <w:num w:numId="16">
    <w:abstractNumId w:val="6"/>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 w:numId="20">
    <w:abstractNumId w:val="4"/>
  </w:num>
  <w:num w:numId="21">
    <w:abstractNumId w:val="20"/>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2CB"/>
    <w:rsid w:val="00021574"/>
    <w:rsid w:val="0002188A"/>
    <w:rsid w:val="00021ECC"/>
    <w:rsid w:val="00021EFA"/>
    <w:rsid w:val="000221F4"/>
    <w:rsid w:val="00022DEB"/>
    <w:rsid w:val="00022E0C"/>
    <w:rsid w:val="00023641"/>
    <w:rsid w:val="0002391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A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969"/>
    <w:rsid w:val="00145B8E"/>
    <w:rsid w:val="00146BC9"/>
    <w:rsid w:val="00147552"/>
    <w:rsid w:val="00147A63"/>
    <w:rsid w:val="00147A8C"/>
    <w:rsid w:val="00150067"/>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502"/>
    <w:rsid w:val="001607EC"/>
    <w:rsid w:val="001609D9"/>
    <w:rsid w:val="00160A4A"/>
    <w:rsid w:val="001640AF"/>
    <w:rsid w:val="00164443"/>
    <w:rsid w:val="001647BD"/>
    <w:rsid w:val="0016588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613"/>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ACA"/>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0A"/>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DDE"/>
    <w:rsid w:val="001D414C"/>
    <w:rsid w:val="001D41F4"/>
    <w:rsid w:val="001D51E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4B4"/>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E2"/>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3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58A"/>
    <w:rsid w:val="002F67FD"/>
    <w:rsid w:val="002F6EDD"/>
    <w:rsid w:val="002F7A04"/>
    <w:rsid w:val="002F7B28"/>
    <w:rsid w:val="002F7D23"/>
    <w:rsid w:val="00300FEF"/>
    <w:rsid w:val="00301185"/>
    <w:rsid w:val="00301B49"/>
    <w:rsid w:val="003021B7"/>
    <w:rsid w:val="0030230E"/>
    <w:rsid w:val="0030270A"/>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17"/>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AC"/>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D0B"/>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2EC"/>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546"/>
    <w:rsid w:val="003D245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B1"/>
    <w:rsid w:val="003E7F39"/>
    <w:rsid w:val="003F084C"/>
    <w:rsid w:val="003F092C"/>
    <w:rsid w:val="003F0DA7"/>
    <w:rsid w:val="003F139A"/>
    <w:rsid w:val="003F14C3"/>
    <w:rsid w:val="003F1531"/>
    <w:rsid w:val="003F185C"/>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536"/>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3B"/>
    <w:rsid w:val="0047554A"/>
    <w:rsid w:val="00475F9B"/>
    <w:rsid w:val="00476119"/>
    <w:rsid w:val="0047687E"/>
    <w:rsid w:val="00476CDD"/>
    <w:rsid w:val="00476F8C"/>
    <w:rsid w:val="00477E28"/>
    <w:rsid w:val="00481849"/>
    <w:rsid w:val="00482647"/>
    <w:rsid w:val="00482BA1"/>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C95"/>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3A"/>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33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3EF"/>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F03"/>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DED"/>
    <w:rsid w:val="00564ED0"/>
    <w:rsid w:val="00565036"/>
    <w:rsid w:val="005651C4"/>
    <w:rsid w:val="00565724"/>
    <w:rsid w:val="005669CC"/>
    <w:rsid w:val="00566C15"/>
    <w:rsid w:val="00566CC6"/>
    <w:rsid w:val="005670A1"/>
    <w:rsid w:val="00567348"/>
    <w:rsid w:val="00567800"/>
    <w:rsid w:val="00567A52"/>
    <w:rsid w:val="00567D50"/>
    <w:rsid w:val="00570722"/>
    <w:rsid w:val="0057158C"/>
    <w:rsid w:val="005717E5"/>
    <w:rsid w:val="005717E7"/>
    <w:rsid w:val="0057188A"/>
    <w:rsid w:val="00571EE0"/>
    <w:rsid w:val="00572AF3"/>
    <w:rsid w:val="00572FCF"/>
    <w:rsid w:val="00574007"/>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C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9D4"/>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26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431"/>
    <w:rsid w:val="00670121"/>
    <w:rsid w:val="00670373"/>
    <w:rsid w:val="006715F4"/>
    <w:rsid w:val="00671B2B"/>
    <w:rsid w:val="00671DB5"/>
    <w:rsid w:val="0067281B"/>
    <w:rsid w:val="0067282A"/>
    <w:rsid w:val="00673538"/>
    <w:rsid w:val="0067465F"/>
    <w:rsid w:val="006752D5"/>
    <w:rsid w:val="00675AFC"/>
    <w:rsid w:val="00676607"/>
    <w:rsid w:val="006773B6"/>
    <w:rsid w:val="00677704"/>
    <w:rsid w:val="00680281"/>
    <w:rsid w:val="00681CDE"/>
    <w:rsid w:val="00681E77"/>
    <w:rsid w:val="006824FC"/>
    <w:rsid w:val="006837D6"/>
    <w:rsid w:val="00684031"/>
    <w:rsid w:val="0068448B"/>
    <w:rsid w:val="00684A39"/>
    <w:rsid w:val="00685538"/>
    <w:rsid w:val="00685C49"/>
    <w:rsid w:val="00685F30"/>
    <w:rsid w:val="006864E5"/>
    <w:rsid w:val="0068660C"/>
    <w:rsid w:val="00686D6F"/>
    <w:rsid w:val="006873F4"/>
    <w:rsid w:val="006876B2"/>
    <w:rsid w:val="00687997"/>
    <w:rsid w:val="00687E47"/>
    <w:rsid w:val="0069025B"/>
    <w:rsid w:val="00690580"/>
    <w:rsid w:val="0069058D"/>
    <w:rsid w:val="006906C5"/>
    <w:rsid w:val="006906FC"/>
    <w:rsid w:val="00690B5C"/>
    <w:rsid w:val="00691BDB"/>
    <w:rsid w:val="00692D1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4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5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AD6"/>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B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D1B"/>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D2"/>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7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134"/>
    <w:rsid w:val="0090314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AD"/>
    <w:rsid w:val="00942226"/>
    <w:rsid w:val="00942379"/>
    <w:rsid w:val="009425A7"/>
    <w:rsid w:val="00942662"/>
    <w:rsid w:val="00942B80"/>
    <w:rsid w:val="00942BCA"/>
    <w:rsid w:val="00942C81"/>
    <w:rsid w:val="0094429A"/>
    <w:rsid w:val="009449B9"/>
    <w:rsid w:val="00944E37"/>
    <w:rsid w:val="00945504"/>
    <w:rsid w:val="009465A0"/>
    <w:rsid w:val="00946722"/>
    <w:rsid w:val="009501C3"/>
    <w:rsid w:val="009502BE"/>
    <w:rsid w:val="009502F5"/>
    <w:rsid w:val="0095225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C4"/>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8D2"/>
    <w:rsid w:val="009A3A73"/>
    <w:rsid w:val="009A43BF"/>
    <w:rsid w:val="009A44C6"/>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D4E"/>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DD4"/>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02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B2"/>
    <w:rsid w:val="00A3675E"/>
    <w:rsid w:val="00A3699B"/>
    <w:rsid w:val="00A36D58"/>
    <w:rsid w:val="00A37503"/>
    <w:rsid w:val="00A41AC1"/>
    <w:rsid w:val="00A41CA4"/>
    <w:rsid w:val="00A42B33"/>
    <w:rsid w:val="00A42FE7"/>
    <w:rsid w:val="00A43140"/>
    <w:rsid w:val="00A436D2"/>
    <w:rsid w:val="00A4394E"/>
    <w:rsid w:val="00A43BC1"/>
    <w:rsid w:val="00A43C02"/>
    <w:rsid w:val="00A43EF3"/>
    <w:rsid w:val="00A44166"/>
    <w:rsid w:val="00A44C01"/>
    <w:rsid w:val="00A45433"/>
    <w:rsid w:val="00A4580A"/>
    <w:rsid w:val="00A4599F"/>
    <w:rsid w:val="00A4619E"/>
    <w:rsid w:val="00A466F1"/>
    <w:rsid w:val="00A478DF"/>
    <w:rsid w:val="00A47A85"/>
    <w:rsid w:val="00A47B75"/>
    <w:rsid w:val="00A47E4A"/>
    <w:rsid w:val="00A507A9"/>
    <w:rsid w:val="00A510B9"/>
    <w:rsid w:val="00A51E81"/>
    <w:rsid w:val="00A52316"/>
    <w:rsid w:val="00A524F1"/>
    <w:rsid w:val="00A5253F"/>
    <w:rsid w:val="00A52B08"/>
    <w:rsid w:val="00A53041"/>
    <w:rsid w:val="00A53BAE"/>
    <w:rsid w:val="00A54DE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80"/>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4AB"/>
    <w:rsid w:val="00AA78B2"/>
    <w:rsid w:val="00AA7C0D"/>
    <w:rsid w:val="00AA7DD1"/>
    <w:rsid w:val="00AB1754"/>
    <w:rsid w:val="00AB1EF3"/>
    <w:rsid w:val="00AB2DB9"/>
    <w:rsid w:val="00AB2E78"/>
    <w:rsid w:val="00AB2FA0"/>
    <w:rsid w:val="00AB3B35"/>
    <w:rsid w:val="00AB3B5E"/>
    <w:rsid w:val="00AB3EA4"/>
    <w:rsid w:val="00AB5541"/>
    <w:rsid w:val="00AB5657"/>
    <w:rsid w:val="00AB58F6"/>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4E3"/>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F90"/>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70"/>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44"/>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8AB"/>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51A"/>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B66"/>
    <w:rsid w:val="00C70F76"/>
    <w:rsid w:val="00C71299"/>
    <w:rsid w:val="00C714A2"/>
    <w:rsid w:val="00C7179F"/>
    <w:rsid w:val="00C72455"/>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D3"/>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B4"/>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3DC"/>
    <w:rsid w:val="00CB6B3C"/>
    <w:rsid w:val="00CB70A1"/>
    <w:rsid w:val="00CB7156"/>
    <w:rsid w:val="00CB748D"/>
    <w:rsid w:val="00CC00A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4E5"/>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099"/>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BDE"/>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01"/>
    <w:rsid w:val="00D61620"/>
    <w:rsid w:val="00D61638"/>
    <w:rsid w:val="00D62793"/>
    <w:rsid w:val="00D62B64"/>
    <w:rsid w:val="00D65C16"/>
    <w:rsid w:val="00D6652F"/>
    <w:rsid w:val="00D6654D"/>
    <w:rsid w:val="00D66697"/>
    <w:rsid w:val="00D668C3"/>
    <w:rsid w:val="00D66A43"/>
    <w:rsid w:val="00D66F4C"/>
    <w:rsid w:val="00D675E4"/>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AD1"/>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630"/>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5AB"/>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1F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7D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20"/>
    <w:rsid w:val="00F55531"/>
    <w:rsid w:val="00F555C4"/>
    <w:rsid w:val="00F55DB5"/>
    <w:rsid w:val="00F560B4"/>
    <w:rsid w:val="00F56281"/>
    <w:rsid w:val="00F56594"/>
    <w:rsid w:val="00F56FD0"/>
    <w:rsid w:val="00F57102"/>
    <w:rsid w:val="00F5729B"/>
    <w:rsid w:val="00F57665"/>
    <w:rsid w:val="00F57868"/>
    <w:rsid w:val="00F602FE"/>
    <w:rsid w:val="00F60EDE"/>
    <w:rsid w:val="00F610E0"/>
    <w:rsid w:val="00F611D1"/>
    <w:rsid w:val="00F61A15"/>
    <w:rsid w:val="00F6347F"/>
    <w:rsid w:val="00F636E5"/>
    <w:rsid w:val="00F638A8"/>
    <w:rsid w:val="00F63BE9"/>
    <w:rsid w:val="00F63FD1"/>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84"/>
    <w:rsid w:val="00F847E9"/>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33F"/>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B81"/>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ws-normal">
    <w:name w:val="dlx-ws-normal"/>
    <w:basedOn w:val="DefaultParagraphFont"/>
    <w:rsid w:val="00B82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naujienos/kaip-sekmingai-dalyvauti-viesuosiuose-pirkimuose-2020-metai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655C13C-08E5-478D-A52F-89FEC231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24</Pages>
  <Words>23026</Words>
  <Characters>13125</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Ina Kalvaitienė</cp:lastModifiedBy>
  <cp:revision>45</cp:revision>
  <dcterms:created xsi:type="dcterms:W3CDTF">2024-08-08T12:05:00Z</dcterms:created>
  <dcterms:modified xsi:type="dcterms:W3CDTF">2024-12-30T07:11:00Z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