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01E5E" w14:textId="77777777" w:rsidR="00912B21" w:rsidRPr="00912B21" w:rsidRDefault="00A455A6" w:rsidP="00912B21">
      <w:pPr>
        <w:spacing w:after="0" w:line="240" w:lineRule="auto"/>
        <w:jc w:val="center"/>
        <w:rPr>
          <w:rFonts w:ascii="Times New Roman" w:hAnsi="Times New Roman" w:cs="Times New Roman"/>
          <w:b/>
          <w:sz w:val="24"/>
          <w:szCs w:val="24"/>
          <w:lang w:val="lt-LT"/>
        </w:rPr>
      </w:pPr>
      <w:r w:rsidRPr="00912B21">
        <w:rPr>
          <w:rFonts w:ascii="Times New Roman" w:hAnsi="Times New Roman" w:cs="Times New Roman"/>
          <w:b/>
          <w:sz w:val="24"/>
          <w:szCs w:val="24"/>
          <w:lang w:val="lt-LT"/>
        </w:rPr>
        <w:t>DUOMENŲ SRAUTO REPLIKAVIMO ĮRENGINIO</w:t>
      </w:r>
    </w:p>
    <w:p w14:paraId="71345C3A" w14:textId="545A28A5" w:rsidR="00510B4D" w:rsidRPr="00912B21" w:rsidRDefault="00A75C77" w:rsidP="00912B21">
      <w:pPr>
        <w:spacing w:after="0" w:line="240" w:lineRule="auto"/>
        <w:jc w:val="center"/>
        <w:rPr>
          <w:rFonts w:ascii="Times New Roman" w:hAnsi="Times New Roman" w:cs="Times New Roman"/>
          <w:b/>
          <w:sz w:val="24"/>
          <w:szCs w:val="24"/>
          <w:lang w:val="lt-LT"/>
        </w:rPr>
      </w:pPr>
      <w:r w:rsidRPr="00912B21">
        <w:rPr>
          <w:rFonts w:ascii="Times New Roman" w:hAnsi="Times New Roman" w:cs="Times New Roman"/>
          <w:b/>
          <w:sz w:val="24"/>
          <w:szCs w:val="24"/>
          <w:lang w:val="lt-LT"/>
        </w:rPr>
        <w:t>TECHNINĖ</w:t>
      </w:r>
      <w:r w:rsidR="00912B21" w:rsidRPr="00912B21">
        <w:rPr>
          <w:rFonts w:ascii="Times New Roman" w:hAnsi="Times New Roman" w:cs="Times New Roman"/>
          <w:b/>
          <w:sz w:val="24"/>
          <w:szCs w:val="24"/>
          <w:lang w:val="lt-LT"/>
        </w:rPr>
        <w:t>S SPECIFIKACIJOS PROJEKTAS</w:t>
      </w:r>
    </w:p>
    <w:p w14:paraId="5FE44C90" w14:textId="77777777" w:rsidR="00912B21" w:rsidRPr="00912B21" w:rsidRDefault="00912B21" w:rsidP="00912B21">
      <w:pPr>
        <w:spacing w:after="0" w:line="240" w:lineRule="auto"/>
        <w:jc w:val="center"/>
        <w:rPr>
          <w:rFonts w:ascii="Times New Roman" w:hAnsi="Times New Roman" w:cs="Times New Roman"/>
          <w:sz w:val="24"/>
          <w:szCs w:val="24"/>
          <w:lang w:val="lt-LT"/>
        </w:rPr>
      </w:pPr>
    </w:p>
    <w:p w14:paraId="21D63735" w14:textId="63DC86CE" w:rsidR="00912B21" w:rsidRPr="0069412F" w:rsidRDefault="00912B21" w:rsidP="00912B21">
      <w:pPr>
        <w:spacing w:after="0" w:line="240" w:lineRule="auto"/>
        <w:ind w:firstLine="567"/>
        <w:rPr>
          <w:rFonts w:ascii="Times New Roman" w:hAnsi="Times New Roman" w:cs="Times New Roman"/>
          <w:b/>
          <w:color w:val="C00000"/>
          <w:sz w:val="24"/>
          <w:szCs w:val="24"/>
          <w:lang w:val="lt-LT"/>
        </w:rPr>
      </w:pPr>
      <w:r w:rsidRPr="0069412F">
        <w:rPr>
          <w:rFonts w:ascii="Times New Roman" w:hAnsi="Times New Roman" w:cs="Times New Roman"/>
          <w:b/>
          <w:color w:val="C00000"/>
          <w:sz w:val="24"/>
          <w:szCs w:val="24"/>
          <w:lang w:val="lt-LT"/>
        </w:rPr>
        <w:t>Klausimai tiekėjams:</w:t>
      </w:r>
    </w:p>
    <w:p w14:paraId="475570C4" w14:textId="402F610A" w:rsidR="00912B21" w:rsidRPr="0069412F" w:rsidRDefault="00912B21" w:rsidP="00912B21">
      <w:pPr>
        <w:pStyle w:val="ListParagraph"/>
        <w:numPr>
          <w:ilvl w:val="0"/>
          <w:numId w:val="6"/>
        </w:numPr>
        <w:spacing w:after="0" w:line="240" w:lineRule="auto"/>
        <w:rPr>
          <w:rFonts w:ascii="Times New Roman" w:hAnsi="Times New Roman" w:cs="Times New Roman"/>
          <w:color w:val="C00000"/>
          <w:sz w:val="24"/>
          <w:szCs w:val="24"/>
          <w:lang w:val="lt-LT"/>
        </w:rPr>
      </w:pPr>
      <w:r w:rsidRPr="0069412F">
        <w:rPr>
          <w:rFonts w:ascii="Times New Roman" w:hAnsi="Times New Roman" w:cs="Times New Roman"/>
          <w:color w:val="C00000"/>
          <w:sz w:val="24"/>
          <w:szCs w:val="24"/>
          <w:lang w:val="lt-LT"/>
        </w:rPr>
        <w:t xml:space="preserve">Prašome nurodyti ar šį techninė specifikacija yra aktuali </w:t>
      </w:r>
      <w:r w:rsidR="0069412F" w:rsidRPr="0069412F">
        <w:rPr>
          <w:rFonts w:ascii="Times New Roman" w:hAnsi="Times New Roman" w:cs="Times New Roman"/>
          <w:color w:val="C00000"/>
          <w:sz w:val="24"/>
          <w:szCs w:val="24"/>
          <w:lang w:val="lt-LT"/>
        </w:rPr>
        <w:t xml:space="preserve">rinkoje </w:t>
      </w:r>
      <w:r w:rsidRPr="0069412F">
        <w:rPr>
          <w:rFonts w:ascii="Times New Roman" w:hAnsi="Times New Roman" w:cs="Times New Roman"/>
          <w:color w:val="C00000"/>
          <w:sz w:val="24"/>
          <w:szCs w:val="24"/>
          <w:lang w:val="lt-LT"/>
        </w:rPr>
        <w:t>šiai dienai. Jei</w:t>
      </w:r>
      <w:r w:rsidR="0069412F" w:rsidRPr="0069412F">
        <w:rPr>
          <w:rFonts w:ascii="Times New Roman" w:hAnsi="Times New Roman" w:cs="Times New Roman"/>
          <w:color w:val="C00000"/>
          <w:sz w:val="24"/>
          <w:szCs w:val="24"/>
          <w:lang w:val="lt-LT"/>
        </w:rPr>
        <w:t xml:space="preserve"> ne, prašome pateikti </w:t>
      </w:r>
      <w:r w:rsidRPr="0069412F">
        <w:rPr>
          <w:rFonts w:ascii="Times New Roman" w:hAnsi="Times New Roman" w:cs="Times New Roman"/>
          <w:color w:val="C00000"/>
          <w:sz w:val="24"/>
          <w:szCs w:val="24"/>
          <w:lang w:val="lt-LT"/>
        </w:rPr>
        <w:t xml:space="preserve">alternatyvą arba nurodyti </w:t>
      </w:r>
      <w:r w:rsidR="0069412F" w:rsidRPr="0069412F">
        <w:rPr>
          <w:rFonts w:ascii="Times New Roman" w:hAnsi="Times New Roman" w:cs="Times New Roman"/>
          <w:color w:val="C00000"/>
          <w:sz w:val="24"/>
          <w:szCs w:val="24"/>
          <w:lang w:val="lt-LT"/>
        </w:rPr>
        <w:t>keičiamus parametrus</w:t>
      </w:r>
      <w:r w:rsidRPr="0069412F">
        <w:rPr>
          <w:rFonts w:ascii="Times New Roman" w:hAnsi="Times New Roman" w:cs="Times New Roman"/>
          <w:color w:val="C00000"/>
          <w:sz w:val="24"/>
          <w:szCs w:val="24"/>
          <w:lang w:val="lt-LT"/>
        </w:rPr>
        <w:t>.</w:t>
      </w:r>
    </w:p>
    <w:p w14:paraId="0116B617" w14:textId="403B480D" w:rsidR="00912B21" w:rsidRPr="0069412F" w:rsidRDefault="00912B21" w:rsidP="00912B21">
      <w:pPr>
        <w:pStyle w:val="ListParagraph"/>
        <w:numPr>
          <w:ilvl w:val="0"/>
          <w:numId w:val="6"/>
        </w:numPr>
        <w:spacing w:after="0" w:line="240" w:lineRule="auto"/>
        <w:rPr>
          <w:rFonts w:ascii="Times New Roman" w:hAnsi="Times New Roman" w:cs="Times New Roman"/>
          <w:color w:val="C00000"/>
          <w:sz w:val="24"/>
          <w:szCs w:val="24"/>
          <w:lang w:val="lt-LT"/>
        </w:rPr>
      </w:pPr>
      <w:r w:rsidRPr="0069412F">
        <w:rPr>
          <w:rFonts w:ascii="Times New Roman" w:hAnsi="Times New Roman" w:cs="Times New Roman"/>
          <w:color w:val="C00000"/>
          <w:sz w:val="24"/>
          <w:szCs w:val="24"/>
          <w:lang w:val="lt-LT"/>
        </w:rPr>
        <w:t>Ar įrenginiui skirtas lėšų dydis yra pakankamas šiai dienai ir pusmečiui – 20 000,00 Eur su PVM.</w:t>
      </w:r>
    </w:p>
    <w:p w14:paraId="3D47E580" w14:textId="593968D4" w:rsidR="00912B21" w:rsidRPr="0069412F" w:rsidRDefault="0069412F" w:rsidP="00912B21">
      <w:pPr>
        <w:pStyle w:val="ListParagraph"/>
        <w:numPr>
          <w:ilvl w:val="0"/>
          <w:numId w:val="6"/>
        </w:numPr>
        <w:spacing w:after="0" w:line="240" w:lineRule="auto"/>
        <w:rPr>
          <w:rFonts w:ascii="Times New Roman" w:hAnsi="Times New Roman" w:cs="Times New Roman"/>
          <w:color w:val="C00000"/>
          <w:sz w:val="24"/>
          <w:szCs w:val="24"/>
          <w:lang w:val="lt-LT"/>
        </w:rPr>
      </w:pPr>
      <w:r w:rsidRPr="0069412F">
        <w:rPr>
          <w:rFonts w:ascii="Times New Roman" w:hAnsi="Times New Roman" w:cs="Times New Roman"/>
          <w:color w:val="C00000"/>
          <w:sz w:val="24"/>
          <w:szCs w:val="24"/>
          <w:lang w:val="lt-LT"/>
        </w:rPr>
        <w:t>Savo nuožiūra pateikiami pasiūlymai ar paaiškinimai.</w:t>
      </w:r>
    </w:p>
    <w:p w14:paraId="00C30C45" w14:textId="77777777" w:rsidR="00510B4D" w:rsidRPr="0069412F" w:rsidRDefault="00510B4D" w:rsidP="00912B21">
      <w:pPr>
        <w:suppressAutoHyphens/>
        <w:autoSpaceDE w:val="0"/>
        <w:autoSpaceDN w:val="0"/>
        <w:adjustRightInd w:val="0"/>
        <w:spacing w:after="0" w:line="240" w:lineRule="auto"/>
        <w:jc w:val="both"/>
        <w:rPr>
          <w:rFonts w:ascii="Times New Roman" w:eastAsia="Times New Roman" w:hAnsi="Times New Roman" w:cs="Times New Roman"/>
          <w:color w:val="C00000"/>
          <w:sz w:val="24"/>
          <w:szCs w:val="24"/>
          <w:lang w:val="lt-LT" w:eastAsia="ar-SA"/>
        </w:rPr>
      </w:pPr>
    </w:p>
    <w:tbl>
      <w:tblPr>
        <w:tblW w:w="10098" w:type="dxa"/>
        <w:tblInd w:w="-142" w:type="dxa"/>
        <w:tblLayout w:type="fixed"/>
        <w:tblLook w:val="04A0" w:firstRow="1" w:lastRow="0" w:firstColumn="1" w:lastColumn="0" w:noHBand="0" w:noVBand="1"/>
      </w:tblPr>
      <w:tblGrid>
        <w:gridCol w:w="885"/>
        <w:gridCol w:w="9213"/>
      </w:tblGrid>
      <w:tr w:rsidR="00510B4D" w:rsidRPr="00912B21" w14:paraId="193D500C" w14:textId="77777777" w:rsidTr="00912B21">
        <w:trPr>
          <w:trHeight w:val="315"/>
        </w:trPr>
        <w:tc>
          <w:tcPr>
            <w:tcW w:w="885" w:type="dxa"/>
            <w:hideMark/>
          </w:tcPr>
          <w:p w14:paraId="3D3F324C" w14:textId="77777777" w:rsidR="00510B4D" w:rsidRPr="00912B21" w:rsidRDefault="00510B4D" w:rsidP="00912B21">
            <w:pPr>
              <w:spacing w:after="0" w:line="240" w:lineRule="auto"/>
              <w:jc w:val="both"/>
              <w:rPr>
                <w:rFonts w:ascii="Times New Roman" w:eastAsia="Calibri" w:hAnsi="Times New Roman" w:cs="Times New Roman"/>
                <w:b/>
                <w:sz w:val="24"/>
                <w:szCs w:val="24"/>
                <w:lang w:val="lt-LT"/>
              </w:rPr>
            </w:pPr>
            <w:r w:rsidRPr="00912B21">
              <w:rPr>
                <w:rFonts w:ascii="Times New Roman" w:eastAsia="Calibri" w:hAnsi="Times New Roman" w:cs="Times New Roman"/>
                <w:b/>
                <w:sz w:val="24"/>
                <w:szCs w:val="24"/>
                <w:lang w:val="lt-LT"/>
              </w:rPr>
              <w:t>1.</w:t>
            </w:r>
          </w:p>
        </w:tc>
        <w:tc>
          <w:tcPr>
            <w:tcW w:w="9213" w:type="dxa"/>
            <w:hideMark/>
          </w:tcPr>
          <w:p w14:paraId="3C796C52" w14:textId="77777777" w:rsidR="00510B4D" w:rsidRPr="00912B21" w:rsidRDefault="00510B4D" w:rsidP="00912B21">
            <w:pPr>
              <w:spacing w:after="0" w:line="240" w:lineRule="auto"/>
              <w:jc w:val="both"/>
              <w:rPr>
                <w:rFonts w:ascii="Times New Roman" w:eastAsia="Calibri" w:hAnsi="Times New Roman" w:cs="Times New Roman"/>
                <w:b/>
                <w:sz w:val="24"/>
                <w:szCs w:val="24"/>
                <w:lang w:val="lt-LT"/>
              </w:rPr>
            </w:pPr>
            <w:r w:rsidRPr="00912B21">
              <w:rPr>
                <w:rFonts w:ascii="Times New Roman" w:eastAsia="Calibri" w:hAnsi="Times New Roman" w:cs="Times New Roman"/>
                <w:b/>
                <w:sz w:val="24"/>
                <w:szCs w:val="24"/>
                <w:lang w:val="lt-LT"/>
              </w:rPr>
              <w:t>Bendrieji reikalavimai:</w:t>
            </w:r>
          </w:p>
        </w:tc>
      </w:tr>
      <w:tr w:rsidR="00510B4D" w:rsidRPr="00912B21" w14:paraId="76C7B791" w14:textId="77777777" w:rsidTr="00912B21">
        <w:trPr>
          <w:trHeight w:val="315"/>
        </w:trPr>
        <w:tc>
          <w:tcPr>
            <w:tcW w:w="885" w:type="dxa"/>
            <w:hideMark/>
          </w:tcPr>
          <w:p w14:paraId="6034900F" w14:textId="77777777" w:rsidR="00510B4D" w:rsidRPr="00912B21" w:rsidRDefault="00510B4D"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w:t>
            </w:r>
          </w:p>
        </w:tc>
        <w:tc>
          <w:tcPr>
            <w:tcW w:w="9213" w:type="dxa"/>
            <w:hideMark/>
          </w:tcPr>
          <w:p w14:paraId="5B877606" w14:textId="22C1C4BF" w:rsidR="00510B4D" w:rsidRPr="00912B21" w:rsidRDefault="00DA52AE" w:rsidP="00912B21">
            <w:pPr>
              <w:spacing w:after="0" w:line="240" w:lineRule="auto"/>
              <w:jc w:val="both"/>
              <w:rPr>
                <w:rFonts w:ascii="Times New Roman" w:eastAsia="Calibri" w:hAnsi="Times New Roman" w:cs="Times New Roman"/>
                <w:sz w:val="24"/>
                <w:szCs w:val="24"/>
                <w:lang w:val="lt-LT"/>
              </w:rPr>
            </w:pPr>
            <w:r w:rsidRPr="00912B21">
              <w:rPr>
                <w:rFonts w:ascii="Times New Roman" w:hAnsi="Times New Roman" w:cs="Times New Roman"/>
                <w:sz w:val="24"/>
                <w:szCs w:val="24"/>
                <w:lang w:val="lt-LT"/>
              </w:rPr>
              <w:t>Visos pateikiamos</w:t>
            </w:r>
            <w:r w:rsidR="00927950" w:rsidRPr="00912B21">
              <w:rPr>
                <w:rFonts w:ascii="Times New Roman" w:hAnsi="Times New Roman" w:cs="Times New Roman"/>
                <w:sz w:val="24"/>
                <w:szCs w:val="24"/>
                <w:lang w:val="lt-LT"/>
              </w:rPr>
              <w:t xml:space="preserve"> prekės privalo būti naujos (negali būti resta</w:t>
            </w:r>
            <w:r w:rsidR="00D17948" w:rsidRPr="00912B21">
              <w:rPr>
                <w:rFonts w:ascii="Times New Roman" w:hAnsi="Times New Roman" w:cs="Times New Roman"/>
                <w:sz w:val="24"/>
                <w:szCs w:val="24"/>
                <w:lang w:val="lt-LT"/>
              </w:rPr>
              <w:t xml:space="preserve">uruotos (angl. </w:t>
            </w:r>
            <w:proofErr w:type="spellStart"/>
            <w:r w:rsidR="00D17948" w:rsidRPr="00912B21">
              <w:rPr>
                <w:rFonts w:ascii="Times New Roman" w:hAnsi="Times New Roman" w:cs="Times New Roman"/>
                <w:i/>
                <w:iCs/>
                <w:sz w:val="24"/>
                <w:szCs w:val="24"/>
                <w:lang w:val="lt-LT"/>
              </w:rPr>
              <w:t>refurbished</w:t>
            </w:r>
            <w:proofErr w:type="spellEnd"/>
            <w:r w:rsidR="00D17948" w:rsidRPr="00912B21">
              <w:rPr>
                <w:rFonts w:ascii="Times New Roman" w:hAnsi="Times New Roman" w:cs="Times New Roman"/>
                <w:sz w:val="24"/>
                <w:szCs w:val="24"/>
                <w:lang w:val="lt-LT"/>
              </w:rPr>
              <w:t xml:space="preserve"> ),</w:t>
            </w:r>
            <w:r w:rsidR="0003597D" w:rsidRPr="00912B21">
              <w:rPr>
                <w:rFonts w:ascii="Times New Roman" w:hAnsi="Times New Roman" w:cs="Times New Roman"/>
                <w:sz w:val="24"/>
                <w:szCs w:val="24"/>
                <w:lang w:val="lt-LT"/>
              </w:rPr>
              <w:t xml:space="preserve"> nenaudotos, pateiktos gamyklinėje pakuotėje</w:t>
            </w:r>
            <w:r w:rsidR="009B0CED" w:rsidRPr="00912B21">
              <w:rPr>
                <w:rFonts w:ascii="Times New Roman" w:hAnsi="Times New Roman" w:cs="Times New Roman"/>
                <w:sz w:val="24"/>
                <w:szCs w:val="24"/>
                <w:lang w:val="lt-LT"/>
              </w:rPr>
              <w:t>;</w:t>
            </w:r>
          </w:p>
        </w:tc>
      </w:tr>
      <w:tr w:rsidR="00510B4D" w:rsidRPr="00912B21" w14:paraId="7A4FEEB5" w14:textId="77777777" w:rsidTr="00912B21">
        <w:trPr>
          <w:trHeight w:val="315"/>
        </w:trPr>
        <w:tc>
          <w:tcPr>
            <w:tcW w:w="885" w:type="dxa"/>
          </w:tcPr>
          <w:p w14:paraId="66DA2B63" w14:textId="77777777" w:rsidR="00510B4D" w:rsidRPr="00912B21" w:rsidRDefault="00510B4D"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1.2.</w:t>
            </w:r>
          </w:p>
        </w:tc>
        <w:tc>
          <w:tcPr>
            <w:tcW w:w="9213" w:type="dxa"/>
            <w:vAlign w:val="center"/>
          </w:tcPr>
          <w:p w14:paraId="5ABF5C97" w14:textId="47176E98" w:rsidR="00510B4D" w:rsidRPr="00912B21" w:rsidRDefault="009B0CED" w:rsidP="00912B21">
            <w:pPr>
              <w:keepNext/>
              <w:keepLines/>
              <w:tabs>
                <w:tab w:val="left" w:pos="390"/>
                <w:tab w:val="left" w:pos="1035"/>
                <w:tab w:val="left" w:pos="1500"/>
              </w:tabs>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Prekės dokumentai turi būti lietuvių arba anglų</w:t>
            </w:r>
            <w:r w:rsidR="00F427A3" w:rsidRPr="00912B21">
              <w:rPr>
                <w:rFonts w:ascii="Times New Roman" w:eastAsia="Calibri" w:hAnsi="Times New Roman" w:cs="Times New Roman"/>
                <w:sz w:val="24"/>
                <w:szCs w:val="24"/>
                <w:lang w:val="lt-LT"/>
              </w:rPr>
              <w:t xml:space="preserve"> kalba. Užrašai ant įrangos ir jos dalių turi būti lietuvių arba anglų kalba. Gamintojo internet</w:t>
            </w:r>
            <w:r w:rsidR="00B7314C" w:rsidRPr="00912B21">
              <w:rPr>
                <w:rFonts w:ascii="Times New Roman" w:eastAsia="Calibri" w:hAnsi="Times New Roman" w:cs="Times New Roman"/>
                <w:sz w:val="24"/>
                <w:szCs w:val="24"/>
                <w:lang w:val="lt-LT"/>
              </w:rPr>
              <w:t>o</w:t>
            </w:r>
            <w:r w:rsidR="00F427A3" w:rsidRPr="00912B21">
              <w:rPr>
                <w:rFonts w:ascii="Times New Roman" w:eastAsia="Calibri" w:hAnsi="Times New Roman" w:cs="Times New Roman"/>
                <w:sz w:val="24"/>
                <w:szCs w:val="24"/>
                <w:lang w:val="lt-LT"/>
              </w:rPr>
              <w:t xml:space="preserve"> svetainėje informacijos paieška </w:t>
            </w:r>
            <w:r w:rsidR="00B7314C" w:rsidRPr="00912B21">
              <w:rPr>
                <w:rFonts w:ascii="Times New Roman" w:eastAsia="Calibri" w:hAnsi="Times New Roman" w:cs="Times New Roman"/>
                <w:sz w:val="24"/>
                <w:szCs w:val="24"/>
                <w:lang w:val="lt-LT"/>
              </w:rPr>
              <w:t>atliekama lietuvių arba anglų kalba;</w:t>
            </w:r>
          </w:p>
        </w:tc>
      </w:tr>
      <w:tr w:rsidR="00510B4D" w:rsidRPr="00912B21" w14:paraId="039632A6" w14:textId="77777777" w:rsidTr="00912B21">
        <w:trPr>
          <w:trHeight w:val="315"/>
        </w:trPr>
        <w:tc>
          <w:tcPr>
            <w:tcW w:w="885" w:type="dxa"/>
          </w:tcPr>
          <w:p w14:paraId="67859E7F" w14:textId="77777777" w:rsidR="00510B4D" w:rsidRPr="00912B21" w:rsidRDefault="00510B4D"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1.3.</w:t>
            </w:r>
          </w:p>
        </w:tc>
        <w:tc>
          <w:tcPr>
            <w:tcW w:w="9213" w:type="dxa"/>
          </w:tcPr>
          <w:p w14:paraId="0C1E5B03" w14:textId="1FBDA58B" w:rsidR="00510B4D" w:rsidRPr="00912B21" w:rsidRDefault="00B7314C" w:rsidP="00912B21">
            <w:pPr>
              <w:spacing w:after="0" w:line="240" w:lineRule="auto"/>
              <w:jc w:val="both"/>
              <w:rPr>
                <w:rFonts w:ascii="Times New Roman" w:eastAsia="Calibri" w:hAnsi="Times New Roman" w:cs="Times New Roman"/>
                <w:sz w:val="24"/>
                <w:szCs w:val="24"/>
                <w:lang w:val="lt-LT"/>
              </w:rPr>
            </w:pPr>
            <w:r w:rsidRPr="00912B21">
              <w:rPr>
                <w:rFonts w:ascii="Times New Roman" w:hAnsi="Times New Roman" w:cs="Times New Roman"/>
                <w:sz w:val="24"/>
                <w:szCs w:val="24"/>
                <w:lang w:val="lt-LT"/>
              </w:rPr>
              <w:t xml:space="preserve">Tiekėjas turi </w:t>
            </w:r>
            <w:r w:rsidR="009A46ED" w:rsidRPr="00912B21">
              <w:rPr>
                <w:rFonts w:ascii="Times New Roman" w:hAnsi="Times New Roman" w:cs="Times New Roman"/>
                <w:sz w:val="24"/>
                <w:szCs w:val="24"/>
                <w:lang w:val="lt-LT"/>
              </w:rPr>
              <w:t>pateikti nuorodas į viešai prieinamą informaciją gamintojo internet</w:t>
            </w:r>
            <w:r w:rsidR="00D70E0A" w:rsidRPr="00912B21">
              <w:rPr>
                <w:rFonts w:ascii="Times New Roman" w:hAnsi="Times New Roman" w:cs="Times New Roman"/>
                <w:sz w:val="24"/>
                <w:szCs w:val="24"/>
                <w:lang w:val="lt-LT"/>
              </w:rPr>
              <w:t>o</w:t>
            </w:r>
            <w:r w:rsidR="009A46ED" w:rsidRPr="00912B21">
              <w:rPr>
                <w:rFonts w:ascii="Times New Roman" w:hAnsi="Times New Roman" w:cs="Times New Roman"/>
                <w:sz w:val="24"/>
                <w:szCs w:val="24"/>
                <w:lang w:val="lt-LT"/>
              </w:rPr>
              <w:t xml:space="preserve"> svetainėje, kur</w:t>
            </w:r>
            <w:r w:rsidR="009E6DC7" w:rsidRPr="00912B21">
              <w:rPr>
                <w:rFonts w:ascii="Times New Roman" w:hAnsi="Times New Roman" w:cs="Times New Roman"/>
                <w:sz w:val="24"/>
                <w:szCs w:val="24"/>
                <w:lang w:val="lt-LT"/>
              </w:rPr>
              <w:t xml:space="preserve"> yra tiksli </w:t>
            </w:r>
            <w:r w:rsidR="00D70E0A" w:rsidRPr="00912B21">
              <w:rPr>
                <w:rFonts w:ascii="Times New Roman" w:hAnsi="Times New Roman" w:cs="Times New Roman"/>
                <w:sz w:val="24"/>
                <w:szCs w:val="24"/>
                <w:lang w:val="lt-LT"/>
              </w:rPr>
              <w:t>pasiūlymą</w:t>
            </w:r>
            <w:r w:rsidR="009E6DC7" w:rsidRPr="00912B21">
              <w:rPr>
                <w:rFonts w:ascii="Times New Roman" w:hAnsi="Times New Roman" w:cs="Times New Roman"/>
                <w:sz w:val="24"/>
                <w:szCs w:val="24"/>
                <w:lang w:val="lt-LT"/>
              </w:rPr>
              <w:t xml:space="preserve"> atitinkanti techninė specifikacija arba </w:t>
            </w:r>
            <w:r w:rsidR="00D874F1" w:rsidRPr="00912B21">
              <w:rPr>
                <w:rFonts w:ascii="Times New Roman" w:hAnsi="Times New Roman" w:cs="Times New Roman"/>
                <w:sz w:val="24"/>
                <w:szCs w:val="24"/>
                <w:lang w:val="lt-LT"/>
              </w:rPr>
              <w:t xml:space="preserve">pateikti šią </w:t>
            </w:r>
            <w:r w:rsidR="00026785" w:rsidRPr="00912B21">
              <w:rPr>
                <w:rFonts w:ascii="Times New Roman" w:hAnsi="Times New Roman" w:cs="Times New Roman"/>
                <w:sz w:val="24"/>
                <w:szCs w:val="24"/>
                <w:lang w:val="lt-LT"/>
              </w:rPr>
              <w:t>informaciją atspausdintą ir patvirtintą gamintojo;</w:t>
            </w:r>
          </w:p>
        </w:tc>
      </w:tr>
      <w:tr w:rsidR="00571C51" w:rsidRPr="00912B21" w14:paraId="13260A91" w14:textId="77777777" w:rsidTr="00912B21">
        <w:trPr>
          <w:trHeight w:val="315"/>
        </w:trPr>
        <w:tc>
          <w:tcPr>
            <w:tcW w:w="885" w:type="dxa"/>
          </w:tcPr>
          <w:p w14:paraId="387A6029" w14:textId="265FE4D3" w:rsidR="00571C51" w:rsidRPr="00912B21" w:rsidRDefault="00571C51"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1.4.</w:t>
            </w:r>
          </w:p>
        </w:tc>
        <w:tc>
          <w:tcPr>
            <w:tcW w:w="9213" w:type="dxa"/>
          </w:tcPr>
          <w:p w14:paraId="49C7DAE9" w14:textId="163EAEA0" w:rsidR="00571C51" w:rsidRPr="00912B21" w:rsidRDefault="003F2C6F"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Tiekėjas į savo pasiūlymą turi įtraukti visą aparatinę ir programinę įrangą, medžiagas ir įdiegimo bei suderinimo paslaugas, reikalingas šioje specifikacijoje nurodytiems reikalavimams įvykdyti</w:t>
            </w:r>
            <w:r w:rsidR="00446271" w:rsidRPr="00912B21">
              <w:rPr>
                <w:rFonts w:ascii="Times New Roman" w:hAnsi="Times New Roman" w:cs="Times New Roman"/>
                <w:sz w:val="24"/>
                <w:szCs w:val="24"/>
                <w:lang w:val="lt-LT"/>
              </w:rPr>
              <w:t>;</w:t>
            </w:r>
          </w:p>
        </w:tc>
      </w:tr>
      <w:tr w:rsidR="00320504" w:rsidRPr="00912B21" w14:paraId="05E5D73A" w14:textId="77777777" w:rsidTr="00912B21">
        <w:trPr>
          <w:trHeight w:val="315"/>
        </w:trPr>
        <w:tc>
          <w:tcPr>
            <w:tcW w:w="885" w:type="dxa"/>
          </w:tcPr>
          <w:p w14:paraId="4F5B8330" w14:textId="09DCA65A" w:rsidR="00320504" w:rsidRPr="00912B21" w:rsidRDefault="00320504"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1.5.</w:t>
            </w:r>
          </w:p>
        </w:tc>
        <w:tc>
          <w:tcPr>
            <w:tcW w:w="9213" w:type="dxa"/>
          </w:tcPr>
          <w:p w14:paraId="04C49DC9" w14:textId="7AE171BB" w:rsidR="00320504" w:rsidRPr="00912B21" w:rsidRDefault="00446271"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Jeigu nenurodyta kitaip, visos programinės įrangos licencija turi būti suteikiama neribotam laikui;</w:t>
            </w:r>
          </w:p>
        </w:tc>
      </w:tr>
      <w:tr w:rsidR="00446271" w:rsidRPr="00912B21" w14:paraId="70F5B96C" w14:textId="77777777" w:rsidTr="00912B21">
        <w:trPr>
          <w:trHeight w:val="315"/>
        </w:trPr>
        <w:tc>
          <w:tcPr>
            <w:tcW w:w="885" w:type="dxa"/>
          </w:tcPr>
          <w:p w14:paraId="00AF582C" w14:textId="7A6A86C8" w:rsidR="00446271" w:rsidRPr="00912B21" w:rsidRDefault="00446271"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1.6.</w:t>
            </w:r>
          </w:p>
        </w:tc>
        <w:tc>
          <w:tcPr>
            <w:tcW w:w="9213" w:type="dxa"/>
          </w:tcPr>
          <w:p w14:paraId="61D62FD4" w14:textId="471229FE" w:rsidR="00446271" w:rsidRPr="00912B21" w:rsidRDefault="00C83895"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Tiekėjas turi užtikrinti, kad gamintojas nėra paskelbęs žinios apie siūlomos įrangos gamybos arba tobulinimo nutraukimą (pvz., angl. </w:t>
            </w:r>
            <w:proofErr w:type="spellStart"/>
            <w:r w:rsidRPr="00912B21">
              <w:rPr>
                <w:rFonts w:ascii="Times New Roman" w:hAnsi="Times New Roman" w:cs="Times New Roman"/>
                <w:sz w:val="24"/>
                <w:szCs w:val="24"/>
                <w:lang w:val="lt-LT"/>
              </w:rPr>
              <w:t>end</w:t>
            </w:r>
            <w:proofErr w:type="spellEnd"/>
            <w:r w:rsidRPr="00912B21">
              <w:rPr>
                <w:rFonts w:ascii="Times New Roman" w:hAnsi="Times New Roman" w:cs="Times New Roman"/>
                <w:sz w:val="24"/>
                <w:szCs w:val="24"/>
                <w:lang w:val="lt-LT"/>
              </w:rPr>
              <w:t xml:space="preserve"> </w:t>
            </w:r>
            <w:proofErr w:type="spellStart"/>
            <w:r w:rsidRPr="00912B21">
              <w:rPr>
                <w:rFonts w:ascii="Times New Roman" w:hAnsi="Times New Roman" w:cs="Times New Roman"/>
                <w:sz w:val="24"/>
                <w:szCs w:val="24"/>
                <w:lang w:val="lt-LT"/>
              </w:rPr>
              <w:t>of</w:t>
            </w:r>
            <w:proofErr w:type="spellEnd"/>
            <w:r w:rsidRPr="00912B21">
              <w:rPr>
                <w:rFonts w:ascii="Times New Roman" w:hAnsi="Times New Roman" w:cs="Times New Roman"/>
                <w:sz w:val="24"/>
                <w:szCs w:val="24"/>
                <w:lang w:val="lt-LT"/>
              </w:rPr>
              <w:t xml:space="preserve"> </w:t>
            </w:r>
            <w:proofErr w:type="spellStart"/>
            <w:r w:rsidRPr="00912B21">
              <w:rPr>
                <w:rFonts w:ascii="Times New Roman" w:hAnsi="Times New Roman" w:cs="Times New Roman"/>
                <w:sz w:val="24"/>
                <w:szCs w:val="24"/>
                <w:lang w:val="lt-LT"/>
              </w:rPr>
              <w:t>life</w:t>
            </w:r>
            <w:proofErr w:type="spellEnd"/>
            <w:r w:rsidRPr="00912B21">
              <w:rPr>
                <w:rFonts w:ascii="Times New Roman" w:hAnsi="Times New Roman" w:cs="Times New Roman"/>
                <w:sz w:val="24"/>
                <w:szCs w:val="24"/>
                <w:lang w:val="lt-LT"/>
              </w:rPr>
              <w:t xml:space="preserve"> </w:t>
            </w:r>
            <w:proofErr w:type="spellStart"/>
            <w:r w:rsidRPr="00912B21">
              <w:rPr>
                <w:rFonts w:ascii="Times New Roman" w:hAnsi="Times New Roman" w:cs="Times New Roman"/>
                <w:sz w:val="24"/>
                <w:szCs w:val="24"/>
                <w:lang w:val="lt-LT"/>
              </w:rPr>
              <w:t>time</w:t>
            </w:r>
            <w:proofErr w:type="spellEnd"/>
            <w:r w:rsidRPr="00912B21">
              <w:rPr>
                <w:rFonts w:ascii="Times New Roman" w:hAnsi="Times New Roman" w:cs="Times New Roman"/>
                <w:sz w:val="24"/>
                <w:szCs w:val="24"/>
                <w:lang w:val="lt-LT"/>
              </w:rPr>
              <w:t xml:space="preserve"> ar </w:t>
            </w:r>
            <w:proofErr w:type="spellStart"/>
            <w:r w:rsidRPr="00912B21">
              <w:rPr>
                <w:rFonts w:ascii="Times New Roman" w:hAnsi="Times New Roman" w:cs="Times New Roman"/>
                <w:sz w:val="24"/>
                <w:szCs w:val="24"/>
                <w:lang w:val="lt-LT"/>
              </w:rPr>
              <w:t>Discontinued</w:t>
            </w:r>
            <w:proofErr w:type="spellEnd"/>
            <w:r w:rsidRPr="00912B21">
              <w:rPr>
                <w:rFonts w:ascii="Times New Roman" w:hAnsi="Times New Roman" w:cs="Times New Roman"/>
                <w:sz w:val="24"/>
                <w:szCs w:val="24"/>
                <w:lang w:val="lt-LT"/>
              </w:rPr>
              <w:t>);</w:t>
            </w:r>
          </w:p>
        </w:tc>
      </w:tr>
      <w:tr w:rsidR="00C83895" w:rsidRPr="00912B21" w14:paraId="5E175A8C" w14:textId="77777777" w:rsidTr="00912B21">
        <w:trPr>
          <w:trHeight w:val="315"/>
        </w:trPr>
        <w:tc>
          <w:tcPr>
            <w:tcW w:w="885" w:type="dxa"/>
          </w:tcPr>
          <w:p w14:paraId="1B89087C" w14:textId="43B8CA26" w:rsidR="00C83895" w:rsidRPr="00912B21" w:rsidRDefault="00C83895"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1.7.</w:t>
            </w:r>
          </w:p>
        </w:tc>
        <w:tc>
          <w:tcPr>
            <w:tcW w:w="9213" w:type="dxa"/>
          </w:tcPr>
          <w:p w14:paraId="774CFDD5" w14:textId="77777777" w:rsidR="002A3244" w:rsidRPr="00912B21" w:rsidRDefault="002A3244"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Saugumo reikalavimai:</w:t>
            </w:r>
            <w:bookmarkStart w:id="0" w:name="_GoBack"/>
            <w:bookmarkEnd w:id="0"/>
          </w:p>
          <w:p w14:paraId="5FB2CC56" w14:textId="77777777" w:rsidR="002A3244" w:rsidRPr="00912B21" w:rsidRDefault="002A3244"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standieji ar puslaidininkiniai diskai (angl. HDD/SSD) ar atminties kortelės, gedimo atveju turi būti  keičiamos naujomis. Sugedusios atminties laikmenos sunaikinamos Pirkėjo patalpose ir Tiekėjui negrąžinamos;</w:t>
            </w:r>
          </w:p>
          <w:p w14:paraId="731740A1" w14:textId="450E0B3E" w:rsidR="00C83895" w:rsidRPr="00912B21" w:rsidRDefault="002A3244"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įrangos gedimo atveju remontuoti iš įrengimo vietos Tiekėjui (jo atstovui) išvežamą sugedusią įrangą Pirkėjas pateikia be joje sumontuotų standžiųjų ar puslaidininkinių diskų (angl. HDD/SSD) ar atminties kortelių;</w:t>
            </w:r>
          </w:p>
        </w:tc>
      </w:tr>
      <w:tr w:rsidR="00693759" w:rsidRPr="00912B21" w14:paraId="6EEC1E93" w14:textId="77777777" w:rsidTr="00912B21">
        <w:trPr>
          <w:trHeight w:val="315"/>
        </w:trPr>
        <w:tc>
          <w:tcPr>
            <w:tcW w:w="885" w:type="dxa"/>
          </w:tcPr>
          <w:p w14:paraId="55A11043" w14:textId="5E029C6B" w:rsidR="00693759" w:rsidRPr="00912B21" w:rsidRDefault="00693759"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1.8.</w:t>
            </w:r>
          </w:p>
        </w:tc>
        <w:tc>
          <w:tcPr>
            <w:tcW w:w="9213" w:type="dxa"/>
          </w:tcPr>
          <w:p w14:paraId="1EF9C44A" w14:textId="684D3CD4" w:rsidR="00693759" w:rsidRPr="00912B21" w:rsidRDefault="00BF544A"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Tiekėjas turi užtikrinti, kad įsigyjamoje įrangoje nebūtų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00693759" w:rsidRPr="00912B21">
              <w:rPr>
                <w:rFonts w:ascii="Times New Roman" w:hAnsi="Times New Roman" w:cs="Times New Roman"/>
                <w:sz w:val="24"/>
                <w:szCs w:val="24"/>
                <w:lang w:val="lt-LT"/>
              </w:rPr>
              <w:t>1.</w:t>
            </w:r>
            <w:r w:rsidR="00693759" w:rsidRPr="00912B21">
              <w:rPr>
                <w:rFonts w:ascii="Times New Roman" w:hAnsi="Times New Roman" w:cs="Times New Roman"/>
                <w:sz w:val="24"/>
                <w:szCs w:val="24"/>
                <w:lang w:val="lt-LT"/>
              </w:rPr>
              <w:tab/>
              <w:t>įranga grąžinama tiekėjui arba keičiama nauja lygiaverte ar geresne, tačiau saugumo reikalavimus atitinkančia įranga</w:t>
            </w:r>
            <w:r w:rsidR="00DC5E95" w:rsidRPr="00912B21">
              <w:rPr>
                <w:rFonts w:ascii="Times New Roman" w:hAnsi="Times New Roman" w:cs="Times New Roman"/>
                <w:sz w:val="24"/>
                <w:szCs w:val="24"/>
                <w:lang w:val="lt-LT"/>
              </w:rPr>
              <w:t>;</w:t>
            </w:r>
          </w:p>
        </w:tc>
      </w:tr>
      <w:tr w:rsidR="00693759" w:rsidRPr="00912B21" w14:paraId="3DF5F079" w14:textId="77777777" w:rsidTr="00912B21">
        <w:trPr>
          <w:trHeight w:val="315"/>
        </w:trPr>
        <w:tc>
          <w:tcPr>
            <w:tcW w:w="885" w:type="dxa"/>
          </w:tcPr>
          <w:p w14:paraId="053FDD22" w14:textId="491D35D7" w:rsidR="00693759" w:rsidRPr="00912B21" w:rsidRDefault="00693759"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1.9.</w:t>
            </w:r>
            <w:r w:rsidR="00DC5E95" w:rsidRPr="00912B21">
              <w:rPr>
                <w:rFonts w:ascii="Times New Roman" w:eastAsia="Calibri" w:hAnsi="Times New Roman" w:cs="Times New Roman"/>
                <w:sz w:val="24"/>
                <w:szCs w:val="24"/>
                <w:lang w:val="lt-LT"/>
              </w:rPr>
              <w:t>1.</w:t>
            </w:r>
          </w:p>
        </w:tc>
        <w:tc>
          <w:tcPr>
            <w:tcW w:w="9213" w:type="dxa"/>
          </w:tcPr>
          <w:p w14:paraId="7E131ABE" w14:textId="72092E61" w:rsidR="00693759" w:rsidRPr="00912B21" w:rsidRDefault="00DC5E95"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įranga grąžinama tiekėjui arba keičiama nauja lygiaverte ar geresne, tačiau techninės specifikacijos reikalavimus atitinkančia įranga;</w:t>
            </w:r>
          </w:p>
        </w:tc>
      </w:tr>
      <w:tr w:rsidR="001E3748" w:rsidRPr="00912B21" w14:paraId="2FB2E8D9" w14:textId="77777777" w:rsidTr="00912B21">
        <w:trPr>
          <w:trHeight w:val="315"/>
        </w:trPr>
        <w:tc>
          <w:tcPr>
            <w:tcW w:w="885" w:type="dxa"/>
          </w:tcPr>
          <w:p w14:paraId="7B499971" w14:textId="51F3E5D8" w:rsidR="001E3748" w:rsidRPr="00912B21" w:rsidRDefault="001E3748"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1.10.</w:t>
            </w:r>
          </w:p>
        </w:tc>
        <w:tc>
          <w:tcPr>
            <w:tcW w:w="9213" w:type="dxa"/>
          </w:tcPr>
          <w:p w14:paraId="51908108" w14:textId="0E0EE912" w:rsidR="001E3748" w:rsidRPr="00912B21" w:rsidRDefault="00BB0096"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Visos techninės įrangos maitinimo įtampa turi būti 230V 50Hz su Europos kontinentinėje dalyje naudojama jungtimi (CEE 7/7), jeigu nenurodyta kitaip;</w:t>
            </w:r>
          </w:p>
        </w:tc>
      </w:tr>
      <w:tr w:rsidR="00BB0096" w:rsidRPr="00912B21" w14:paraId="6384D8F6" w14:textId="77777777" w:rsidTr="00912B21">
        <w:trPr>
          <w:trHeight w:val="315"/>
        </w:trPr>
        <w:tc>
          <w:tcPr>
            <w:tcW w:w="885" w:type="dxa"/>
          </w:tcPr>
          <w:p w14:paraId="665E64C2" w14:textId="3A9391DF" w:rsidR="00BB0096" w:rsidRPr="00912B21" w:rsidRDefault="00BB0096"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1.11.</w:t>
            </w:r>
          </w:p>
        </w:tc>
        <w:tc>
          <w:tcPr>
            <w:tcW w:w="9213" w:type="dxa"/>
          </w:tcPr>
          <w:p w14:paraId="4E4C6328" w14:textId="5FFA1120" w:rsidR="00BB0096" w:rsidRPr="00912B21" w:rsidRDefault="00672D17"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Jeigu nenurodyta kitaip, techninė įranga privalo veikti be sutrikimų, kai temperatūros režimas techninės įrangos įdiegimo patalpoje yra nuo +10C iki +40C, o santykinė oro drėgmė – 70 proc. ir mažesnė;</w:t>
            </w:r>
          </w:p>
        </w:tc>
      </w:tr>
      <w:tr w:rsidR="00672D17" w:rsidRPr="00912B21" w14:paraId="549E5DD1" w14:textId="77777777" w:rsidTr="00912B21">
        <w:trPr>
          <w:trHeight w:val="315"/>
        </w:trPr>
        <w:tc>
          <w:tcPr>
            <w:tcW w:w="885" w:type="dxa"/>
          </w:tcPr>
          <w:p w14:paraId="61178576" w14:textId="13570B6D" w:rsidR="00672D17" w:rsidRPr="00912B21" w:rsidRDefault="00672D17"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1.12.</w:t>
            </w:r>
          </w:p>
        </w:tc>
        <w:tc>
          <w:tcPr>
            <w:tcW w:w="9213" w:type="dxa"/>
          </w:tcPr>
          <w:p w14:paraId="5E67F13B" w14:textId="02E1476A" w:rsidR="00672D17" w:rsidRPr="00912B21" w:rsidRDefault="005441A8"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Garantija:</w:t>
            </w:r>
          </w:p>
        </w:tc>
      </w:tr>
      <w:tr w:rsidR="005441A8" w:rsidRPr="00912B21" w14:paraId="3E7482A4" w14:textId="77777777" w:rsidTr="00912B21">
        <w:trPr>
          <w:trHeight w:val="315"/>
        </w:trPr>
        <w:tc>
          <w:tcPr>
            <w:tcW w:w="885" w:type="dxa"/>
          </w:tcPr>
          <w:p w14:paraId="4D9424EA" w14:textId="5465C106" w:rsidR="005441A8" w:rsidRPr="00912B21" w:rsidRDefault="005441A8"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1.12.1</w:t>
            </w:r>
            <w:r w:rsidR="006458D3" w:rsidRPr="00912B21">
              <w:rPr>
                <w:rFonts w:ascii="Times New Roman" w:eastAsia="Calibri" w:hAnsi="Times New Roman" w:cs="Times New Roman"/>
                <w:sz w:val="24"/>
                <w:szCs w:val="24"/>
                <w:lang w:val="lt-LT"/>
              </w:rPr>
              <w:t>.</w:t>
            </w:r>
          </w:p>
        </w:tc>
        <w:tc>
          <w:tcPr>
            <w:tcW w:w="9213" w:type="dxa"/>
          </w:tcPr>
          <w:p w14:paraId="47590DD5" w14:textId="088AD428" w:rsidR="005441A8" w:rsidRPr="00912B21" w:rsidRDefault="00612292"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Ti</w:t>
            </w:r>
            <w:r w:rsidR="00146A0B" w:rsidRPr="00912B21">
              <w:rPr>
                <w:rFonts w:ascii="Times New Roman" w:hAnsi="Times New Roman" w:cs="Times New Roman"/>
                <w:sz w:val="24"/>
                <w:szCs w:val="24"/>
                <w:lang w:val="lt-LT"/>
              </w:rPr>
              <w:t>e</w:t>
            </w:r>
            <w:r w:rsidRPr="00912B21">
              <w:rPr>
                <w:rFonts w:ascii="Times New Roman" w:hAnsi="Times New Roman" w:cs="Times New Roman"/>
                <w:sz w:val="24"/>
                <w:szCs w:val="24"/>
                <w:lang w:val="lt-LT"/>
              </w:rPr>
              <w:t>ki</w:t>
            </w:r>
            <w:r w:rsidR="00146A0B" w:rsidRPr="00912B21">
              <w:rPr>
                <w:rFonts w:ascii="Times New Roman" w:hAnsi="Times New Roman" w:cs="Times New Roman"/>
                <w:sz w:val="24"/>
                <w:szCs w:val="24"/>
                <w:lang w:val="lt-LT"/>
              </w:rPr>
              <w:t xml:space="preserve">amai įrangai turi būti suteikta gamintojo numatyta garantija, kuri turi būti ne trumpesnė </w:t>
            </w:r>
            <w:r w:rsidR="00326DF6" w:rsidRPr="00912B21">
              <w:rPr>
                <w:rFonts w:ascii="Times New Roman" w:hAnsi="Times New Roman" w:cs="Times New Roman"/>
                <w:sz w:val="24"/>
                <w:szCs w:val="24"/>
                <w:lang w:val="lt-LT"/>
              </w:rPr>
              <w:t>kaip 24 mėn. laikotarpiui;</w:t>
            </w:r>
          </w:p>
        </w:tc>
      </w:tr>
      <w:tr w:rsidR="00326DF6" w:rsidRPr="00912B21" w14:paraId="3DD33770" w14:textId="77777777" w:rsidTr="00912B21">
        <w:trPr>
          <w:trHeight w:val="315"/>
        </w:trPr>
        <w:tc>
          <w:tcPr>
            <w:tcW w:w="885" w:type="dxa"/>
          </w:tcPr>
          <w:p w14:paraId="221F447D" w14:textId="5EAAD526" w:rsidR="00326DF6" w:rsidRPr="00912B21" w:rsidRDefault="00326DF6"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lastRenderedPageBreak/>
              <w:t>1.12.2</w:t>
            </w:r>
            <w:r w:rsidR="006458D3" w:rsidRPr="00912B21">
              <w:rPr>
                <w:rFonts w:ascii="Times New Roman" w:eastAsia="Calibri" w:hAnsi="Times New Roman" w:cs="Times New Roman"/>
                <w:sz w:val="24"/>
                <w:szCs w:val="24"/>
                <w:lang w:val="lt-LT"/>
              </w:rPr>
              <w:t>.</w:t>
            </w:r>
          </w:p>
        </w:tc>
        <w:tc>
          <w:tcPr>
            <w:tcW w:w="9213" w:type="dxa"/>
          </w:tcPr>
          <w:p w14:paraId="24933133" w14:textId="65C2C0F0" w:rsidR="00326DF6" w:rsidRPr="00912B21" w:rsidRDefault="00560F6D"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G</w:t>
            </w:r>
            <w:r w:rsidR="00CD623A" w:rsidRPr="00912B21">
              <w:rPr>
                <w:rFonts w:ascii="Times New Roman" w:hAnsi="Times New Roman" w:cs="Times New Roman"/>
                <w:sz w:val="24"/>
                <w:szCs w:val="24"/>
                <w:lang w:val="lt-LT"/>
              </w:rPr>
              <w:t>arantinio remonto trukmė – ne ilgiau kaip 30 kalendorinių dienų. Jei sugedusios įrangos per šį laikotarpį pataisyti neįmanoma, ji pakeičiama ekvivalentiška nauja. Jei įrangos neįmanoma suremontuoti per  5 darbo dienas nuo pranešimo apie gedimą gavimo, Tiekėjas garantinio remonto laikotarpiui privalo pateikti perkančiajai organizacijai ekvivalentišką sugedusiai įrangą (įrangos komplektą) ir ją įrengti įrangos instaliacijos vietoje (esančioje Lietuvos Respublikos teritorijoje,) ne vėliau kaip per 5 darbo dienas;</w:t>
            </w:r>
          </w:p>
        </w:tc>
      </w:tr>
      <w:tr w:rsidR="00CD623A" w:rsidRPr="00912B21" w14:paraId="70F1BE03" w14:textId="77777777" w:rsidTr="00912B21">
        <w:trPr>
          <w:trHeight w:val="315"/>
        </w:trPr>
        <w:tc>
          <w:tcPr>
            <w:tcW w:w="885" w:type="dxa"/>
          </w:tcPr>
          <w:p w14:paraId="0125A968" w14:textId="5AC00811" w:rsidR="00CD623A" w:rsidRPr="00912B21" w:rsidRDefault="00CD623A"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1.12.3</w:t>
            </w:r>
            <w:r w:rsidR="006458D3" w:rsidRPr="00912B21">
              <w:rPr>
                <w:rFonts w:ascii="Times New Roman" w:eastAsia="Calibri" w:hAnsi="Times New Roman" w:cs="Times New Roman"/>
                <w:sz w:val="24"/>
                <w:szCs w:val="24"/>
                <w:lang w:val="lt-LT"/>
              </w:rPr>
              <w:t>.</w:t>
            </w:r>
          </w:p>
        </w:tc>
        <w:tc>
          <w:tcPr>
            <w:tcW w:w="9213" w:type="dxa"/>
          </w:tcPr>
          <w:p w14:paraId="1CE0A39F" w14:textId="327AFE1C" w:rsidR="00CD623A" w:rsidRPr="00912B21" w:rsidRDefault="00560F6D"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Siūlomos įrangos techninė priežiūra turi būti atliekama tik įrangos gamintojo sertifikuotuose techninės priežiūros centruose;</w:t>
            </w:r>
          </w:p>
        </w:tc>
      </w:tr>
      <w:tr w:rsidR="00560F6D" w:rsidRPr="00912B21" w14:paraId="59FF341B" w14:textId="77777777" w:rsidTr="00912B21">
        <w:trPr>
          <w:trHeight w:val="315"/>
        </w:trPr>
        <w:tc>
          <w:tcPr>
            <w:tcW w:w="885" w:type="dxa"/>
          </w:tcPr>
          <w:p w14:paraId="58170A96" w14:textId="14025848" w:rsidR="00560F6D" w:rsidRPr="00912B21" w:rsidRDefault="00560F6D"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1.12.4</w:t>
            </w:r>
            <w:r w:rsidR="006458D3" w:rsidRPr="00912B21">
              <w:rPr>
                <w:rFonts w:ascii="Times New Roman" w:eastAsia="Calibri" w:hAnsi="Times New Roman" w:cs="Times New Roman"/>
                <w:sz w:val="24"/>
                <w:szCs w:val="24"/>
                <w:lang w:val="lt-LT"/>
              </w:rPr>
              <w:t>.</w:t>
            </w:r>
          </w:p>
        </w:tc>
        <w:tc>
          <w:tcPr>
            <w:tcW w:w="9213" w:type="dxa"/>
          </w:tcPr>
          <w:p w14:paraId="06FE047F" w14:textId="2C8B14BF" w:rsidR="00560F6D" w:rsidRPr="00912B21" w:rsidRDefault="00560F6D"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Garantinis laikotarpis skaičiuojamas nuo priėmimo–perdavimo akto pasirašymo dienos;</w:t>
            </w:r>
          </w:p>
        </w:tc>
      </w:tr>
      <w:tr w:rsidR="00560F6D" w:rsidRPr="00912B21" w14:paraId="243BFB68" w14:textId="77777777" w:rsidTr="00912B21">
        <w:trPr>
          <w:trHeight w:val="315"/>
        </w:trPr>
        <w:tc>
          <w:tcPr>
            <w:tcW w:w="885" w:type="dxa"/>
          </w:tcPr>
          <w:p w14:paraId="2A7BEE28" w14:textId="39018F68" w:rsidR="00560F6D" w:rsidRPr="00912B21" w:rsidRDefault="006458D3"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1.12.5.</w:t>
            </w:r>
          </w:p>
        </w:tc>
        <w:tc>
          <w:tcPr>
            <w:tcW w:w="9213" w:type="dxa"/>
          </w:tcPr>
          <w:p w14:paraId="6F6C2E60" w14:textId="0E841AD0" w:rsidR="00560F6D" w:rsidRPr="00912B21" w:rsidRDefault="006458D3"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Garantiniu laikotarpiu tiekėjas privalo atlikti darbus savo lėšomis, įskaitant transportavimo išlaidas.</w:t>
            </w:r>
          </w:p>
        </w:tc>
      </w:tr>
      <w:tr w:rsidR="006458D3" w:rsidRPr="00912B21" w14:paraId="39197E4F" w14:textId="77777777" w:rsidTr="00912B21">
        <w:trPr>
          <w:trHeight w:val="315"/>
        </w:trPr>
        <w:tc>
          <w:tcPr>
            <w:tcW w:w="885" w:type="dxa"/>
          </w:tcPr>
          <w:p w14:paraId="68DF7C01" w14:textId="53E18A16" w:rsidR="006458D3" w:rsidRPr="00912B21" w:rsidRDefault="006458D3"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1.12.6.</w:t>
            </w:r>
          </w:p>
        </w:tc>
        <w:tc>
          <w:tcPr>
            <w:tcW w:w="9213" w:type="dxa"/>
          </w:tcPr>
          <w:p w14:paraId="60A51B69" w14:textId="26574132" w:rsidR="006458D3" w:rsidRPr="00912B21" w:rsidRDefault="00163E8B" w:rsidP="00912B21">
            <w:pPr>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Garantiniu laikotarpiu pirkėjas nemokamai gauna ir naudoja komutatoriaus programinės įrangos (angl. firmware) klaidų ištaisymus ir naujas versijas;</w:t>
            </w:r>
          </w:p>
        </w:tc>
      </w:tr>
      <w:tr w:rsidR="00510B4D" w:rsidRPr="00912B21" w14:paraId="33D85786" w14:textId="77777777" w:rsidTr="00912B21">
        <w:trPr>
          <w:trHeight w:val="315"/>
        </w:trPr>
        <w:tc>
          <w:tcPr>
            <w:tcW w:w="885" w:type="dxa"/>
            <w:hideMark/>
          </w:tcPr>
          <w:p w14:paraId="3421B264" w14:textId="6483B669" w:rsidR="00510B4D" w:rsidRPr="00912B21" w:rsidRDefault="00510B4D"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w:t>
            </w:r>
            <w:r w:rsidR="005441A8" w:rsidRPr="00912B21">
              <w:rPr>
                <w:rFonts w:ascii="Times New Roman" w:eastAsia="Calibri" w:hAnsi="Times New Roman" w:cs="Times New Roman"/>
                <w:sz w:val="24"/>
                <w:szCs w:val="24"/>
                <w:lang w:val="lt-LT"/>
              </w:rPr>
              <w:t>13</w:t>
            </w:r>
            <w:r w:rsidRPr="00912B21">
              <w:rPr>
                <w:rFonts w:ascii="Times New Roman" w:eastAsia="Calibri" w:hAnsi="Times New Roman" w:cs="Times New Roman"/>
                <w:sz w:val="24"/>
                <w:szCs w:val="24"/>
                <w:lang w:val="lt-LT"/>
              </w:rPr>
              <w:t>.</w:t>
            </w:r>
          </w:p>
        </w:tc>
        <w:tc>
          <w:tcPr>
            <w:tcW w:w="9213" w:type="dxa"/>
            <w:hideMark/>
          </w:tcPr>
          <w:p w14:paraId="0BC586FD" w14:textId="65763E6B" w:rsidR="004668A3" w:rsidRPr="00912B21" w:rsidRDefault="00141961" w:rsidP="00912B21">
            <w:pPr>
              <w:tabs>
                <w:tab w:val="left" w:pos="757"/>
              </w:tabs>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Įrangos gamintojas privalo užtikrinti Europos Sąjungos </w:t>
            </w:r>
            <w:r w:rsidR="00E15D3F" w:rsidRPr="00912B21">
              <w:rPr>
                <w:rFonts w:ascii="Times New Roman" w:hAnsi="Times New Roman" w:cs="Times New Roman"/>
                <w:i/>
                <w:iCs/>
                <w:sz w:val="24"/>
                <w:szCs w:val="24"/>
                <w:lang w:val="lt-LT"/>
              </w:rPr>
              <w:t>RoHS</w:t>
            </w:r>
            <w:r w:rsidR="00E15D3F" w:rsidRPr="00912B21">
              <w:rPr>
                <w:rFonts w:ascii="Times New Roman" w:hAnsi="Times New Roman" w:cs="Times New Roman"/>
                <w:sz w:val="24"/>
                <w:szCs w:val="24"/>
                <w:lang w:val="lt-LT"/>
              </w:rPr>
              <w:t xml:space="preserve"> (angl. </w:t>
            </w:r>
            <w:r w:rsidR="00E15D3F" w:rsidRPr="00912B21">
              <w:rPr>
                <w:rFonts w:ascii="Times New Roman" w:hAnsi="Times New Roman" w:cs="Times New Roman"/>
                <w:i/>
                <w:iCs/>
                <w:sz w:val="24"/>
                <w:szCs w:val="24"/>
                <w:lang w:val="lt-LT"/>
              </w:rPr>
              <w:t>„</w:t>
            </w:r>
            <w:proofErr w:type="spellStart"/>
            <w:r w:rsidR="00E15D3F" w:rsidRPr="00912B21">
              <w:rPr>
                <w:rFonts w:ascii="Times New Roman" w:hAnsi="Times New Roman" w:cs="Times New Roman"/>
                <w:i/>
                <w:iCs/>
                <w:sz w:val="24"/>
                <w:szCs w:val="24"/>
                <w:lang w:val="lt-LT"/>
              </w:rPr>
              <w:t>Restrictions</w:t>
            </w:r>
            <w:proofErr w:type="spellEnd"/>
            <w:r w:rsidR="00E15D3F" w:rsidRPr="00912B21">
              <w:rPr>
                <w:rFonts w:ascii="Times New Roman" w:hAnsi="Times New Roman" w:cs="Times New Roman"/>
                <w:i/>
                <w:iCs/>
                <w:sz w:val="24"/>
                <w:szCs w:val="24"/>
                <w:lang w:val="lt-LT"/>
              </w:rPr>
              <w:t xml:space="preserve"> </w:t>
            </w:r>
            <w:proofErr w:type="spellStart"/>
            <w:r w:rsidR="00E15D3F" w:rsidRPr="00912B21">
              <w:rPr>
                <w:rFonts w:ascii="Times New Roman" w:hAnsi="Times New Roman" w:cs="Times New Roman"/>
                <w:i/>
                <w:iCs/>
                <w:sz w:val="24"/>
                <w:szCs w:val="24"/>
                <w:lang w:val="lt-LT"/>
              </w:rPr>
              <w:t>of</w:t>
            </w:r>
            <w:proofErr w:type="spellEnd"/>
            <w:r w:rsidR="00E15D3F" w:rsidRPr="00912B21">
              <w:rPr>
                <w:rFonts w:ascii="Times New Roman" w:hAnsi="Times New Roman" w:cs="Times New Roman"/>
                <w:i/>
                <w:iCs/>
                <w:sz w:val="24"/>
                <w:szCs w:val="24"/>
                <w:lang w:val="lt-LT"/>
              </w:rPr>
              <w:t xml:space="preserve"> </w:t>
            </w:r>
            <w:proofErr w:type="spellStart"/>
            <w:r w:rsidR="00E15D3F" w:rsidRPr="00912B21">
              <w:rPr>
                <w:rFonts w:ascii="Times New Roman" w:hAnsi="Times New Roman" w:cs="Times New Roman"/>
                <w:i/>
                <w:iCs/>
                <w:sz w:val="24"/>
                <w:szCs w:val="24"/>
                <w:lang w:val="lt-LT"/>
              </w:rPr>
              <w:t>Hazardous</w:t>
            </w:r>
            <w:proofErr w:type="spellEnd"/>
            <w:r w:rsidR="00E15D3F" w:rsidRPr="00912B21">
              <w:rPr>
                <w:rFonts w:ascii="Times New Roman" w:hAnsi="Times New Roman" w:cs="Times New Roman"/>
                <w:i/>
                <w:iCs/>
                <w:sz w:val="24"/>
                <w:szCs w:val="24"/>
                <w:lang w:val="lt-LT"/>
              </w:rPr>
              <w:t xml:space="preserve"> </w:t>
            </w:r>
            <w:proofErr w:type="spellStart"/>
            <w:r w:rsidR="00E15D3F" w:rsidRPr="00912B21">
              <w:rPr>
                <w:rFonts w:ascii="Times New Roman" w:hAnsi="Times New Roman" w:cs="Times New Roman"/>
                <w:i/>
                <w:iCs/>
                <w:sz w:val="24"/>
                <w:szCs w:val="24"/>
                <w:lang w:val="lt-LT"/>
              </w:rPr>
              <w:t>Substances</w:t>
            </w:r>
            <w:proofErr w:type="spellEnd"/>
            <w:r w:rsidR="00E15D3F" w:rsidRPr="00912B21">
              <w:rPr>
                <w:rFonts w:ascii="Times New Roman" w:hAnsi="Times New Roman" w:cs="Times New Roman"/>
                <w:i/>
                <w:iCs/>
                <w:sz w:val="24"/>
                <w:szCs w:val="24"/>
                <w:lang w:val="lt-LT"/>
              </w:rPr>
              <w:t>“</w:t>
            </w:r>
            <w:r w:rsidR="00335BE3" w:rsidRPr="00912B21">
              <w:rPr>
                <w:rFonts w:ascii="Times New Roman" w:hAnsi="Times New Roman" w:cs="Times New Roman"/>
                <w:sz w:val="24"/>
                <w:szCs w:val="24"/>
                <w:lang w:val="lt-LT"/>
              </w:rPr>
              <w:t>) direktyvos (2011/65/EU), draudži</w:t>
            </w:r>
            <w:r w:rsidR="002C70B4" w:rsidRPr="00912B21">
              <w:rPr>
                <w:rFonts w:ascii="Times New Roman" w:hAnsi="Times New Roman" w:cs="Times New Roman"/>
                <w:sz w:val="24"/>
                <w:szCs w:val="24"/>
                <w:lang w:val="lt-LT"/>
              </w:rPr>
              <w:t>ančios gamyboje naudoti aplinkai ir žmogaus sveikatai pavojingas medžiagas</w:t>
            </w:r>
            <w:r w:rsidR="00145560" w:rsidRPr="00912B21">
              <w:rPr>
                <w:rFonts w:ascii="Times New Roman" w:hAnsi="Times New Roman" w:cs="Times New Roman"/>
                <w:sz w:val="24"/>
                <w:szCs w:val="24"/>
                <w:lang w:val="lt-LT"/>
              </w:rPr>
              <w:t xml:space="preserve"> (pvz., gyvsidabrį, kadmį, šviną, </w:t>
            </w:r>
            <w:r w:rsidR="00EA74AA" w:rsidRPr="00912B21">
              <w:rPr>
                <w:rFonts w:ascii="Times New Roman" w:hAnsi="Times New Roman" w:cs="Times New Roman"/>
                <w:sz w:val="24"/>
                <w:szCs w:val="24"/>
                <w:lang w:val="lt-LT"/>
              </w:rPr>
              <w:t xml:space="preserve">šešiavalentį chromą, o tai pat antipirenus), </w:t>
            </w:r>
            <w:r w:rsidR="00A77962" w:rsidRPr="00912B21">
              <w:rPr>
                <w:rFonts w:ascii="Times New Roman" w:hAnsi="Times New Roman" w:cs="Times New Roman"/>
                <w:sz w:val="24"/>
                <w:szCs w:val="24"/>
                <w:lang w:val="lt-LT"/>
              </w:rPr>
              <w:t xml:space="preserve">reikalavimų įvykdymą. Tiekėjas </w:t>
            </w:r>
            <w:r w:rsidR="00CB13B3" w:rsidRPr="00912B21">
              <w:rPr>
                <w:rFonts w:ascii="Times New Roman" w:hAnsi="Times New Roman" w:cs="Times New Roman"/>
                <w:sz w:val="24"/>
                <w:szCs w:val="24"/>
                <w:lang w:val="lt-LT"/>
              </w:rPr>
              <w:t xml:space="preserve">turi pateikti atitiktį žaliojo pirkimo reikalavimams </w:t>
            </w:r>
            <w:r w:rsidR="00D7259B" w:rsidRPr="00912B21">
              <w:rPr>
                <w:rFonts w:ascii="Times New Roman" w:hAnsi="Times New Roman" w:cs="Times New Roman"/>
                <w:sz w:val="24"/>
                <w:szCs w:val="24"/>
                <w:lang w:val="lt-LT"/>
              </w:rPr>
              <w:t>įrodančius dokumentus;</w:t>
            </w:r>
          </w:p>
        </w:tc>
      </w:tr>
      <w:tr w:rsidR="004668A3" w:rsidRPr="00912B21" w14:paraId="05CC895A" w14:textId="77777777" w:rsidTr="00912B21">
        <w:trPr>
          <w:trHeight w:val="315"/>
        </w:trPr>
        <w:tc>
          <w:tcPr>
            <w:tcW w:w="885" w:type="dxa"/>
          </w:tcPr>
          <w:p w14:paraId="0F6A3776" w14:textId="37E679EF" w:rsidR="004668A3" w:rsidRPr="00912B21" w:rsidRDefault="004668A3" w:rsidP="00912B21">
            <w:pPr>
              <w:spacing w:after="0" w:line="240" w:lineRule="auto"/>
              <w:jc w:val="both"/>
              <w:rPr>
                <w:rFonts w:ascii="Times New Roman" w:eastAsia="Calibri" w:hAnsi="Times New Roman" w:cs="Times New Roman"/>
                <w:sz w:val="24"/>
                <w:szCs w:val="24"/>
                <w:lang w:val="lt-LT"/>
              </w:rPr>
            </w:pPr>
            <w:r w:rsidRPr="00912B21">
              <w:rPr>
                <w:rFonts w:ascii="Times New Roman" w:eastAsia="Calibri" w:hAnsi="Times New Roman" w:cs="Times New Roman"/>
                <w:sz w:val="24"/>
                <w:szCs w:val="24"/>
                <w:lang w:val="lt-LT"/>
              </w:rPr>
              <w:t>1.</w:t>
            </w:r>
            <w:r w:rsidR="005441A8" w:rsidRPr="00912B21">
              <w:rPr>
                <w:rFonts w:ascii="Times New Roman" w:eastAsia="Calibri" w:hAnsi="Times New Roman" w:cs="Times New Roman"/>
                <w:sz w:val="24"/>
                <w:szCs w:val="24"/>
                <w:lang w:val="lt-LT"/>
              </w:rPr>
              <w:t>14</w:t>
            </w:r>
            <w:r w:rsidRPr="00912B21">
              <w:rPr>
                <w:rFonts w:ascii="Times New Roman" w:eastAsia="Calibri" w:hAnsi="Times New Roman" w:cs="Times New Roman"/>
                <w:sz w:val="24"/>
                <w:szCs w:val="24"/>
                <w:lang w:val="lt-LT"/>
              </w:rPr>
              <w:t>.</w:t>
            </w:r>
          </w:p>
        </w:tc>
        <w:tc>
          <w:tcPr>
            <w:tcW w:w="9213" w:type="dxa"/>
          </w:tcPr>
          <w:p w14:paraId="78DE5E17" w14:textId="7F144BA2" w:rsidR="004668A3" w:rsidRPr="00912B21" w:rsidRDefault="00DF1840" w:rsidP="00912B21">
            <w:pPr>
              <w:tabs>
                <w:tab w:val="left" w:pos="757"/>
              </w:tabs>
              <w:spacing w:after="0" w:line="240" w:lineRule="auto"/>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Įranga, vadovaujantis Viešųjų pirkimų įstatymo 39 str. 9 d.ir Viešųjų pirkimų įstatymo 39 </w:t>
            </w:r>
            <w:proofErr w:type="spellStart"/>
            <w:r w:rsidRPr="00912B21">
              <w:rPr>
                <w:rFonts w:ascii="Times New Roman" w:hAnsi="Times New Roman" w:cs="Times New Roman"/>
                <w:sz w:val="24"/>
                <w:szCs w:val="24"/>
                <w:lang w:val="lt-LT"/>
              </w:rPr>
              <w:t>str</w:t>
            </w:r>
            <w:proofErr w:type="spellEnd"/>
            <w:r w:rsidRPr="00912B21">
              <w:rPr>
                <w:rFonts w:ascii="Times New Roman" w:hAnsi="Times New Roman" w:cs="Times New Roman"/>
                <w:sz w:val="24"/>
                <w:szCs w:val="24"/>
                <w:lang w:val="lt-LT"/>
              </w:rPr>
              <w:t>, 10 d. numatyta išimtimi, turi nekelti grėsmės nacionaliniam saugumui.</w:t>
            </w:r>
          </w:p>
        </w:tc>
      </w:tr>
    </w:tbl>
    <w:p w14:paraId="5C3D35D2" w14:textId="00841D50" w:rsidR="00D10F01" w:rsidRPr="00912B21" w:rsidRDefault="00D10F01" w:rsidP="00912B21">
      <w:pPr>
        <w:spacing w:after="0" w:line="240" w:lineRule="auto"/>
        <w:rPr>
          <w:rFonts w:ascii="Times New Roman" w:hAnsi="Times New Roman" w:cs="Times New Roman"/>
          <w:sz w:val="24"/>
          <w:szCs w:val="24"/>
          <w:lang w:val="lt-LT"/>
        </w:rPr>
      </w:pPr>
    </w:p>
    <w:p w14:paraId="676526A7" w14:textId="77777777" w:rsidR="00D10F01" w:rsidRPr="00912B21" w:rsidRDefault="00D10F01" w:rsidP="00912B21">
      <w:pPr>
        <w:spacing w:after="0" w:line="240" w:lineRule="auto"/>
        <w:rPr>
          <w:rFonts w:ascii="Times New Roman" w:hAnsi="Times New Roman" w:cs="Times New Roman"/>
          <w:sz w:val="24"/>
          <w:szCs w:val="24"/>
          <w:lang w:val="lt-LT"/>
        </w:rPr>
      </w:pPr>
      <w:r w:rsidRPr="00912B21">
        <w:rPr>
          <w:rFonts w:ascii="Times New Roman" w:hAnsi="Times New Roman" w:cs="Times New Roman"/>
          <w:sz w:val="24"/>
          <w:szCs w:val="24"/>
          <w:lang w:val="lt-LT"/>
        </w:rPr>
        <w:br w:type="page"/>
      </w:r>
    </w:p>
    <w:tbl>
      <w:tblPr>
        <w:tblStyle w:val="TableGrid"/>
        <w:tblW w:w="0" w:type="auto"/>
        <w:tblInd w:w="-147" w:type="dxa"/>
        <w:tblLook w:val="04A0" w:firstRow="1" w:lastRow="0" w:firstColumn="1" w:lastColumn="0" w:noHBand="0" w:noVBand="1"/>
      </w:tblPr>
      <w:tblGrid>
        <w:gridCol w:w="798"/>
        <w:gridCol w:w="2179"/>
        <w:gridCol w:w="7132"/>
      </w:tblGrid>
      <w:tr w:rsidR="001C4AC6" w:rsidRPr="00912B21" w14:paraId="7E42F0A0" w14:textId="77777777" w:rsidTr="001C4AC6">
        <w:tc>
          <w:tcPr>
            <w:tcW w:w="798" w:type="dxa"/>
          </w:tcPr>
          <w:p w14:paraId="1D3C3E15" w14:textId="2B13159D" w:rsidR="001C4AC6" w:rsidRPr="00912B21" w:rsidRDefault="001C4AC6" w:rsidP="00912B21">
            <w:pPr>
              <w:rPr>
                <w:rFonts w:ascii="Times New Roman" w:hAnsi="Times New Roman" w:cs="Times New Roman"/>
                <w:sz w:val="24"/>
                <w:szCs w:val="24"/>
                <w:lang w:val="lt-LT"/>
              </w:rPr>
            </w:pPr>
            <w:r w:rsidRPr="00912B21">
              <w:rPr>
                <w:rFonts w:ascii="Times New Roman" w:eastAsia="Times New Roman" w:hAnsi="Times New Roman" w:cs="Times New Roman"/>
                <w:b/>
                <w:sz w:val="24"/>
                <w:szCs w:val="24"/>
                <w:lang w:val="lt-LT"/>
              </w:rPr>
              <w:lastRenderedPageBreak/>
              <w:t>2.</w:t>
            </w:r>
          </w:p>
        </w:tc>
        <w:tc>
          <w:tcPr>
            <w:tcW w:w="2179" w:type="dxa"/>
          </w:tcPr>
          <w:p w14:paraId="18061613" w14:textId="77777777" w:rsidR="001C4AC6" w:rsidRPr="00912B21" w:rsidRDefault="001C4AC6" w:rsidP="00912B21">
            <w:pPr>
              <w:rPr>
                <w:rFonts w:ascii="Times New Roman" w:eastAsia="Times New Roman" w:hAnsi="Times New Roman" w:cs="Times New Roman"/>
                <w:b/>
                <w:sz w:val="24"/>
                <w:szCs w:val="24"/>
                <w:lang w:val="lt-LT" w:eastAsia="lt-LT"/>
              </w:rPr>
            </w:pPr>
          </w:p>
        </w:tc>
        <w:tc>
          <w:tcPr>
            <w:tcW w:w="7132" w:type="dxa"/>
          </w:tcPr>
          <w:p w14:paraId="2B267AD4" w14:textId="2FC447E0" w:rsidR="001C4AC6" w:rsidRPr="00912B21" w:rsidRDefault="001C4AC6" w:rsidP="00912B21">
            <w:pPr>
              <w:rPr>
                <w:rFonts w:ascii="Times New Roman" w:hAnsi="Times New Roman" w:cs="Times New Roman"/>
                <w:sz w:val="24"/>
                <w:szCs w:val="24"/>
                <w:lang w:val="lt-LT"/>
              </w:rPr>
            </w:pPr>
            <w:r w:rsidRPr="00912B21">
              <w:rPr>
                <w:rFonts w:ascii="Times New Roman" w:eastAsia="Times New Roman" w:hAnsi="Times New Roman" w:cs="Times New Roman"/>
                <w:b/>
                <w:sz w:val="24"/>
                <w:szCs w:val="24"/>
                <w:lang w:val="lt-LT" w:eastAsia="lt-LT"/>
              </w:rPr>
              <w:t>Techniniai reikalavimai</w:t>
            </w:r>
          </w:p>
        </w:tc>
      </w:tr>
      <w:tr w:rsidR="00163072" w:rsidRPr="00912B21" w14:paraId="4CDF0648" w14:textId="77777777" w:rsidTr="001C4AC6">
        <w:tc>
          <w:tcPr>
            <w:tcW w:w="798" w:type="dxa"/>
          </w:tcPr>
          <w:p w14:paraId="22DCD5A7" w14:textId="5AAAF520" w:rsidR="00163072" w:rsidRPr="00912B21" w:rsidRDefault="00163072" w:rsidP="00912B21">
            <w:pPr>
              <w:rPr>
                <w:rFonts w:ascii="Times New Roman" w:eastAsia="Times New Roman" w:hAnsi="Times New Roman" w:cs="Times New Roman"/>
                <w:b/>
                <w:sz w:val="24"/>
                <w:szCs w:val="24"/>
                <w:lang w:val="lt-LT"/>
              </w:rPr>
            </w:pPr>
            <w:r w:rsidRPr="00912B21">
              <w:rPr>
                <w:rFonts w:ascii="Times New Roman" w:eastAsia="Times New Roman" w:hAnsi="Times New Roman" w:cs="Times New Roman"/>
                <w:sz w:val="24"/>
                <w:szCs w:val="24"/>
                <w:lang w:val="lt-LT"/>
              </w:rPr>
              <w:t>2.1.</w:t>
            </w:r>
          </w:p>
        </w:tc>
        <w:tc>
          <w:tcPr>
            <w:tcW w:w="2179" w:type="dxa"/>
          </w:tcPr>
          <w:p w14:paraId="0CFD3393" w14:textId="5969DD21"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Pirkimo </w:t>
            </w:r>
            <w:r w:rsidR="00617A14" w:rsidRPr="00912B21">
              <w:rPr>
                <w:rFonts w:ascii="Times New Roman" w:hAnsi="Times New Roman" w:cs="Times New Roman"/>
                <w:sz w:val="24"/>
                <w:szCs w:val="24"/>
                <w:lang w:val="lt-LT"/>
              </w:rPr>
              <w:t>objektas</w:t>
            </w:r>
          </w:p>
        </w:tc>
        <w:tc>
          <w:tcPr>
            <w:tcW w:w="7132" w:type="dxa"/>
          </w:tcPr>
          <w:p w14:paraId="68B041F3" w14:textId="31BD35CC" w:rsidR="00163072" w:rsidRPr="00912B21" w:rsidRDefault="00530251"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Pirkimo objektas</w:t>
            </w:r>
            <w:r w:rsidR="00617A14" w:rsidRPr="00912B21">
              <w:rPr>
                <w:rFonts w:ascii="Times New Roman" w:hAnsi="Times New Roman" w:cs="Times New Roman"/>
                <w:sz w:val="24"/>
                <w:szCs w:val="24"/>
                <w:lang w:val="lt-LT"/>
              </w:rPr>
              <w:t xml:space="preserve"> -</w:t>
            </w:r>
            <w:r w:rsidRPr="00912B21">
              <w:rPr>
                <w:rFonts w:ascii="Times New Roman" w:hAnsi="Times New Roman" w:cs="Times New Roman"/>
                <w:sz w:val="24"/>
                <w:szCs w:val="24"/>
                <w:lang w:val="lt-LT"/>
              </w:rPr>
              <w:t xml:space="preserve"> Duomenų srauto </w:t>
            </w:r>
            <w:r w:rsidR="00617A14" w:rsidRPr="00912B21">
              <w:rPr>
                <w:rFonts w:ascii="Times New Roman" w:hAnsi="Times New Roman" w:cs="Times New Roman"/>
                <w:sz w:val="24"/>
                <w:szCs w:val="24"/>
                <w:lang w:val="lt-LT"/>
              </w:rPr>
              <w:t>replikavimo</w:t>
            </w:r>
            <w:r w:rsidRPr="00912B21">
              <w:rPr>
                <w:rFonts w:ascii="Times New Roman" w:hAnsi="Times New Roman" w:cs="Times New Roman"/>
                <w:sz w:val="24"/>
                <w:szCs w:val="24"/>
                <w:lang w:val="lt-LT"/>
              </w:rPr>
              <w:t xml:space="preserve"> įrenginys (</w:t>
            </w:r>
            <w:r w:rsidR="00617A14" w:rsidRPr="00912B21">
              <w:rPr>
                <w:rFonts w:ascii="Times New Roman" w:hAnsi="Times New Roman" w:cs="Times New Roman"/>
                <w:sz w:val="24"/>
                <w:szCs w:val="24"/>
                <w:lang w:val="lt-LT"/>
              </w:rPr>
              <w:t>ang</w:t>
            </w:r>
            <w:r w:rsidR="00912B21">
              <w:rPr>
                <w:rFonts w:ascii="Times New Roman" w:hAnsi="Times New Roman" w:cs="Times New Roman"/>
                <w:sz w:val="24"/>
                <w:szCs w:val="24"/>
                <w:lang w:val="lt-LT"/>
              </w:rPr>
              <w:t>l</w:t>
            </w:r>
            <w:r w:rsidR="00617A14" w:rsidRPr="00912B21">
              <w:rPr>
                <w:rFonts w:ascii="Times New Roman" w:hAnsi="Times New Roman" w:cs="Times New Roman"/>
                <w:sz w:val="24"/>
                <w:szCs w:val="24"/>
                <w:lang w:val="lt-LT"/>
              </w:rPr>
              <w:t xml:space="preserve">. </w:t>
            </w:r>
            <w:r w:rsidRPr="00912B21">
              <w:rPr>
                <w:rFonts w:ascii="Times New Roman" w:hAnsi="Times New Roman" w:cs="Times New Roman"/>
                <w:sz w:val="24"/>
                <w:szCs w:val="24"/>
                <w:lang w:val="lt-LT"/>
              </w:rPr>
              <w:t>N</w:t>
            </w:r>
            <w:r w:rsidR="00617A14" w:rsidRPr="00912B21">
              <w:rPr>
                <w:rFonts w:ascii="Times New Roman" w:hAnsi="Times New Roman" w:cs="Times New Roman"/>
                <w:sz w:val="24"/>
                <w:szCs w:val="24"/>
                <w:lang w:val="lt-LT"/>
              </w:rPr>
              <w:t xml:space="preserve">etwork </w:t>
            </w:r>
            <w:proofErr w:type="spellStart"/>
            <w:r w:rsidR="00617A14" w:rsidRPr="00912B21">
              <w:rPr>
                <w:rFonts w:ascii="Times New Roman" w:hAnsi="Times New Roman" w:cs="Times New Roman"/>
                <w:sz w:val="24"/>
                <w:szCs w:val="24"/>
                <w:lang w:val="lt-LT"/>
              </w:rPr>
              <w:t>Packet</w:t>
            </w:r>
            <w:proofErr w:type="spellEnd"/>
            <w:r w:rsidR="00617A14" w:rsidRPr="00912B21">
              <w:rPr>
                <w:rFonts w:ascii="Times New Roman" w:hAnsi="Times New Roman" w:cs="Times New Roman"/>
                <w:sz w:val="24"/>
                <w:szCs w:val="24"/>
                <w:lang w:val="lt-LT"/>
              </w:rPr>
              <w:t xml:space="preserve"> </w:t>
            </w:r>
            <w:proofErr w:type="spellStart"/>
            <w:r w:rsidR="00617A14" w:rsidRPr="00912B21">
              <w:rPr>
                <w:rFonts w:ascii="Times New Roman" w:hAnsi="Times New Roman" w:cs="Times New Roman"/>
                <w:sz w:val="24"/>
                <w:szCs w:val="24"/>
                <w:lang w:val="lt-LT"/>
              </w:rPr>
              <w:t>Broker</w:t>
            </w:r>
            <w:proofErr w:type="spellEnd"/>
            <w:r w:rsidRPr="00912B21">
              <w:rPr>
                <w:rFonts w:ascii="Times New Roman" w:hAnsi="Times New Roman" w:cs="Times New Roman"/>
                <w:sz w:val="24"/>
                <w:szCs w:val="24"/>
                <w:lang w:val="lt-LT"/>
              </w:rPr>
              <w:t xml:space="preserve">) </w:t>
            </w:r>
          </w:p>
        </w:tc>
      </w:tr>
      <w:tr w:rsidR="00163072" w:rsidRPr="00912B21" w14:paraId="5845F724" w14:textId="77777777" w:rsidTr="001C4AC6">
        <w:tc>
          <w:tcPr>
            <w:tcW w:w="798" w:type="dxa"/>
          </w:tcPr>
          <w:p w14:paraId="6916339E" w14:textId="6B8AA3C4" w:rsidR="00163072" w:rsidRPr="00912B21" w:rsidRDefault="00163072" w:rsidP="00912B21">
            <w:pPr>
              <w:rPr>
                <w:rFonts w:ascii="Times New Roman" w:hAnsi="Times New Roman" w:cs="Times New Roman"/>
                <w:sz w:val="24"/>
                <w:szCs w:val="24"/>
                <w:lang w:val="lt-LT"/>
              </w:rPr>
            </w:pPr>
            <w:r w:rsidRPr="00912B21">
              <w:rPr>
                <w:rFonts w:ascii="Times New Roman" w:eastAsia="Times New Roman" w:hAnsi="Times New Roman" w:cs="Times New Roman"/>
                <w:sz w:val="24"/>
                <w:szCs w:val="24"/>
                <w:lang w:val="lt-LT"/>
              </w:rPr>
              <w:t>2.2.</w:t>
            </w:r>
          </w:p>
        </w:tc>
        <w:tc>
          <w:tcPr>
            <w:tcW w:w="2179" w:type="dxa"/>
          </w:tcPr>
          <w:p w14:paraId="2E0B8F0C" w14:textId="39CB5B2C"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Konstrukcija</w:t>
            </w:r>
          </w:p>
        </w:tc>
        <w:tc>
          <w:tcPr>
            <w:tcW w:w="7132" w:type="dxa"/>
          </w:tcPr>
          <w:p w14:paraId="44F1C094" w14:textId="6C5C031D"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Specializuotas tinklo duomenų replikavimo įrenginys, susidedantis bent iš šių komponentų:</w:t>
            </w:r>
          </w:p>
          <w:p w14:paraId="0975BB05" w14:textId="105ED42F" w:rsidR="00163072" w:rsidRPr="00912B21" w:rsidRDefault="00163072" w:rsidP="00912B21">
            <w:pPr>
              <w:pStyle w:val="ListParagraph"/>
              <w:numPr>
                <w:ilvl w:val="0"/>
                <w:numId w:val="2"/>
              </w:numPr>
              <w:rPr>
                <w:rFonts w:ascii="Times New Roman" w:hAnsi="Times New Roman" w:cs="Times New Roman"/>
                <w:sz w:val="24"/>
                <w:szCs w:val="24"/>
                <w:lang w:val="lt-LT"/>
              </w:rPr>
            </w:pPr>
            <w:r w:rsidRPr="00912B21">
              <w:rPr>
                <w:rFonts w:ascii="Times New Roman" w:hAnsi="Times New Roman" w:cs="Times New Roman"/>
                <w:sz w:val="24"/>
                <w:szCs w:val="24"/>
                <w:lang w:val="lt-LT"/>
              </w:rPr>
              <w:t>duomenų replikavimo modulių;</w:t>
            </w:r>
          </w:p>
          <w:p w14:paraId="04946CB6" w14:textId="4740B95E" w:rsidR="00163072" w:rsidRPr="00912B21" w:rsidRDefault="00163072" w:rsidP="00912B21">
            <w:pPr>
              <w:pStyle w:val="ListParagraph"/>
              <w:numPr>
                <w:ilvl w:val="0"/>
                <w:numId w:val="2"/>
              </w:numPr>
              <w:rPr>
                <w:rFonts w:ascii="Times New Roman" w:hAnsi="Times New Roman" w:cs="Times New Roman"/>
                <w:sz w:val="24"/>
                <w:szCs w:val="24"/>
                <w:lang w:val="lt-LT"/>
              </w:rPr>
            </w:pPr>
            <w:r w:rsidRPr="00912B21">
              <w:rPr>
                <w:rFonts w:ascii="Times New Roman" w:hAnsi="Times New Roman" w:cs="Times New Roman"/>
                <w:sz w:val="24"/>
                <w:szCs w:val="24"/>
                <w:lang w:val="lt-LT"/>
              </w:rPr>
              <w:t>valdymo modulio.</w:t>
            </w:r>
          </w:p>
          <w:p w14:paraId="13C71A3B" w14:textId="4D1B36F1"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Jei pateikiamas įrenginys yra ne modulinės struktūros, jį privalo sudaryti prievadai, skirti duomenų replikavimui bei prievadai/prievadas, skirtas įrenginio valdymui.</w:t>
            </w:r>
          </w:p>
        </w:tc>
      </w:tr>
      <w:tr w:rsidR="00163072" w:rsidRPr="00912B21" w14:paraId="1F38148A" w14:textId="77777777" w:rsidTr="001C4AC6">
        <w:tc>
          <w:tcPr>
            <w:tcW w:w="798" w:type="dxa"/>
          </w:tcPr>
          <w:p w14:paraId="0F26F247" w14:textId="40B9798F" w:rsidR="00163072" w:rsidRPr="00912B21" w:rsidRDefault="00163072" w:rsidP="00912B21">
            <w:pPr>
              <w:rPr>
                <w:rFonts w:ascii="Times New Roman" w:hAnsi="Times New Roman" w:cs="Times New Roman"/>
                <w:sz w:val="24"/>
                <w:szCs w:val="24"/>
                <w:lang w:val="lt-LT"/>
              </w:rPr>
            </w:pPr>
            <w:r w:rsidRPr="00912B21">
              <w:rPr>
                <w:rFonts w:ascii="Times New Roman" w:eastAsia="Times New Roman" w:hAnsi="Times New Roman" w:cs="Times New Roman"/>
                <w:sz w:val="24"/>
                <w:szCs w:val="24"/>
                <w:lang w:val="lt-LT"/>
              </w:rPr>
              <w:t>2.3.</w:t>
            </w:r>
          </w:p>
        </w:tc>
        <w:tc>
          <w:tcPr>
            <w:tcW w:w="2179" w:type="dxa"/>
          </w:tcPr>
          <w:p w14:paraId="56EB3BB2" w14:textId="16AD8C6C"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Dydis:</w:t>
            </w:r>
          </w:p>
        </w:tc>
        <w:tc>
          <w:tcPr>
            <w:tcW w:w="7132" w:type="dxa"/>
          </w:tcPr>
          <w:p w14:paraId="64294B3B" w14:textId="207521EE"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Įrenginys privalo būti ne aukštesnis nei 1U, bei tinkamas talpinti į 19 colių komutacinę spintą.</w:t>
            </w:r>
          </w:p>
        </w:tc>
      </w:tr>
      <w:tr w:rsidR="00163072" w:rsidRPr="00912B21" w14:paraId="33F53F1B" w14:textId="77777777" w:rsidTr="001C4AC6">
        <w:tc>
          <w:tcPr>
            <w:tcW w:w="798" w:type="dxa"/>
          </w:tcPr>
          <w:p w14:paraId="4578C082" w14:textId="26793765" w:rsidR="00163072" w:rsidRPr="00912B21" w:rsidRDefault="00163072" w:rsidP="00912B21">
            <w:pPr>
              <w:rPr>
                <w:rFonts w:ascii="Times New Roman" w:hAnsi="Times New Roman" w:cs="Times New Roman"/>
                <w:sz w:val="24"/>
                <w:szCs w:val="24"/>
                <w:lang w:val="lt-LT"/>
              </w:rPr>
            </w:pPr>
            <w:r w:rsidRPr="00912B21">
              <w:rPr>
                <w:rFonts w:ascii="Times New Roman" w:eastAsia="Times New Roman" w:hAnsi="Times New Roman" w:cs="Times New Roman"/>
                <w:sz w:val="24"/>
                <w:szCs w:val="24"/>
                <w:lang w:val="lt-LT"/>
              </w:rPr>
              <w:t>2.4.</w:t>
            </w:r>
          </w:p>
        </w:tc>
        <w:tc>
          <w:tcPr>
            <w:tcW w:w="2179" w:type="dxa"/>
          </w:tcPr>
          <w:p w14:paraId="7D84EB8F" w14:textId="45BB7113"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Maitinimas:</w:t>
            </w:r>
          </w:p>
        </w:tc>
        <w:tc>
          <w:tcPr>
            <w:tcW w:w="7132" w:type="dxa"/>
          </w:tcPr>
          <w:p w14:paraId="37153FDC" w14:textId="77777777"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Elektros maitinimas – kintamos srovės, 230V. </w:t>
            </w:r>
          </w:p>
          <w:p w14:paraId="447E14EA" w14:textId="453FA15B"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Įrenginys turi turėti dubliuotą maitinimo šaltinį.</w:t>
            </w:r>
          </w:p>
        </w:tc>
      </w:tr>
      <w:tr w:rsidR="00163072" w:rsidRPr="00912B21" w14:paraId="7B1BA9D6" w14:textId="77777777" w:rsidTr="001C4AC6">
        <w:tc>
          <w:tcPr>
            <w:tcW w:w="798" w:type="dxa"/>
          </w:tcPr>
          <w:p w14:paraId="6282D070" w14:textId="134EEC5F" w:rsidR="00163072" w:rsidRPr="00912B21" w:rsidRDefault="00163072" w:rsidP="00912B21">
            <w:pPr>
              <w:rPr>
                <w:rFonts w:ascii="Times New Roman" w:hAnsi="Times New Roman" w:cs="Times New Roman"/>
                <w:sz w:val="24"/>
                <w:szCs w:val="24"/>
                <w:lang w:val="lt-LT"/>
              </w:rPr>
            </w:pPr>
            <w:r w:rsidRPr="00912B21">
              <w:rPr>
                <w:rFonts w:ascii="Times New Roman" w:eastAsia="Times New Roman" w:hAnsi="Times New Roman" w:cs="Times New Roman"/>
                <w:sz w:val="24"/>
                <w:szCs w:val="24"/>
                <w:lang w:val="lt-LT"/>
              </w:rPr>
              <w:t>2.5.</w:t>
            </w:r>
          </w:p>
        </w:tc>
        <w:tc>
          <w:tcPr>
            <w:tcW w:w="2179" w:type="dxa"/>
          </w:tcPr>
          <w:p w14:paraId="6100A7DE" w14:textId="38A3DAA9"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Greitaveika </w:t>
            </w:r>
          </w:p>
        </w:tc>
        <w:tc>
          <w:tcPr>
            <w:tcW w:w="7132" w:type="dxa"/>
          </w:tcPr>
          <w:p w14:paraId="38DE569C" w14:textId="2501106E"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Palaikoma greitaveika bent 1/10/40/100Gbps.</w:t>
            </w:r>
          </w:p>
          <w:p w14:paraId="4F834C87" w14:textId="7050873C"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Prievadai bent SFP+ ir QSFP28 tipo (netaikoma valdymo moduliui).</w:t>
            </w:r>
          </w:p>
        </w:tc>
      </w:tr>
      <w:tr w:rsidR="00163072" w:rsidRPr="00912B21" w14:paraId="52532811" w14:textId="77777777" w:rsidTr="001C4AC6">
        <w:tc>
          <w:tcPr>
            <w:tcW w:w="798" w:type="dxa"/>
          </w:tcPr>
          <w:p w14:paraId="47E12FFF" w14:textId="55CEA159" w:rsidR="00163072" w:rsidRPr="00912B21" w:rsidRDefault="00163072" w:rsidP="00912B21">
            <w:pPr>
              <w:rPr>
                <w:rFonts w:ascii="Times New Roman" w:eastAsia="Times New Roman" w:hAnsi="Times New Roman" w:cs="Times New Roman"/>
                <w:sz w:val="24"/>
                <w:szCs w:val="24"/>
                <w:lang w:val="lt-LT"/>
              </w:rPr>
            </w:pPr>
            <w:r w:rsidRPr="00912B21">
              <w:rPr>
                <w:rFonts w:ascii="Times New Roman" w:eastAsia="Times New Roman" w:hAnsi="Times New Roman" w:cs="Times New Roman"/>
                <w:sz w:val="24"/>
                <w:szCs w:val="24"/>
                <w:lang w:val="lt-LT"/>
              </w:rPr>
              <w:t>2.6.</w:t>
            </w:r>
          </w:p>
        </w:tc>
        <w:tc>
          <w:tcPr>
            <w:tcW w:w="2179" w:type="dxa"/>
          </w:tcPr>
          <w:p w14:paraId="68531582" w14:textId="0349D069"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Komplektavimas</w:t>
            </w:r>
          </w:p>
        </w:tc>
        <w:tc>
          <w:tcPr>
            <w:tcW w:w="7132" w:type="dxa"/>
          </w:tcPr>
          <w:p w14:paraId="6DEDA5A9" w14:textId="1B1228AE" w:rsidR="00163072" w:rsidRPr="00912B21" w:rsidRDefault="00163072" w:rsidP="00912B21">
            <w:pPr>
              <w:pStyle w:val="ListParagraph"/>
              <w:numPr>
                <w:ilvl w:val="0"/>
                <w:numId w:val="3"/>
              </w:numPr>
              <w:tabs>
                <w:tab w:val="left" w:pos="423"/>
                <w:tab w:val="left" w:pos="459"/>
              </w:tabs>
              <w:jc w:val="both"/>
              <w:rPr>
                <w:rFonts w:ascii="Times New Roman" w:hAnsi="Times New Roman" w:cs="Times New Roman"/>
                <w:kern w:val="0"/>
                <w:sz w:val="24"/>
                <w:szCs w:val="24"/>
                <w:lang w:val="lt-LT"/>
                <w14:ligatures w14:val="none"/>
              </w:rPr>
            </w:pPr>
            <w:r w:rsidRPr="00912B21">
              <w:rPr>
                <w:rFonts w:ascii="Times New Roman" w:hAnsi="Times New Roman" w:cs="Times New Roman"/>
                <w:kern w:val="0"/>
                <w:sz w:val="24"/>
                <w:szCs w:val="24"/>
                <w:lang w:val="lt-LT"/>
                <w14:ligatures w14:val="none"/>
              </w:rPr>
              <w:t>1G/10Gbps prievadų skaičius nemažesnis nei 8 vnt. Kiekvienas iš šių prievadų turi gebėti dirbti tiek 1G tiek 10G režimu;</w:t>
            </w:r>
          </w:p>
          <w:p w14:paraId="7A63174A" w14:textId="7CD4FA89" w:rsidR="00163072" w:rsidRPr="00912B21" w:rsidRDefault="00163072" w:rsidP="00912B21">
            <w:pPr>
              <w:pStyle w:val="ListParagraph"/>
              <w:numPr>
                <w:ilvl w:val="0"/>
                <w:numId w:val="3"/>
              </w:numPr>
              <w:tabs>
                <w:tab w:val="left" w:pos="423"/>
                <w:tab w:val="left" w:pos="459"/>
              </w:tabs>
              <w:jc w:val="both"/>
              <w:rPr>
                <w:rFonts w:ascii="Times New Roman" w:hAnsi="Times New Roman" w:cs="Times New Roman"/>
                <w:kern w:val="0"/>
                <w:sz w:val="24"/>
                <w:szCs w:val="24"/>
                <w:lang w:val="lt-LT"/>
                <w14:ligatures w14:val="none"/>
              </w:rPr>
            </w:pPr>
            <w:r w:rsidRPr="00912B21">
              <w:rPr>
                <w:rFonts w:ascii="Times New Roman" w:hAnsi="Times New Roman" w:cs="Times New Roman"/>
                <w:kern w:val="0"/>
                <w:sz w:val="24"/>
                <w:szCs w:val="24"/>
                <w:lang w:val="lt-LT"/>
                <w14:ligatures w14:val="none"/>
              </w:rPr>
              <w:t>40/100Gbps prievadų skaičius nemažesnis nei 4 vnt. Kiekvienas iš šių prievadų turi gebėti dirbti tiek 40Gbps tiek 100Gbps režimu;</w:t>
            </w:r>
          </w:p>
          <w:p w14:paraId="24FB28A6" w14:textId="4B0A4606" w:rsidR="00163072" w:rsidRPr="00912B21" w:rsidRDefault="00163072" w:rsidP="00912B21">
            <w:pPr>
              <w:pStyle w:val="ListParagraph"/>
              <w:numPr>
                <w:ilvl w:val="0"/>
                <w:numId w:val="3"/>
              </w:numPr>
              <w:tabs>
                <w:tab w:val="left" w:pos="423"/>
                <w:tab w:val="left" w:pos="459"/>
              </w:tabs>
              <w:jc w:val="both"/>
              <w:rPr>
                <w:rFonts w:ascii="Times New Roman" w:hAnsi="Times New Roman" w:cs="Times New Roman"/>
                <w:kern w:val="0"/>
                <w:sz w:val="24"/>
                <w:szCs w:val="24"/>
                <w:lang w:val="lt-LT"/>
                <w14:ligatures w14:val="none"/>
              </w:rPr>
            </w:pPr>
            <w:r w:rsidRPr="00912B21">
              <w:rPr>
                <w:rFonts w:ascii="Times New Roman" w:hAnsi="Times New Roman" w:cs="Times New Roman"/>
                <w:kern w:val="0"/>
                <w:sz w:val="24"/>
                <w:szCs w:val="24"/>
                <w:lang w:val="lt-LT"/>
                <w14:ligatures w14:val="none"/>
              </w:rPr>
              <w:t>Valdymo sąsajos prievadas bent 1000BaseT (jei prievadas yra SFP tipo, turi būti pateikiamas atitinkamas SFP modulis, įgalinantis 1000BaseT prijungimą);</w:t>
            </w:r>
          </w:p>
        </w:tc>
      </w:tr>
      <w:tr w:rsidR="00163072" w:rsidRPr="00912B21" w14:paraId="7491A318" w14:textId="77777777" w:rsidTr="001C4AC6">
        <w:tc>
          <w:tcPr>
            <w:tcW w:w="798" w:type="dxa"/>
          </w:tcPr>
          <w:p w14:paraId="0168A2F1" w14:textId="7310ACF2" w:rsidR="00163072" w:rsidRPr="00912B21" w:rsidRDefault="00163072" w:rsidP="00912B21">
            <w:pPr>
              <w:rPr>
                <w:rFonts w:ascii="Times New Roman" w:eastAsia="Times New Roman" w:hAnsi="Times New Roman" w:cs="Times New Roman"/>
                <w:sz w:val="24"/>
                <w:szCs w:val="24"/>
                <w:lang w:val="lt-LT"/>
              </w:rPr>
            </w:pPr>
            <w:r w:rsidRPr="00912B21">
              <w:rPr>
                <w:rFonts w:ascii="Times New Roman" w:eastAsia="Times New Roman" w:hAnsi="Times New Roman" w:cs="Times New Roman"/>
                <w:sz w:val="24"/>
                <w:szCs w:val="24"/>
                <w:lang w:val="lt-LT"/>
              </w:rPr>
              <w:t>2.7.</w:t>
            </w:r>
          </w:p>
        </w:tc>
        <w:tc>
          <w:tcPr>
            <w:tcW w:w="2179" w:type="dxa"/>
          </w:tcPr>
          <w:p w14:paraId="263FB944" w14:textId="21D714F6"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Funkcionalumas</w:t>
            </w:r>
          </w:p>
        </w:tc>
        <w:tc>
          <w:tcPr>
            <w:tcW w:w="7132" w:type="dxa"/>
          </w:tcPr>
          <w:p w14:paraId="40248561" w14:textId="77777777"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Įrenginys turi gebėti replikuojamą duomenų srautą kopijuoti į laisvus sistemos prievadus, </w:t>
            </w:r>
            <w:proofErr w:type="spellStart"/>
            <w:r w:rsidRPr="00912B21">
              <w:rPr>
                <w:rFonts w:ascii="Times New Roman" w:hAnsi="Times New Roman" w:cs="Times New Roman"/>
                <w:sz w:val="24"/>
                <w:szCs w:val="24"/>
                <w:lang w:val="lt-LT"/>
              </w:rPr>
              <w:t>t.y</w:t>
            </w:r>
            <w:proofErr w:type="spellEnd"/>
            <w:r w:rsidRPr="00912B21">
              <w:rPr>
                <w:rFonts w:ascii="Times New Roman" w:hAnsi="Times New Roman" w:cs="Times New Roman"/>
                <w:sz w:val="24"/>
                <w:szCs w:val="24"/>
                <w:lang w:val="lt-LT"/>
              </w:rPr>
              <w:t>. turėti keletą to paties duomenų srauto kopijų.</w:t>
            </w:r>
          </w:p>
          <w:p w14:paraId="541DA3F8" w14:textId="32BCB79B"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Įrenginys turi gebėti skaidyti duomenų srautą (angl. </w:t>
            </w:r>
            <w:proofErr w:type="spellStart"/>
            <w:r w:rsidRPr="00912B21">
              <w:rPr>
                <w:rFonts w:ascii="Times New Roman" w:hAnsi="Times New Roman" w:cs="Times New Roman"/>
                <w:i/>
                <w:iCs/>
                <w:sz w:val="24"/>
                <w:szCs w:val="24"/>
                <w:lang w:val="lt-LT"/>
              </w:rPr>
              <w:t>Load-balancing</w:t>
            </w:r>
            <w:proofErr w:type="spellEnd"/>
            <w:r w:rsidRPr="00912B21">
              <w:rPr>
                <w:rFonts w:ascii="Times New Roman" w:hAnsi="Times New Roman" w:cs="Times New Roman"/>
                <w:sz w:val="24"/>
                <w:szCs w:val="24"/>
                <w:lang w:val="lt-LT"/>
              </w:rPr>
              <w:t>) į kelis laisvus prievadus.</w:t>
            </w:r>
          </w:p>
          <w:p w14:paraId="2358BA50" w14:textId="093092C6"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Įrenginys turi gebėti šalinti VLAN žymą iš tinklo paketo (angl.: </w:t>
            </w:r>
            <w:r w:rsidRPr="00912B21">
              <w:rPr>
                <w:rFonts w:ascii="Times New Roman" w:hAnsi="Times New Roman" w:cs="Times New Roman"/>
                <w:i/>
                <w:iCs/>
                <w:sz w:val="24"/>
                <w:szCs w:val="24"/>
                <w:lang w:val="lt-LT"/>
              </w:rPr>
              <w:t xml:space="preserve">VLAN </w:t>
            </w:r>
            <w:proofErr w:type="spellStart"/>
            <w:r w:rsidRPr="00912B21">
              <w:rPr>
                <w:rFonts w:ascii="Times New Roman" w:hAnsi="Times New Roman" w:cs="Times New Roman"/>
                <w:i/>
                <w:iCs/>
                <w:sz w:val="24"/>
                <w:szCs w:val="24"/>
                <w:lang w:val="lt-LT"/>
              </w:rPr>
              <w:t>stripping</w:t>
            </w:r>
            <w:proofErr w:type="spellEnd"/>
            <w:r w:rsidRPr="00912B21">
              <w:rPr>
                <w:rFonts w:ascii="Times New Roman" w:hAnsi="Times New Roman" w:cs="Times New Roman"/>
                <w:sz w:val="24"/>
                <w:szCs w:val="24"/>
                <w:lang w:val="lt-LT"/>
              </w:rPr>
              <w:t>).</w:t>
            </w:r>
          </w:p>
          <w:p w14:paraId="102830BF" w14:textId="2947030B"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Visi įrenginio prievadai turi gebėti būti programuojami dirbti šiais režimais:</w:t>
            </w:r>
          </w:p>
          <w:p w14:paraId="70E2C615" w14:textId="2A234C9F" w:rsidR="00163072" w:rsidRPr="00912B21" w:rsidRDefault="00163072" w:rsidP="00912B21">
            <w:pPr>
              <w:pStyle w:val="ListParagraph"/>
              <w:numPr>
                <w:ilvl w:val="0"/>
                <w:numId w:val="5"/>
              </w:num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duomenų replikavimo (angl. </w:t>
            </w:r>
            <w:proofErr w:type="spellStart"/>
            <w:r w:rsidRPr="00912B21">
              <w:rPr>
                <w:rFonts w:ascii="Times New Roman" w:hAnsi="Times New Roman" w:cs="Times New Roman"/>
                <w:sz w:val="24"/>
                <w:szCs w:val="24"/>
                <w:lang w:val="lt-LT"/>
              </w:rPr>
              <w:t>Breakout</w:t>
            </w:r>
            <w:proofErr w:type="spellEnd"/>
            <w:r w:rsidRPr="00912B21">
              <w:rPr>
                <w:rFonts w:ascii="Times New Roman" w:hAnsi="Times New Roman" w:cs="Times New Roman"/>
                <w:sz w:val="24"/>
                <w:szCs w:val="24"/>
                <w:lang w:val="lt-LT"/>
              </w:rPr>
              <w:t>);</w:t>
            </w:r>
          </w:p>
          <w:p w14:paraId="46D60465" w14:textId="273F3320" w:rsidR="00163072" w:rsidRPr="00912B21" w:rsidRDefault="00163072" w:rsidP="00912B21">
            <w:pPr>
              <w:pStyle w:val="ListParagraph"/>
              <w:numPr>
                <w:ilvl w:val="0"/>
                <w:numId w:val="5"/>
              </w:num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duomenų agregavimo (angl. </w:t>
            </w:r>
            <w:proofErr w:type="spellStart"/>
            <w:r w:rsidRPr="00912B21">
              <w:rPr>
                <w:rFonts w:ascii="Times New Roman" w:hAnsi="Times New Roman" w:cs="Times New Roman"/>
                <w:sz w:val="24"/>
                <w:szCs w:val="24"/>
                <w:lang w:val="lt-LT"/>
              </w:rPr>
              <w:t>Aggregation</w:t>
            </w:r>
            <w:proofErr w:type="spellEnd"/>
            <w:r w:rsidRPr="00912B21">
              <w:rPr>
                <w:rFonts w:ascii="Times New Roman" w:hAnsi="Times New Roman" w:cs="Times New Roman"/>
                <w:sz w:val="24"/>
                <w:szCs w:val="24"/>
                <w:lang w:val="lt-LT"/>
              </w:rPr>
              <w:t>);</w:t>
            </w:r>
          </w:p>
          <w:p w14:paraId="1B737EC5" w14:textId="3E99116A" w:rsidR="00163072" w:rsidRPr="00912B21" w:rsidRDefault="00163072" w:rsidP="00912B21">
            <w:pPr>
              <w:pStyle w:val="ListParagraph"/>
              <w:numPr>
                <w:ilvl w:val="0"/>
                <w:numId w:val="5"/>
              </w:num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duomenų filtravimo (angl. </w:t>
            </w:r>
            <w:proofErr w:type="spellStart"/>
            <w:r w:rsidRPr="00912B21">
              <w:rPr>
                <w:rFonts w:ascii="Times New Roman" w:hAnsi="Times New Roman" w:cs="Times New Roman"/>
                <w:sz w:val="24"/>
                <w:szCs w:val="24"/>
                <w:lang w:val="lt-LT"/>
              </w:rPr>
              <w:t>Filtering</w:t>
            </w:r>
            <w:proofErr w:type="spellEnd"/>
            <w:r w:rsidRPr="00912B21">
              <w:rPr>
                <w:rFonts w:ascii="Times New Roman" w:hAnsi="Times New Roman" w:cs="Times New Roman"/>
                <w:sz w:val="24"/>
                <w:szCs w:val="24"/>
                <w:lang w:val="lt-LT"/>
              </w:rPr>
              <w:t>);</w:t>
            </w:r>
          </w:p>
          <w:p w14:paraId="0130F56D" w14:textId="39665917" w:rsidR="00163072" w:rsidRPr="00912B21" w:rsidRDefault="00163072" w:rsidP="00912B21">
            <w:pPr>
              <w:pStyle w:val="ListParagraph"/>
              <w:numPr>
                <w:ilvl w:val="0"/>
                <w:numId w:val="5"/>
              </w:num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duomenų regeneravimo (angl. </w:t>
            </w:r>
            <w:proofErr w:type="spellStart"/>
            <w:r w:rsidRPr="00912B21">
              <w:rPr>
                <w:rFonts w:ascii="Times New Roman" w:hAnsi="Times New Roman" w:cs="Times New Roman"/>
                <w:sz w:val="24"/>
                <w:szCs w:val="24"/>
                <w:lang w:val="lt-LT"/>
              </w:rPr>
              <w:t>Regeneration</w:t>
            </w:r>
            <w:proofErr w:type="spellEnd"/>
            <w:r w:rsidRPr="00912B21">
              <w:rPr>
                <w:rFonts w:ascii="Times New Roman" w:hAnsi="Times New Roman" w:cs="Times New Roman"/>
                <w:sz w:val="24"/>
                <w:szCs w:val="24"/>
                <w:lang w:val="lt-LT"/>
              </w:rPr>
              <w:t xml:space="preserve">). </w:t>
            </w:r>
          </w:p>
          <w:p w14:paraId="75B324A4" w14:textId="1346E6E2"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Duomenų replikavimo moduliai turi gebėti identifikuoti tinklo greitaveiką automatiniu būdu.</w:t>
            </w:r>
          </w:p>
        </w:tc>
      </w:tr>
      <w:tr w:rsidR="00163072" w:rsidRPr="00912B21" w14:paraId="421CE9CF" w14:textId="77777777" w:rsidTr="001C4AC6">
        <w:tc>
          <w:tcPr>
            <w:tcW w:w="798" w:type="dxa"/>
          </w:tcPr>
          <w:p w14:paraId="237F0E8F" w14:textId="61C7A30B" w:rsidR="00163072" w:rsidRPr="00912B21" w:rsidRDefault="00163072" w:rsidP="00912B21">
            <w:pPr>
              <w:rPr>
                <w:rFonts w:ascii="Times New Roman" w:eastAsia="Times New Roman" w:hAnsi="Times New Roman" w:cs="Times New Roman"/>
                <w:sz w:val="24"/>
                <w:szCs w:val="24"/>
                <w:lang w:val="lt-LT"/>
              </w:rPr>
            </w:pPr>
            <w:r w:rsidRPr="00912B21">
              <w:rPr>
                <w:rFonts w:ascii="Times New Roman" w:eastAsia="Times New Roman" w:hAnsi="Times New Roman" w:cs="Times New Roman"/>
                <w:sz w:val="24"/>
                <w:szCs w:val="24"/>
                <w:lang w:val="lt-LT"/>
              </w:rPr>
              <w:t>2.8.</w:t>
            </w:r>
          </w:p>
        </w:tc>
        <w:tc>
          <w:tcPr>
            <w:tcW w:w="2179" w:type="dxa"/>
          </w:tcPr>
          <w:p w14:paraId="5C5E4B0E" w14:textId="2F169A82"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Licencijos</w:t>
            </w:r>
          </w:p>
        </w:tc>
        <w:tc>
          <w:tcPr>
            <w:tcW w:w="7132" w:type="dxa"/>
          </w:tcPr>
          <w:p w14:paraId="29D75135" w14:textId="1E044DC0" w:rsidR="00163072" w:rsidRPr="00912B21" w:rsidRDefault="00163072" w:rsidP="00912B21">
            <w:pPr>
              <w:tabs>
                <w:tab w:val="left" w:pos="423"/>
                <w:tab w:val="left" w:pos="459"/>
              </w:tabs>
              <w:jc w:val="both"/>
              <w:rPr>
                <w:rFonts w:ascii="Times New Roman" w:hAnsi="Times New Roman" w:cs="Times New Roman"/>
                <w:sz w:val="24"/>
                <w:szCs w:val="24"/>
              </w:rPr>
            </w:pPr>
            <w:r w:rsidRPr="00912B21">
              <w:rPr>
                <w:rFonts w:ascii="Times New Roman" w:hAnsi="Times New Roman" w:cs="Times New Roman"/>
                <w:sz w:val="24"/>
                <w:szCs w:val="24"/>
                <w:lang w:val="lt-LT"/>
              </w:rPr>
              <w:t>Įrenginys komplektuojamas su visomis reikalingomis licencijomis atitikti techninius reikalavimus. Visus įrenginyje esančius prievadus galimi naudoti pilnu funkcionalumu be papildomų licencijų arba jei tokios reikalingos įrenginys komplektuojamas su jomis.</w:t>
            </w:r>
          </w:p>
          <w:p w14:paraId="28724063" w14:textId="65C28B76"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Visos programinės licencijos galioją, neribotą laiką.</w:t>
            </w:r>
          </w:p>
        </w:tc>
      </w:tr>
      <w:tr w:rsidR="00163072" w:rsidRPr="00912B21" w14:paraId="15A60525" w14:textId="77777777" w:rsidTr="001C4AC6">
        <w:tc>
          <w:tcPr>
            <w:tcW w:w="798" w:type="dxa"/>
          </w:tcPr>
          <w:p w14:paraId="067FE728" w14:textId="42C6C2D3" w:rsidR="00163072" w:rsidRPr="00912B21" w:rsidRDefault="00163072" w:rsidP="00912B21">
            <w:pPr>
              <w:rPr>
                <w:rFonts w:ascii="Times New Roman" w:eastAsia="Times New Roman" w:hAnsi="Times New Roman" w:cs="Times New Roman"/>
                <w:sz w:val="24"/>
                <w:szCs w:val="24"/>
                <w:lang w:val="lt-LT"/>
              </w:rPr>
            </w:pPr>
            <w:r w:rsidRPr="00912B21">
              <w:rPr>
                <w:rFonts w:ascii="Times New Roman" w:eastAsia="Times New Roman" w:hAnsi="Times New Roman" w:cs="Times New Roman"/>
                <w:sz w:val="24"/>
                <w:szCs w:val="24"/>
                <w:lang w:val="lt-LT"/>
              </w:rPr>
              <w:t>2.9.</w:t>
            </w:r>
          </w:p>
        </w:tc>
        <w:tc>
          <w:tcPr>
            <w:tcW w:w="2179" w:type="dxa"/>
          </w:tcPr>
          <w:p w14:paraId="095B1C97" w14:textId="5EED9E35"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Valdymas ir stebėjimas</w:t>
            </w:r>
          </w:p>
        </w:tc>
        <w:tc>
          <w:tcPr>
            <w:tcW w:w="7132" w:type="dxa"/>
          </w:tcPr>
          <w:p w14:paraId="62195ED1" w14:textId="77777777"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Sistema turi būti valdoma naudojant HTTPS, SSHv2 protokolus. </w:t>
            </w:r>
          </w:p>
          <w:p w14:paraId="73D38BC5" w14:textId="025767F3"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Sistema privalo palaikyti SNMP protokolą sistemos stebėjimui.</w:t>
            </w:r>
          </w:p>
        </w:tc>
      </w:tr>
      <w:tr w:rsidR="00163072" w:rsidRPr="00912B21" w14:paraId="230FD7F3" w14:textId="77777777" w:rsidTr="001C4AC6">
        <w:tc>
          <w:tcPr>
            <w:tcW w:w="798" w:type="dxa"/>
          </w:tcPr>
          <w:p w14:paraId="5C3909F7" w14:textId="5E2CECB8" w:rsidR="00163072" w:rsidRPr="00912B21" w:rsidRDefault="00163072" w:rsidP="00912B21">
            <w:pPr>
              <w:rPr>
                <w:rFonts w:ascii="Times New Roman" w:eastAsia="Times New Roman" w:hAnsi="Times New Roman" w:cs="Times New Roman"/>
                <w:sz w:val="24"/>
                <w:szCs w:val="24"/>
                <w:lang w:val="lt-LT"/>
              </w:rPr>
            </w:pPr>
            <w:r w:rsidRPr="00912B21">
              <w:rPr>
                <w:rFonts w:ascii="Times New Roman" w:eastAsia="Times New Roman" w:hAnsi="Times New Roman" w:cs="Times New Roman"/>
                <w:sz w:val="24"/>
                <w:szCs w:val="24"/>
                <w:lang w:val="lt-LT"/>
              </w:rPr>
              <w:t>2.10.</w:t>
            </w:r>
          </w:p>
        </w:tc>
        <w:tc>
          <w:tcPr>
            <w:tcW w:w="2179" w:type="dxa"/>
          </w:tcPr>
          <w:p w14:paraId="3218ECE1" w14:textId="77777777"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Galimybės </w:t>
            </w:r>
          </w:p>
          <w:p w14:paraId="0C84E95B" w14:textId="014448A3"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plėtrai</w:t>
            </w:r>
          </w:p>
        </w:tc>
        <w:tc>
          <w:tcPr>
            <w:tcW w:w="7132" w:type="dxa"/>
          </w:tcPr>
          <w:p w14:paraId="19006D4C" w14:textId="33D62F78" w:rsidR="00163072" w:rsidRPr="00912B21" w:rsidRDefault="00163072" w:rsidP="00912B21">
            <w:pPr>
              <w:tabs>
                <w:tab w:val="left" w:pos="423"/>
                <w:tab w:val="left" w:pos="459"/>
                <w:tab w:val="left" w:pos="881"/>
                <w:tab w:val="left" w:pos="1902"/>
              </w:tabs>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Įrenginys turi turėti galimybę būti plečiamas. Bendras galimas prievadų skaičius nemažiau nei 14, neįskaitant valdymo modulio. </w:t>
            </w:r>
          </w:p>
          <w:p w14:paraId="13404125" w14:textId="406DBD9C"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Jei pateikiamas įrenginys yra ne modulinės struktūros, bendras prievadų skaičius nemažesnis nei 14, neįskaitant valdymo modulio.</w:t>
            </w:r>
          </w:p>
        </w:tc>
      </w:tr>
      <w:tr w:rsidR="00163072" w:rsidRPr="00912B21" w14:paraId="32E72031" w14:textId="77777777" w:rsidTr="001C4AC6">
        <w:tc>
          <w:tcPr>
            <w:tcW w:w="798" w:type="dxa"/>
          </w:tcPr>
          <w:p w14:paraId="09362EF3" w14:textId="7C824766" w:rsidR="00163072" w:rsidRPr="00912B21" w:rsidRDefault="00163072" w:rsidP="00912B21">
            <w:pPr>
              <w:rPr>
                <w:rFonts w:ascii="Times New Roman" w:eastAsia="Times New Roman" w:hAnsi="Times New Roman" w:cs="Times New Roman"/>
                <w:sz w:val="24"/>
                <w:szCs w:val="24"/>
                <w:lang w:val="lt-LT"/>
              </w:rPr>
            </w:pPr>
            <w:r w:rsidRPr="00912B21">
              <w:rPr>
                <w:rFonts w:ascii="Times New Roman" w:eastAsia="Times New Roman" w:hAnsi="Times New Roman" w:cs="Times New Roman"/>
                <w:sz w:val="24"/>
                <w:szCs w:val="24"/>
                <w:lang w:val="lt-LT"/>
              </w:rPr>
              <w:lastRenderedPageBreak/>
              <w:t>2.11.</w:t>
            </w:r>
          </w:p>
        </w:tc>
        <w:tc>
          <w:tcPr>
            <w:tcW w:w="2179" w:type="dxa"/>
          </w:tcPr>
          <w:p w14:paraId="7EB3D3E6" w14:textId="5F40B812"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Temperatūra</w:t>
            </w:r>
          </w:p>
        </w:tc>
        <w:tc>
          <w:tcPr>
            <w:tcW w:w="7132" w:type="dxa"/>
          </w:tcPr>
          <w:p w14:paraId="53D52487" w14:textId="2CE998CA"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 xml:space="preserve">Galima aplinkos temperatūra , kurioje įranga turi veikti be sutrikimų (angl. </w:t>
            </w:r>
            <w:proofErr w:type="spellStart"/>
            <w:r w:rsidRPr="00912B21">
              <w:rPr>
                <w:rFonts w:ascii="Times New Roman" w:hAnsi="Times New Roman" w:cs="Times New Roman"/>
                <w:sz w:val="24"/>
                <w:szCs w:val="24"/>
                <w:lang w:val="lt-LT"/>
              </w:rPr>
              <w:t>Operating</w:t>
            </w:r>
            <w:proofErr w:type="spellEnd"/>
            <w:r w:rsidRPr="00912B21">
              <w:rPr>
                <w:rFonts w:ascii="Times New Roman" w:hAnsi="Times New Roman" w:cs="Times New Roman"/>
                <w:sz w:val="24"/>
                <w:szCs w:val="24"/>
                <w:lang w:val="lt-LT"/>
              </w:rPr>
              <w:t xml:space="preserve"> </w:t>
            </w:r>
            <w:proofErr w:type="spellStart"/>
            <w:r w:rsidRPr="00912B21">
              <w:rPr>
                <w:rFonts w:ascii="Times New Roman" w:hAnsi="Times New Roman" w:cs="Times New Roman"/>
                <w:sz w:val="24"/>
                <w:szCs w:val="24"/>
                <w:lang w:val="lt-LT"/>
              </w:rPr>
              <w:t>Temperature</w:t>
            </w:r>
            <w:proofErr w:type="spellEnd"/>
            <w:r w:rsidRPr="00912B21">
              <w:rPr>
                <w:rFonts w:ascii="Times New Roman" w:hAnsi="Times New Roman" w:cs="Times New Roman"/>
                <w:sz w:val="24"/>
                <w:szCs w:val="24"/>
                <w:lang w:val="lt-LT"/>
              </w:rPr>
              <w:t>), turi būti ne mažesniame diapazone kaip nuo +10</w:t>
            </w:r>
            <w:r w:rsidR="00912B21">
              <w:rPr>
                <w:rFonts w:ascii="Times New Roman" w:hAnsi="Times New Roman" w:cs="Times New Roman"/>
                <w:sz w:val="24"/>
                <w:szCs w:val="24"/>
                <w:lang w:val="lt-LT"/>
              </w:rPr>
              <w:t xml:space="preserve"> </w:t>
            </w:r>
            <w:proofErr w:type="spellStart"/>
            <w:r w:rsidRPr="00912B21">
              <w:rPr>
                <w:rFonts w:ascii="Times New Roman" w:hAnsi="Times New Roman" w:cs="Times New Roman"/>
                <w:sz w:val="24"/>
                <w:szCs w:val="24"/>
                <w:vertAlign w:val="superscript"/>
                <w:lang w:val="lt-LT"/>
              </w:rPr>
              <w:t>o</w:t>
            </w:r>
            <w:r w:rsidRPr="00912B21">
              <w:rPr>
                <w:rFonts w:ascii="Times New Roman" w:hAnsi="Times New Roman" w:cs="Times New Roman"/>
                <w:sz w:val="24"/>
                <w:szCs w:val="24"/>
                <w:lang w:val="lt-LT"/>
              </w:rPr>
              <w:t>C</w:t>
            </w:r>
            <w:proofErr w:type="spellEnd"/>
            <w:r w:rsidRPr="00912B21">
              <w:rPr>
                <w:rFonts w:ascii="Times New Roman" w:hAnsi="Times New Roman" w:cs="Times New Roman"/>
                <w:sz w:val="24"/>
                <w:szCs w:val="24"/>
                <w:lang w:val="lt-LT"/>
              </w:rPr>
              <w:t xml:space="preserve"> iki +40</w:t>
            </w:r>
            <w:r w:rsidR="00912B21">
              <w:rPr>
                <w:rFonts w:ascii="Times New Roman" w:hAnsi="Times New Roman" w:cs="Times New Roman"/>
                <w:sz w:val="24"/>
                <w:szCs w:val="24"/>
                <w:lang w:val="lt-LT"/>
              </w:rPr>
              <w:t xml:space="preserve"> </w:t>
            </w:r>
            <w:proofErr w:type="spellStart"/>
            <w:r w:rsidRPr="00912B21">
              <w:rPr>
                <w:rFonts w:ascii="Times New Roman" w:hAnsi="Times New Roman" w:cs="Times New Roman"/>
                <w:sz w:val="24"/>
                <w:szCs w:val="24"/>
                <w:vertAlign w:val="superscript"/>
                <w:lang w:val="lt-LT"/>
              </w:rPr>
              <w:t>o</w:t>
            </w:r>
            <w:r w:rsidRPr="00912B21">
              <w:rPr>
                <w:rFonts w:ascii="Times New Roman" w:hAnsi="Times New Roman" w:cs="Times New Roman"/>
                <w:sz w:val="24"/>
                <w:szCs w:val="24"/>
                <w:lang w:val="lt-LT"/>
              </w:rPr>
              <w:t>C</w:t>
            </w:r>
            <w:proofErr w:type="spellEnd"/>
            <w:r w:rsidRPr="00912B21">
              <w:rPr>
                <w:rFonts w:ascii="Times New Roman" w:hAnsi="Times New Roman" w:cs="Times New Roman"/>
                <w:sz w:val="24"/>
                <w:szCs w:val="24"/>
                <w:lang w:val="lt-LT"/>
              </w:rPr>
              <w:t>;</w:t>
            </w:r>
          </w:p>
        </w:tc>
      </w:tr>
      <w:tr w:rsidR="00163072" w:rsidRPr="00912B21" w14:paraId="0056B001" w14:textId="77777777" w:rsidTr="001C4AC6">
        <w:tc>
          <w:tcPr>
            <w:tcW w:w="798" w:type="dxa"/>
          </w:tcPr>
          <w:p w14:paraId="144E7065" w14:textId="2CFA1E39" w:rsidR="00163072" w:rsidRPr="00912B21" w:rsidRDefault="00163072" w:rsidP="00912B21">
            <w:pPr>
              <w:rPr>
                <w:rFonts w:ascii="Times New Roman" w:eastAsia="Times New Roman" w:hAnsi="Times New Roman" w:cs="Times New Roman"/>
                <w:sz w:val="24"/>
                <w:szCs w:val="24"/>
                <w:lang w:val="lt-LT"/>
              </w:rPr>
            </w:pPr>
            <w:r w:rsidRPr="00912B21">
              <w:rPr>
                <w:rFonts w:ascii="Times New Roman" w:eastAsia="Times New Roman" w:hAnsi="Times New Roman" w:cs="Times New Roman"/>
                <w:sz w:val="24"/>
                <w:szCs w:val="24"/>
                <w:lang w:val="lt-LT"/>
              </w:rPr>
              <w:t>2.12.</w:t>
            </w:r>
          </w:p>
        </w:tc>
        <w:tc>
          <w:tcPr>
            <w:tcW w:w="2179" w:type="dxa"/>
          </w:tcPr>
          <w:p w14:paraId="6E112CD8" w14:textId="0D1228BA"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Garantija</w:t>
            </w:r>
          </w:p>
        </w:tc>
        <w:tc>
          <w:tcPr>
            <w:tcW w:w="7132" w:type="dxa"/>
          </w:tcPr>
          <w:p w14:paraId="203A86EB" w14:textId="0CB13161"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Įrangos garantinis laikotarpis – ne mažiau kaip 36 mėn.</w:t>
            </w:r>
          </w:p>
        </w:tc>
      </w:tr>
      <w:tr w:rsidR="00163072" w:rsidRPr="00912B21" w14:paraId="693BE284" w14:textId="77777777" w:rsidTr="001C4AC6">
        <w:tc>
          <w:tcPr>
            <w:tcW w:w="798" w:type="dxa"/>
          </w:tcPr>
          <w:p w14:paraId="20718B1A" w14:textId="3154416A" w:rsidR="00163072" w:rsidRPr="00912B21" w:rsidRDefault="00163072" w:rsidP="00912B21">
            <w:pPr>
              <w:rPr>
                <w:rFonts w:ascii="Times New Roman" w:eastAsia="Times New Roman" w:hAnsi="Times New Roman" w:cs="Times New Roman"/>
                <w:sz w:val="24"/>
                <w:szCs w:val="24"/>
                <w:lang w:val="lt-LT"/>
              </w:rPr>
            </w:pPr>
            <w:r w:rsidRPr="00912B21">
              <w:rPr>
                <w:rFonts w:ascii="Times New Roman" w:eastAsia="Times New Roman" w:hAnsi="Times New Roman" w:cs="Times New Roman"/>
                <w:sz w:val="24"/>
                <w:szCs w:val="24"/>
                <w:lang w:val="lt-LT"/>
              </w:rPr>
              <w:t>2.13.</w:t>
            </w:r>
          </w:p>
        </w:tc>
        <w:tc>
          <w:tcPr>
            <w:tcW w:w="2179" w:type="dxa"/>
          </w:tcPr>
          <w:p w14:paraId="4C736B83" w14:textId="6CB117D0" w:rsidR="00163072" w:rsidRPr="00912B21" w:rsidRDefault="00163072" w:rsidP="00912B21">
            <w:pPr>
              <w:rPr>
                <w:rFonts w:ascii="Times New Roman" w:hAnsi="Times New Roman" w:cs="Times New Roman"/>
                <w:sz w:val="24"/>
                <w:szCs w:val="24"/>
                <w:lang w:val="lt-LT"/>
              </w:rPr>
            </w:pPr>
            <w:r w:rsidRPr="00912B21">
              <w:rPr>
                <w:rFonts w:ascii="Times New Roman" w:hAnsi="Times New Roman" w:cs="Times New Roman"/>
                <w:sz w:val="24"/>
                <w:szCs w:val="24"/>
                <w:lang w:val="lt-LT"/>
              </w:rPr>
              <w:t>Kiti reikalavimai</w:t>
            </w:r>
          </w:p>
        </w:tc>
        <w:tc>
          <w:tcPr>
            <w:tcW w:w="7132" w:type="dxa"/>
          </w:tcPr>
          <w:p w14:paraId="44537955" w14:textId="77777777"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Montavimo detalės į komutacinę spintą, maitinimo laidai (2 vnt.), valdymo kabeliai turi būti pateikti kartu su įrenginiu.</w:t>
            </w:r>
          </w:p>
          <w:p w14:paraId="51628EF0" w14:textId="77777777" w:rsidR="00163072" w:rsidRPr="00912B21" w:rsidRDefault="00163072" w:rsidP="00912B21">
            <w:pPr>
              <w:tabs>
                <w:tab w:val="left" w:pos="423"/>
                <w:tab w:val="left" w:pos="459"/>
              </w:tabs>
              <w:jc w:val="both"/>
              <w:rPr>
                <w:rFonts w:ascii="Times New Roman" w:hAnsi="Times New Roman" w:cs="Times New Roman"/>
                <w:sz w:val="24"/>
                <w:szCs w:val="24"/>
                <w:lang w:val="lt-LT"/>
              </w:rPr>
            </w:pPr>
            <w:r w:rsidRPr="00912B21">
              <w:rPr>
                <w:rFonts w:ascii="Times New Roman" w:hAnsi="Times New Roman" w:cs="Times New Roman"/>
                <w:sz w:val="24"/>
                <w:szCs w:val="24"/>
                <w:lang w:val="lt-LT"/>
              </w:rPr>
              <w:t>Papildomai pateikiami:</w:t>
            </w:r>
          </w:p>
          <w:p w14:paraId="3EF21C7E" w14:textId="2954F9ED" w:rsidR="00163072" w:rsidRPr="00912B21" w:rsidRDefault="00163072" w:rsidP="00912B21">
            <w:pPr>
              <w:pStyle w:val="ListParagraph"/>
              <w:numPr>
                <w:ilvl w:val="0"/>
                <w:numId w:val="4"/>
              </w:numPr>
              <w:tabs>
                <w:tab w:val="left" w:pos="423"/>
                <w:tab w:val="left" w:pos="459"/>
              </w:tabs>
              <w:jc w:val="both"/>
              <w:rPr>
                <w:rFonts w:ascii="Times New Roman" w:hAnsi="Times New Roman" w:cs="Times New Roman"/>
                <w:kern w:val="0"/>
                <w:sz w:val="24"/>
                <w:szCs w:val="24"/>
                <w:lang w:val="lt-LT"/>
                <w14:ligatures w14:val="none"/>
              </w:rPr>
            </w:pPr>
            <w:r w:rsidRPr="00912B21">
              <w:rPr>
                <w:rFonts w:ascii="Times New Roman" w:hAnsi="Times New Roman" w:cs="Times New Roman"/>
                <w:kern w:val="0"/>
                <w:sz w:val="24"/>
                <w:szCs w:val="24"/>
                <w:lang w:val="lt-LT"/>
                <w14:ligatures w14:val="none"/>
              </w:rPr>
              <w:t>8 vnt. QSFP28 moduliai MM tipo su LC/LC jungtimis, suderinami su siūlomu duomenų replikavimo įrenginiu;</w:t>
            </w:r>
          </w:p>
        </w:tc>
      </w:tr>
    </w:tbl>
    <w:p w14:paraId="11D5457B" w14:textId="77777777" w:rsidR="00E16A2F" w:rsidRPr="00912B21" w:rsidRDefault="00E16A2F" w:rsidP="00912B21">
      <w:pPr>
        <w:spacing w:after="0" w:line="240" w:lineRule="auto"/>
        <w:rPr>
          <w:rFonts w:ascii="Times New Roman" w:hAnsi="Times New Roman" w:cs="Times New Roman"/>
          <w:sz w:val="24"/>
          <w:szCs w:val="24"/>
          <w:lang w:val="lt-LT"/>
        </w:rPr>
      </w:pPr>
    </w:p>
    <w:p w14:paraId="69B52703" w14:textId="63403850" w:rsidR="00912B21" w:rsidRPr="00912B21" w:rsidRDefault="00912B21" w:rsidP="00912B2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w:t>
      </w:r>
    </w:p>
    <w:p w14:paraId="65A68FC1" w14:textId="77777777" w:rsidR="00912B21" w:rsidRPr="00912B21" w:rsidRDefault="00912B21" w:rsidP="00912B21">
      <w:pPr>
        <w:spacing w:after="0" w:line="240" w:lineRule="auto"/>
        <w:rPr>
          <w:rFonts w:ascii="Times New Roman" w:hAnsi="Times New Roman" w:cs="Times New Roman"/>
          <w:sz w:val="24"/>
          <w:szCs w:val="24"/>
          <w:lang w:val="lt-LT"/>
        </w:rPr>
      </w:pPr>
    </w:p>
    <w:p w14:paraId="41E5CE02" w14:textId="77777777" w:rsidR="00912B21" w:rsidRPr="00912B21" w:rsidRDefault="00912B21" w:rsidP="00912B21">
      <w:pPr>
        <w:spacing w:after="0" w:line="240" w:lineRule="auto"/>
        <w:rPr>
          <w:rFonts w:ascii="Times New Roman" w:hAnsi="Times New Roman" w:cs="Times New Roman"/>
          <w:sz w:val="24"/>
          <w:szCs w:val="24"/>
          <w:lang w:val="lt-LT"/>
        </w:rPr>
      </w:pPr>
    </w:p>
    <w:sectPr w:rsidR="00912B21" w:rsidRPr="00912B21" w:rsidSect="00912B21">
      <w:pgSz w:w="12240" w:h="15840"/>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10952"/>
    <w:multiLevelType w:val="hybridMultilevel"/>
    <w:tmpl w:val="8F3C5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CC532BA"/>
    <w:multiLevelType w:val="hybridMultilevel"/>
    <w:tmpl w:val="22EE74B2"/>
    <w:lvl w:ilvl="0" w:tplc="5216A7F0">
      <w:numFmt w:val="bullet"/>
      <w:lvlText w:val="-"/>
      <w:lvlJc w:val="left"/>
      <w:pPr>
        <w:ind w:left="394" w:hanging="360"/>
      </w:pPr>
      <w:rPr>
        <w:rFonts w:ascii="Times New Roman" w:eastAsiaTheme="minorHAns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 w15:restartNumberingAfterBreak="0">
    <w:nsid w:val="33E05D17"/>
    <w:multiLevelType w:val="hybridMultilevel"/>
    <w:tmpl w:val="2264E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E25CF9"/>
    <w:multiLevelType w:val="hybridMultilevel"/>
    <w:tmpl w:val="520E5EA8"/>
    <w:lvl w:ilvl="0" w:tplc="74C425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A6D7C6C"/>
    <w:multiLevelType w:val="hybridMultilevel"/>
    <w:tmpl w:val="34EA5B32"/>
    <w:lvl w:ilvl="0" w:tplc="61D6B80E">
      <w:start w:val="1"/>
      <w:numFmt w:val="bullet"/>
      <w:lvlText w:val=""/>
      <w:lvlJc w:val="left"/>
      <w:pPr>
        <w:ind w:left="428"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50BE48E1"/>
    <w:multiLevelType w:val="hybridMultilevel"/>
    <w:tmpl w:val="39BC477A"/>
    <w:lvl w:ilvl="0" w:tplc="61D6B80E">
      <w:start w:val="1"/>
      <w:numFmt w:val="bullet"/>
      <w:lvlText w:val=""/>
      <w:lvlJc w:val="left"/>
      <w:pPr>
        <w:ind w:left="428"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4B"/>
    <w:rsid w:val="00000A3F"/>
    <w:rsid w:val="000079DE"/>
    <w:rsid w:val="000121C3"/>
    <w:rsid w:val="00014FAF"/>
    <w:rsid w:val="00026785"/>
    <w:rsid w:val="0003597D"/>
    <w:rsid w:val="00040AA1"/>
    <w:rsid w:val="000411BF"/>
    <w:rsid w:val="0004651A"/>
    <w:rsid w:val="00057B21"/>
    <w:rsid w:val="00090D64"/>
    <w:rsid w:val="000C7D87"/>
    <w:rsid w:val="000D5844"/>
    <w:rsid w:val="000D6C70"/>
    <w:rsid w:val="000E5C91"/>
    <w:rsid w:val="000F6004"/>
    <w:rsid w:val="00135D30"/>
    <w:rsid w:val="00141961"/>
    <w:rsid w:val="00145560"/>
    <w:rsid w:val="00146A0B"/>
    <w:rsid w:val="00163072"/>
    <w:rsid w:val="00163E8B"/>
    <w:rsid w:val="00164664"/>
    <w:rsid w:val="00170990"/>
    <w:rsid w:val="0017688B"/>
    <w:rsid w:val="0017722B"/>
    <w:rsid w:val="001811C8"/>
    <w:rsid w:val="001A4C6A"/>
    <w:rsid w:val="001B1750"/>
    <w:rsid w:val="001B413F"/>
    <w:rsid w:val="001C4AC6"/>
    <w:rsid w:val="001C5268"/>
    <w:rsid w:val="001E3748"/>
    <w:rsid w:val="001E3D32"/>
    <w:rsid w:val="001F0D81"/>
    <w:rsid w:val="001F41AB"/>
    <w:rsid w:val="00200BF9"/>
    <w:rsid w:val="00213CD6"/>
    <w:rsid w:val="00231A9A"/>
    <w:rsid w:val="00244965"/>
    <w:rsid w:val="00244B76"/>
    <w:rsid w:val="002566D9"/>
    <w:rsid w:val="00256967"/>
    <w:rsid w:val="002701A5"/>
    <w:rsid w:val="002815E5"/>
    <w:rsid w:val="00283CE8"/>
    <w:rsid w:val="002A1247"/>
    <w:rsid w:val="002A1461"/>
    <w:rsid w:val="002A3244"/>
    <w:rsid w:val="002B1257"/>
    <w:rsid w:val="002B37C8"/>
    <w:rsid w:val="002B6FEA"/>
    <w:rsid w:val="002C70B4"/>
    <w:rsid w:val="002E098A"/>
    <w:rsid w:val="002F4917"/>
    <w:rsid w:val="002F783E"/>
    <w:rsid w:val="00320504"/>
    <w:rsid w:val="00326DF6"/>
    <w:rsid w:val="00334CFE"/>
    <w:rsid w:val="00335BE3"/>
    <w:rsid w:val="003362E9"/>
    <w:rsid w:val="00345270"/>
    <w:rsid w:val="00361068"/>
    <w:rsid w:val="00393A73"/>
    <w:rsid w:val="003A06E2"/>
    <w:rsid w:val="003A499B"/>
    <w:rsid w:val="003B1C11"/>
    <w:rsid w:val="003B64E2"/>
    <w:rsid w:val="003B7558"/>
    <w:rsid w:val="003C18BC"/>
    <w:rsid w:val="003F27C4"/>
    <w:rsid w:val="003F2C6F"/>
    <w:rsid w:val="00402AD6"/>
    <w:rsid w:val="00431C2E"/>
    <w:rsid w:val="00441D98"/>
    <w:rsid w:val="00446271"/>
    <w:rsid w:val="00456CB4"/>
    <w:rsid w:val="00462327"/>
    <w:rsid w:val="004668A3"/>
    <w:rsid w:val="0047154D"/>
    <w:rsid w:val="00491813"/>
    <w:rsid w:val="0049209F"/>
    <w:rsid w:val="004C1AF2"/>
    <w:rsid w:val="004C4F88"/>
    <w:rsid w:val="004F34F3"/>
    <w:rsid w:val="005057C7"/>
    <w:rsid w:val="00510B4D"/>
    <w:rsid w:val="005153CD"/>
    <w:rsid w:val="00517185"/>
    <w:rsid w:val="00520C80"/>
    <w:rsid w:val="00530251"/>
    <w:rsid w:val="00541170"/>
    <w:rsid w:val="005441A8"/>
    <w:rsid w:val="0054796E"/>
    <w:rsid w:val="005572D0"/>
    <w:rsid w:val="00560F6D"/>
    <w:rsid w:val="00571C51"/>
    <w:rsid w:val="0057374D"/>
    <w:rsid w:val="005A0F46"/>
    <w:rsid w:val="005A7F3C"/>
    <w:rsid w:val="005B47FE"/>
    <w:rsid w:val="005B5F33"/>
    <w:rsid w:val="005B6FB3"/>
    <w:rsid w:val="005C46BD"/>
    <w:rsid w:val="005D0B55"/>
    <w:rsid w:val="005F68C8"/>
    <w:rsid w:val="00612292"/>
    <w:rsid w:val="00617A14"/>
    <w:rsid w:val="006458D3"/>
    <w:rsid w:val="00652826"/>
    <w:rsid w:val="00664317"/>
    <w:rsid w:val="00670FC0"/>
    <w:rsid w:val="00672D17"/>
    <w:rsid w:val="00674243"/>
    <w:rsid w:val="00693759"/>
    <w:rsid w:val="0069412F"/>
    <w:rsid w:val="0069455D"/>
    <w:rsid w:val="006B60BC"/>
    <w:rsid w:val="006C0010"/>
    <w:rsid w:val="006C22B7"/>
    <w:rsid w:val="006F611E"/>
    <w:rsid w:val="006F616D"/>
    <w:rsid w:val="00701B63"/>
    <w:rsid w:val="00725C91"/>
    <w:rsid w:val="00727ACF"/>
    <w:rsid w:val="0074209E"/>
    <w:rsid w:val="00751DF6"/>
    <w:rsid w:val="0077286F"/>
    <w:rsid w:val="00774311"/>
    <w:rsid w:val="00781885"/>
    <w:rsid w:val="00787AD0"/>
    <w:rsid w:val="00795EF5"/>
    <w:rsid w:val="007A5403"/>
    <w:rsid w:val="007B6A24"/>
    <w:rsid w:val="007F6023"/>
    <w:rsid w:val="007F6597"/>
    <w:rsid w:val="008121A1"/>
    <w:rsid w:val="00834AE9"/>
    <w:rsid w:val="0083535B"/>
    <w:rsid w:val="00843470"/>
    <w:rsid w:val="00864D07"/>
    <w:rsid w:val="00876259"/>
    <w:rsid w:val="00881891"/>
    <w:rsid w:val="00886DA1"/>
    <w:rsid w:val="008872A5"/>
    <w:rsid w:val="008912A6"/>
    <w:rsid w:val="008A3D79"/>
    <w:rsid w:val="008A4757"/>
    <w:rsid w:val="008C68FF"/>
    <w:rsid w:val="00912B21"/>
    <w:rsid w:val="00927950"/>
    <w:rsid w:val="009A46ED"/>
    <w:rsid w:val="009B0CED"/>
    <w:rsid w:val="009B7D2E"/>
    <w:rsid w:val="009D2CD1"/>
    <w:rsid w:val="009E6DC7"/>
    <w:rsid w:val="009F064C"/>
    <w:rsid w:val="00A17944"/>
    <w:rsid w:val="00A23954"/>
    <w:rsid w:val="00A30309"/>
    <w:rsid w:val="00A33D96"/>
    <w:rsid w:val="00A419EB"/>
    <w:rsid w:val="00A455A6"/>
    <w:rsid w:val="00A64267"/>
    <w:rsid w:val="00A75C77"/>
    <w:rsid w:val="00A77962"/>
    <w:rsid w:val="00AA2B68"/>
    <w:rsid w:val="00AA6289"/>
    <w:rsid w:val="00AC240C"/>
    <w:rsid w:val="00AC2979"/>
    <w:rsid w:val="00AF0459"/>
    <w:rsid w:val="00AF4601"/>
    <w:rsid w:val="00B044B1"/>
    <w:rsid w:val="00B12E41"/>
    <w:rsid w:val="00B262EA"/>
    <w:rsid w:val="00B33572"/>
    <w:rsid w:val="00B339DE"/>
    <w:rsid w:val="00B3439B"/>
    <w:rsid w:val="00B576DC"/>
    <w:rsid w:val="00B677DB"/>
    <w:rsid w:val="00B70401"/>
    <w:rsid w:val="00B7314C"/>
    <w:rsid w:val="00B7470A"/>
    <w:rsid w:val="00B751D2"/>
    <w:rsid w:val="00BB0096"/>
    <w:rsid w:val="00BB3FC9"/>
    <w:rsid w:val="00BB7139"/>
    <w:rsid w:val="00BE3115"/>
    <w:rsid w:val="00BF544A"/>
    <w:rsid w:val="00C27564"/>
    <w:rsid w:val="00C83895"/>
    <w:rsid w:val="00CB13B3"/>
    <w:rsid w:val="00CC01F2"/>
    <w:rsid w:val="00CD418A"/>
    <w:rsid w:val="00CD623A"/>
    <w:rsid w:val="00D01926"/>
    <w:rsid w:val="00D10C22"/>
    <w:rsid w:val="00D10F01"/>
    <w:rsid w:val="00D12BEA"/>
    <w:rsid w:val="00D17948"/>
    <w:rsid w:val="00D6054B"/>
    <w:rsid w:val="00D66316"/>
    <w:rsid w:val="00D70E0A"/>
    <w:rsid w:val="00D7259B"/>
    <w:rsid w:val="00D81FE4"/>
    <w:rsid w:val="00D874F1"/>
    <w:rsid w:val="00DA0E0E"/>
    <w:rsid w:val="00DA183C"/>
    <w:rsid w:val="00DA52AE"/>
    <w:rsid w:val="00DB1842"/>
    <w:rsid w:val="00DC5E95"/>
    <w:rsid w:val="00DE1C21"/>
    <w:rsid w:val="00DF1840"/>
    <w:rsid w:val="00E07A5E"/>
    <w:rsid w:val="00E15D3F"/>
    <w:rsid w:val="00E16A2F"/>
    <w:rsid w:val="00E1781B"/>
    <w:rsid w:val="00E230D6"/>
    <w:rsid w:val="00E54071"/>
    <w:rsid w:val="00E62778"/>
    <w:rsid w:val="00E70C38"/>
    <w:rsid w:val="00E806CD"/>
    <w:rsid w:val="00E9756A"/>
    <w:rsid w:val="00EA74AA"/>
    <w:rsid w:val="00EB4831"/>
    <w:rsid w:val="00EB72FB"/>
    <w:rsid w:val="00EC46F4"/>
    <w:rsid w:val="00ED33BD"/>
    <w:rsid w:val="00EF1B9B"/>
    <w:rsid w:val="00EF2705"/>
    <w:rsid w:val="00EF6936"/>
    <w:rsid w:val="00EF736E"/>
    <w:rsid w:val="00F06FBB"/>
    <w:rsid w:val="00F20718"/>
    <w:rsid w:val="00F33A13"/>
    <w:rsid w:val="00F427A3"/>
    <w:rsid w:val="00F90517"/>
    <w:rsid w:val="00F9717F"/>
    <w:rsid w:val="00FA2C08"/>
    <w:rsid w:val="00FD12C6"/>
    <w:rsid w:val="00FD738C"/>
    <w:rsid w:val="00FF4594"/>
    <w:rsid w:val="00FF58BF"/>
    <w:rsid w:val="27D97F09"/>
    <w:rsid w:val="6509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6B39"/>
  <w15:chartTrackingRefBased/>
  <w15:docId w15:val="{4D554FEF-BB8F-4DF5-B049-E19EC557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59"/>
    <w:rPr>
      <w:kern w:val="0"/>
      <w14:ligatures w14:val="none"/>
    </w:rPr>
  </w:style>
  <w:style w:type="paragraph" w:styleId="Heading1">
    <w:name w:val="heading 1"/>
    <w:basedOn w:val="Normal"/>
    <w:next w:val="Normal"/>
    <w:link w:val="Heading1Char"/>
    <w:uiPriority w:val="9"/>
    <w:qFormat/>
    <w:rsid w:val="00D6054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054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054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054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6054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6054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6054B"/>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6054B"/>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6054B"/>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54B"/>
    <w:rPr>
      <w:rFonts w:eastAsiaTheme="majorEastAsia" w:cstheme="majorBidi"/>
      <w:color w:val="272727" w:themeColor="text1" w:themeTint="D8"/>
    </w:rPr>
  </w:style>
  <w:style w:type="paragraph" w:styleId="Title">
    <w:name w:val="Title"/>
    <w:basedOn w:val="Normal"/>
    <w:next w:val="Normal"/>
    <w:link w:val="TitleChar"/>
    <w:uiPriority w:val="10"/>
    <w:qFormat/>
    <w:rsid w:val="00D605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0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54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0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54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6054B"/>
    <w:rPr>
      <w:i/>
      <w:iCs/>
      <w:color w:val="404040" w:themeColor="text1" w:themeTint="BF"/>
    </w:rPr>
  </w:style>
  <w:style w:type="paragraph" w:styleId="ListParagraph">
    <w:name w:val="List Paragraph"/>
    <w:basedOn w:val="Normal"/>
    <w:uiPriority w:val="34"/>
    <w:qFormat/>
    <w:rsid w:val="00D6054B"/>
    <w:pPr>
      <w:ind w:left="720"/>
      <w:contextualSpacing/>
    </w:pPr>
    <w:rPr>
      <w:kern w:val="2"/>
      <w14:ligatures w14:val="standardContextual"/>
    </w:rPr>
  </w:style>
  <w:style w:type="character" w:styleId="IntenseEmphasis">
    <w:name w:val="Intense Emphasis"/>
    <w:basedOn w:val="DefaultParagraphFont"/>
    <w:uiPriority w:val="21"/>
    <w:qFormat/>
    <w:rsid w:val="00D6054B"/>
    <w:rPr>
      <w:i/>
      <w:iCs/>
      <w:color w:val="0F4761" w:themeColor="accent1" w:themeShade="BF"/>
    </w:rPr>
  </w:style>
  <w:style w:type="paragraph" w:styleId="IntenseQuote">
    <w:name w:val="Intense Quote"/>
    <w:basedOn w:val="Normal"/>
    <w:next w:val="Normal"/>
    <w:link w:val="IntenseQuoteChar"/>
    <w:uiPriority w:val="30"/>
    <w:qFormat/>
    <w:rsid w:val="00D60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6054B"/>
    <w:rPr>
      <w:i/>
      <w:iCs/>
      <w:color w:val="0F4761" w:themeColor="accent1" w:themeShade="BF"/>
    </w:rPr>
  </w:style>
  <w:style w:type="character" w:styleId="IntenseReference">
    <w:name w:val="Intense Reference"/>
    <w:basedOn w:val="DefaultParagraphFont"/>
    <w:uiPriority w:val="32"/>
    <w:qFormat/>
    <w:rsid w:val="00D6054B"/>
    <w:rPr>
      <w:b/>
      <w:bCs/>
      <w:smallCaps/>
      <w:color w:val="0F4761" w:themeColor="accent1" w:themeShade="BF"/>
      <w:spacing w:val="5"/>
    </w:rPr>
  </w:style>
  <w:style w:type="paragraph" w:customStyle="1" w:styleId="Betarp">
    <w:name w:val="Be tarpų"/>
    <w:uiPriority w:val="1"/>
    <w:qFormat/>
    <w:rsid w:val="00510B4D"/>
    <w:pPr>
      <w:spacing w:after="0" w:line="240" w:lineRule="auto"/>
    </w:pPr>
    <w:rPr>
      <w:rFonts w:ascii="Calibri" w:eastAsia="Calibri" w:hAnsi="Calibri" w:cs="Times New Roman"/>
      <w:kern w:val="0"/>
      <w:lang w:val="lt-LT"/>
      <w14:ligatures w14:val="none"/>
    </w:rPr>
  </w:style>
  <w:style w:type="table" w:styleId="TableGrid">
    <w:name w:val="Table Grid"/>
    <w:basedOn w:val="TableNormal"/>
    <w:uiPriority w:val="39"/>
    <w:rsid w:val="0004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7c5f11f-a6cf-4485-abb9-8d4cde006b9b" xsi:nil="true"/>
    <TaxCatchAll xmlns="3752980b-016e-4c2e-99ed-4e70bda636a2" xsi:nil="true"/>
    <lcf76f155ced4ddcb4097134ff3c332f xmlns="47c5f11f-a6cf-4485-abb9-8d4cde006b9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7FD0579DDB2234DB9E0D257A393D47C" ma:contentTypeVersion="15" ma:contentTypeDescription="Kurkite naują dokumentą." ma:contentTypeScope="" ma:versionID="9ea21815e6e79d9eab918d7a0fe4e846">
  <xsd:schema xmlns:xsd="http://www.w3.org/2001/XMLSchema" xmlns:xs="http://www.w3.org/2001/XMLSchema" xmlns:p="http://schemas.microsoft.com/office/2006/metadata/properties" xmlns:ns2="3752980b-016e-4c2e-99ed-4e70bda636a2" xmlns:ns3="47c5f11f-a6cf-4485-abb9-8d4cde006b9b" targetNamespace="http://schemas.microsoft.com/office/2006/metadata/properties" ma:root="true" ma:fieldsID="761816bf43f1e3fb8d5bc107a446405d" ns2:_="" ns3:_="">
    <xsd:import namespace="3752980b-016e-4c2e-99ed-4e70bda636a2"/>
    <xsd:import namespace="47c5f11f-a6cf-4485-abb9-8d4cde006b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2980b-016e-4c2e-99ed-4e70bda636a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63582e5b-5c45-4e45-ad92-96b03da43725}" ma:internalName="TaxCatchAll" ma:showField="CatchAllData" ma:web="3752980b-016e-4c2e-99ed-4e70bda636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5f11f-a6cf-4485-abb9-8d4cde006b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A21DF-A80E-4B00-BCDE-E8AC97817DDF}">
  <ds:schemaRefs>
    <ds:schemaRef ds:uri="http://schemas.microsoft.com/office/2006/metadata/properties"/>
    <ds:schemaRef ds:uri="http://schemas.microsoft.com/office/infopath/2007/PartnerControls"/>
    <ds:schemaRef ds:uri="47c5f11f-a6cf-4485-abb9-8d4cde006b9b"/>
    <ds:schemaRef ds:uri="3752980b-016e-4c2e-99ed-4e70bda636a2"/>
  </ds:schemaRefs>
</ds:datastoreItem>
</file>

<file path=customXml/itemProps2.xml><?xml version="1.0" encoding="utf-8"?>
<ds:datastoreItem xmlns:ds="http://schemas.openxmlformats.org/officeDocument/2006/customXml" ds:itemID="{F58386A1-5003-4EC9-90C2-1D031A4E2B36}">
  <ds:schemaRefs>
    <ds:schemaRef ds:uri="http://schemas.microsoft.com/sharepoint/v3/contenttype/forms"/>
  </ds:schemaRefs>
</ds:datastoreItem>
</file>

<file path=customXml/itemProps3.xml><?xml version="1.0" encoding="utf-8"?>
<ds:datastoreItem xmlns:ds="http://schemas.openxmlformats.org/officeDocument/2006/customXml" ds:itemID="{678C206C-6987-46FC-845D-72E473F80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2980b-016e-4c2e-99ed-4e70bda636a2"/>
    <ds:schemaRef ds:uri="47c5f11f-a6cf-4485-abb9-8d4cde006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5012</Words>
  <Characters>2858</Characters>
  <DocSecurity>0</DocSecurity>
  <Lines>23</Lines>
  <Paragraphs>15</Paragraphs>
  <ScaleCrop>false</ScaleCrop>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2025-03-12T13:03:00Z</dcterms:created>
  <dcterms:modified xsi:type="dcterms:W3CDTF">2026-01-22T10:53:00Z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0x01010087FD0579DDB2234DB9E0D257A393D47C</vt:lpwstr>
  </property>
</Properties>
</file>