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ind w:firstLine="851"/>
        <w:jc w:val="both"/>
        <w:rPr>
          <w:rFonts w:eastAsia="Times New Roman"/>
          <w:b/>
          <w:i/>
          <w:i/>
          <w:lang w:val="lt-LT"/>
        </w:rPr>
      </w:pPr>
      <w:r>
        <w:rPr/>
      </w:r>
    </w:p>
    <w:p>
      <w:pPr>
        <w:pStyle w:val="Normal"/>
        <w:widowControl w:val="false"/>
        <w:spacing w:lineRule="auto" w:line="360"/>
        <w:ind w:firstLine="851"/>
        <w:jc w:val="both"/>
        <w:rPr>
          <w:rFonts w:eastAsia="Times New Roman"/>
          <w:b/>
          <w:i/>
          <w:i/>
          <w:lang w:val="lt-LT"/>
        </w:rPr>
      </w:pPr>
      <w:r>
        <w:rPr/>
      </w:r>
    </w:p>
    <w:p>
      <w:pPr>
        <w:pStyle w:val="Normal"/>
        <w:widowControl w:val="false"/>
        <w:spacing w:lineRule="auto" w:line="360"/>
        <w:ind w:firstLine="851"/>
        <w:jc w:val="both"/>
        <w:rPr>
          <w:rFonts w:eastAsia="Times New Roman"/>
          <w:b/>
          <w:i/>
          <w:i/>
          <w:lang w:val="lt-LT"/>
        </w:rPr>
      </w:pPr>
      <w:r>
        <w:rPr>
          <w:rFonts w:eastAsia="Times New Roman"/>
          <w:b/>
          <w:i/>
          <w:lang w:val="lt-LT"/>
        </w:rPr>
        <w:t>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 skyriaus „K</w:t>
      </w:r>
      <w:r>
        <w:rPr>
          <w:rFonts w:eastAsia="Times New Roman"/>
          <w:b/>
          <w:bCs/>
          <w:i/>
          <w:lang w:val="lt-LT"/>
        </w:rPr>
        <w:t>vietimo išankstinei konsultacijai ir (ar) techninių specifikacijų projektų paskelbimo tvarka“</w:t>
      </w:r>
      <w:r>
        <w:rPr>
          <w:rFonts w:eastAsia="Times New Roman"/>
          <w:b/>
          <w:i/>
          <w:lang w:val="lt-LT"/>
        </w:rPr>
        <w:t xml:space="preserve">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w:t>
      </w:r>
      <w:r>
        <w:rPr>
          <w:rFonts w:eastAsia="Times New Roman"/>
          <w:b/>
          <w:i/>
          <w:lang w:val="lt-LT"/>
        </w:rPr>
        <w:t>ir pasiūlymo vertinimo kriterijus</w:t>
      </w:r>
      <w:r>
        <w:rPr>
          <w:rFonts w:eastAsia="Times New Roman"/>
          <w:b/>
          <w:i/>
          <w:lang w:val="lt-LT"/>
        </w:rPr>
        <w:t>, dėl kuri</w:t>
      </w:r>
      <w:r>
        <w:rPr>
          <w:rFonts w:eastAsia="Times New Roman"/>
          <w:b/>
          <w:i/>
          <w:lang w:val="lt-LT"/>
        </w:rPr>
        <w:t>ų</w:t>
      </w:r>
      <w:r>
        <w:rPr>
          <w:rFonts w:eastAsia="Times New Roman"/>
          <w:b/>
          <w:i/>
          <w:lang w:val="lt-LT"/>
        </w:rPr>
        <w:t xml:space="preserve"> tiekėjai </w:t>
      </w:r>
      <w:r>
        <w:rPr>
          <w:rFonts w:eastAsia="Times New Roman"/>
          <w:b/>
          <w:i/>
          <w:lang w:val="lt-LT"/>
        </w:rPr>
        <w:t>kviečiami</w:t>
      </w:r>
      <w:r>
        <w:rPr>
          <w:rFonts w:eastAsia="Times New Roman"/>
          <w:b/>
          <w:i/>
          <w:lang w:val="lt-LT"/>
        </w:rPr>
        <w:t xml:space="preserve"> teikti pasiūlymus ir pastabas. </w:t>
      </w:r>
    </w:p>
    <w:p>
      <w:pPr>
        <w:pStyle w:val="Normal"/>
        <w:widowControl w:val="false"/>
        <w:spacing w:lineRule="auto" w:line="360"/>
        <w:ind w:firstLine="851"/>
        <w:jc w:val="both"/>
        <w:rPr>
          <w:rFonts w:eastAsia="Times New Roman"/>
          <w:b/>
          <w:i/>
          <w:i/>
          <w:color w:val="FF0000"/>
          <w:lang w:val="lt-LT"/>
        </w:rPr>
      </w:pPr>
      <w:r>
        <w:rPr>
          <w:rFonts w:eastAsia="Times New Roman"/>
          <w:b/>
          <w:i/>
          <w:color w:val="FF0000"/>
          <w:lang w:val="lt-LT"/>
        </w:rPr>
        <w:t>Atkreipiamas dėmesys, kad tai yra techninės specifikacijos projektas; viešasis pirkimas kol kas nėra vykdomas ir pasiūlymai jam nėra priimami.</w:t>
      </w:r>
    </w:p>
    <w:p>
      <w:pPr>
        <w:pStyle w:val="Normal"/>
        <w:jc w:val="center"/>
        <w:rPr>
          <w:b/>
          <w:lang w:val="lt-LT"/>
        </w:rPr>
      </w:pPr>
      <w:r>
        <w:rPr>
          <w:b/>
          <w:lang w:val="lt-LT"/>
        </w:rPr>
      </w:r>
    </w:p>
    <w:p>
      <w:pPr>
        <w:pStyle w:val="Normal"/>
        <w:jc w:val="center"/>
        <w:rPr>
          <w:b/>
          <w:lang w:val="lt-LT"/>
        </w:rPr>
      </w:pPr>
      <w:r>
        <w:rPr>
          <w:b/>
          <w:lang w:val="lt-LT"/>
        </w:rPr>
        <w:t>PIRKIMO SPECIFIKACIJOS PROJEKTAS</w:t>
      </w:r>
    </w:p>
    <w:p>
      <w:pPr>
        <w:pStyle w:val="Normal"/>
        <w:tabs>
          <w:tab w:val="clear" w:pos="720"/>
          <w:tab w:val="left" w:pos="851" w:leader="none"/>
        </w:tabs>
        <w:ind w:firstLine="567"/>
        <w:rPr>
          <w:lang w:val="lt-LT"/>
        </w:rPr>
      </w:pPr>
      <w:r>
        <w:rPr>
          <w:lang w:val="lt-LT"/>
        </w:rPr>
      </w:r>
    </w:p>
    <w:p>
      <w:pPr>
        <w:pStyle w:val="Normal"/>
        <w:spacing w:lineRule="auto" w:line="360"/>
        <w:jc w:val="both"/>
        <w:rPr>
          <w:lang w:val="lt-LT"/>
        </w:rPr>
      </w:pPr>
      <w:r>
        <w:rPr>
          <w:b/>
          <w:bCs/>
          <w:lang w:val="lt-LT"/>
        </w:rPr>
        <w:t>Pirkimo objektas</w:t>
      </w:r>
      <w:r>
        <w:rPr>
          <w:lang w:val="lt-LT"/>
        </w:rPr>
        <w:t xml:space="preserve"> – Nacionalinio kraujo centro marketingo strategijos, media plano 2026 m. antram pusmečiui ir 2027 m. pirmam pusmečiui (numatant apie ±2 mėn. planavimo paklaidą) parengimo ir įgyvendinimo paslaugos (toliau – Paslaugos).</w:t>
      </w:r>
    </w:p>
    <w:p>
      <w:pPr>
        <w:pStyle w:val="Normal"/>
        <w:spacing w:lineRule="auto" w:line="360"/>
        <w:jc w:val="both"/>
        <w:rPr>
          <w:lang w:val="lt-LT"/>
        </w:rPr>
      </w:pPr>
      <w:r>
        <w:rPr>
          <w:lang w:val="lt-LT"/>
        </w:rPr>
      </w:r>
    </w:p>
    <w:p>
      <w:pPr>
        <w:pStyle w:val="Normal"/>
        <w:spacing w:lineRule="auto" w:line="360"/>
        <w:jc w:val="both"/>
        <w:rPr>
          <w:lang w:val="lt-LT"/>
        </w:rPr>
      </w:pPr>
      <w:r>
        <w:rPr>
          <w:b/>
          <w:bCs/>
          <w:lang w:val="lt-LT"/>
        </w:rPr>
        <w:t>Paslaugų tikslas</w:t>
      </w:r>
      <w:r>
        <w:rPr>
          <w:lang w:val="lt-LT"/>
        </w:rPr>
        <w:t xml:space="preserve"> – sukurti bei įgyvendinti kūrybišką ir efektyvią marketingo strategiją bei sudaryti media planą, kurie padėtų:</w:t>
      </w:r>
    </w:p>
    <w:p>
      <w:pPr>
        <w:pStyle w:val="Normal"/>
        <w:numPr>
          <w:ilvl w:val="0"/>
          <w:numId w:val="1"/>
        </w:numPr>
        <w:spacing w:lineRule="auto" w:line="360"/>
        <w:jc w:val="both"/>
        <w:rPr>
          <w:lang w:val="lt-LT"/>
        </w:rPr>
      </w:pPr>
      <w:r>
        <w:rPr>
          <w:lang w:val="lt-LT"/>
        </w:rPr>
        <w:t>didinti Nacionalinio kraujo centro prekės ženklo žinomumą visoje Lietuvoje;</w:t>
      </w:r>
    </w:p>
    <w:p>
      <w:pPr>
        <w:pStyle w:val="Normal"/>
        <w:numPr>
          <w:ilvl w:val="0"/>
          <w:numId w:val="1"/>
        </w:numPr>
        <w:spacing w:lineRule="auto" w:line="360"/>
        <w:jc w:val="both"/>
        <w:rPr>
          <w:lang w:val="lt-LT"/>
        </w:rPr>
      </w:pPr>
      <w:r>
        <w:rPr>
          <w:lang w:val="lt-LT"/>
        </w:rPr>
        <w:t>skatintų aktyvų naujų kraujo donorų skaičiaus augimą;</w:t>
      </w:r>
    </w:p>
    <w:p>
      <w:pPr>
        <w:pStyle w:val="Normal"/>
        <w:numPr>
          <w:ilvl w:val="0"/>
          <w:numId w:val="1"/>
        </w:numPr>
        <w:spacing w:lineRule="auto" w:line="360"/>
        <w:jc w:val="both"/>
        <w:rPr>
          <w:lang w:val="lt-LT"/>
        </w:rPr>
      </w:pPr>
      <w:r>
        <w:rPr>
          <w:lang w:val="lt-LT"/>
        </w:rPr>
        <w:t>užtikrintų esamų kraujo donorų grįžtamumą;</w:t>
      </w:r>
    </w:p>
    <w:p>
      <w:pPr>
        <w:pStyle w:val="Normal"/>
        <w:numPr>
          <w:ilvl w:val="0"/>
          <w:numId w:val="1"/>
        </w:numPr>
        <w:spacing w:lineRule="auto" w:line="360"/>
        <w:jc w:val="both"/>
        <w:rPr>
          <w:lang w:val="lt-LT"/>
        </w:rPr>
      </w:pPr>
      <w:r>
        <w:rPr>
          <w:lang w:val="lt-LT"/>
        </w:rPr>
        <w:t>formuotų pozityvų kraujo donorystės įvaizdį ir stiprintų pasitikėjimą donorystės procesu.</w:t>
      </w:r>
    </w:p>
    <w:p>
      <w:pPr>
        <w:pStyle w:val="Normal"/>
        <w:spacing w:lineRule="auto" w:line="360"/>
        <w:jc w:val="both"/>
        <w:rPr>
          <w:b/>
          <w:bCs/>
          <w:lang w:val="lt-LT"/>
        </w:rPr>
      </w:pPr>
      <w:r>
        <w:rPr>
          <w:b/>
          <w:bCs/>
          <w:lang w:val="lt-LT"/>
        </w:rPr>
      </w:r>
    </w:p>
    <w:p>
      <w:pPr>
        <w:pStyle w:val="Normal"/>
        <w:spacing w:lineRule="auto" w:line="360"/>
        <w:jc w:val="both"/>
        <w:rPr>
          <w:b/>
          <w:bCs/>
          <w:lang w:val="lt-LT"/>
        </w:rPr>
      </w:pPr>
      <w:r>
        <w:rPr>
          <w:b/>
          <w:bCs/>
          <w:lang w:val="lt-LT"/>
        </w:rPr>
        <w:t>Paslaugų apimtis</w:t>
      </w:r>
    </w:p>
    <w:p>
      <w:pPr>
        <w:pStyle w:val="Normal"/>
        <w:spacing w:lineRule="auto" w:line="360"/>
        <w:ind w:firstLine="720"/>
        <w:jc w:val="both"/>
        <w:rPr>
          <w:lang w:val="lt-LT"/>
        </w:rPr>
      </w:pPr>
      <w:r>
        <w:rPr>
          <w:lang w:val="lt-LT"/>
        </w:rPr>
        <w:t>Paslaugų teikėjas privalo įgyvendinti Paslaugas etapais, užtikrindamas marketingo strategijos ir media plano parengimą bei faktinį kampanijų įgyvendinimą pagal šioje techninėje specifikacijoje nustatytą Paslaugų apimtį, terminus ir kitus reikalavimus.</w:t>
      </w:r>
    </w:p>
    <w:p>
      <w:pPr>
        <w:pStyle w:val="Normal"/>
        <w:spacing w:lineRule="auto" w:line="360"/>
        <w:ind w:firstLine="720"/>
        <w:jc w:val="both"/>
        <w:rPr>
          <w:lang w:val="lt-LT"/>
        </w:rPr>
      </w:pPr>
      <w:r>
        <w:rPr>
          <w:lang w:val="lt-LT"/>
        </w:rPr>
      </w:r>
    </w:p>
    <w:p>
      <w:pPr>
        <w:pStyle w:val="Normal"/>
        <w:spacing w:lineRule="auto" w:line="360"/>
        <w:jc w:val="both"/>
        <w:rPr>
          <w:b/>
          <w:bCs/>
          <w:lang w:val="lt-LT"/>
        </w:rPr>
      </w:pPr>
      <w:r>
        <w:rPr>
          <w:b/>
          <w:bCs/>
          <w:lang w:val="lt-LT"/>
        </w:rPr>
        <w:t>I etapas. Marketingo strategijos parengimas</w:t>
      </w:r>
    </w:p>
    <w:p>
      <w:pPr>
        <w:pStyle w:val="Normal"/>
        <w:spacing w:lineRule="auto" w:line="360"/>
        <w:jc w:val="both"/>
        <w:rPr>
          <w:lang w:val="lt-LT"/>
        </w:rPr>
      </w:pPr>
      <w:r>
        <w:rPr>
          <w:lang w:val="lt-LT"/>
        </w:rPr>
        <w:t>Paslaugų teikėjas privalo parengti marketingo strategiją, kuri apima:</w:t>
      </w:r>
    </w:p>
    <w:p>
      <w:pPr>
        <w:sectPr>
          <w:type w:val="nextPage"/>
          <w:pgSz w:w="11906" w:h="16838"/>
          <w:pgMar w:left="1701" w:right="567" w:gutter="0" w:header="0" w:top="709" w:footer="0" w:bottom="1134"/>
          <w:pgNumType w:fmt="decimal"/>
          <w:formProt w:val="false"/>
          <w:textDirection w:val="lrTb"/>
          <w:docGrid w:type="default" w:linePitch="360" w:charSpace="0"/>
        </w:sectPr>
        <w:pStyle w:val="Normal"/>
        <w:numPr>
          <w:ilvl w:val="0"/>
          <w:numId w:val="3"/>
        </w:numPr>
        <w:spacing w:lineRule="auto" w:line="360"/>
        <w:jc w:val="both"/>
        <w:rPr>
          <w:lang w:val="lt-LT"/>
        </w:rPr>
      </w:pPr>
      <w:r>
        <w:rPr>
          <w:lang w:val="lt-LT"/>
        </w:rPr>
        <w:t>Esamos situacijos analizę, įskaitant komunikacijos konteksto, pagrindinių iššūkių ir galimybių vertinimą;</w:t>
      </w:r>
    </w:p>
    <w:p>
      <w:pPr>
        <w:pStyle w:val="Normal"/>
        <w:numPr>
          <w:ilvl w:val="0"/>
          <w:numId w:val="3"/>
        </w:numPr>
        <w:spacing w:lineRule="auto" w:line="360"/>
        <w:jc w:val="both"/>
        <w:rPr>
          <w:lang w:val="lt-LT"/>
        </w:rPr>
      </w:pPr>
      <w:r>
        <w:rPr>
          <w:lang w:val="lt-LT"/>
        </w:rPr>
        <w:t>Tikslinių auditorijų skirstymą į tikslinius segmentus ir šių segmentų analizę;</w:t>
      </w:r>
    </w:p>
    <w:p>
      <w:pPr>
        <w:pStyle w:val="Normal"/>
        <w:numPr>
          <w:ilvl w:val="0"/>
          <w:numId w:val="3"/>
        </w:numPr>
        <w:spacing w:lineRule="auto" w:line="360"/>
        <w:jc w:val="both"/>
        <w:rPr>
          <w:lang w:val="lt-LT"/>
        </w:rPr>
      </w:pPr>
      <w:r>
        <w:rPr>
          <w:lang w:val="lt-LT"/>
        </w:rPr>
        <w:t>Marketingo ir komunikacijos tikslų bei uždavinių 2026 m. antram pusmečiui ir 2027 m. pirmam pusmečiui apibrėžimas ir parengimas (numatant apie ±2 mėn. planavimo paklaidą).</w:t>
      </w:r>
    </w:p>
    <w:p>
      <w:pPr>
        <w:pStyle w:val="Normal"/>
        <w:numPr>
          <w:ilvl w:val="0"/>
          <w:numId w:val="3"/>
        </w:numPr>
        <w:spacing w:lineRule="auto" w:line="360"/>
        <w:jc w:val="both"/>
        <w:rPr>
          <w:lang w:val="lt-LT"/>
        </w:rPr>
      </w:pPr>
      <w:r>
        <w:rPr>
          <w:lang w:val="lt-LT"/>
        </w:rPr>
        <w:t>Prekės ženklo pozicionavimo ir pagrindinės komunikacijos žinutės suformulavimą;</w:t>
      </w:r>
    </w:p>
    <w:p>
      <w:pPr>
        <w:pStyle w:val="Normal"/>
        <w:numPr>
          <w:ilvl w:val="0"/>
          <w:numId w:val="3"/>
        </w:numPr>
        <w:spacing w:lineRule="auto" w:line="360"/>
        <w:jc w:val="both"/>
        <w:rPr>
          <w:lang w:val="lt-LT"/>
        </w:rPr>
      </w:pPr>
      <w:r>
        <w:rPr>
          <w:lang w:val="lt-LT"/>
        </w:rPr>
        <w:t>Strateginių komunikacijos krypčių ir teminių komunikacijos sprendimų nustatymą;</w:t>
      </w:r>
    </w:p>
    <w:p>
      <w:pPr>
        <w:pStyle w:val="Normal"/>
        <w:numPr>
          <w:ilvl w:val="0"/>
          <w:numId w:val="3"/>
        </w:numPr>
        <w:spacing w:lineRule="auto" w:line="360"/>
        <w:jc w:val="both"/>
        <w:rPr>
          <w:lang w:val="lt-LT"/>
        </w:rPr>
      </w:pPr>
      <w:r>
        <w:rPr>
          <w:lang w:val="lt-LT"/>
        </w:rPr>
        <w:t>Pagrindinių veiklos rodiklių (KPI) ir rezultatų vertinimo principų apibrėžimą;</w:t>
      </w:r>
    </w:p>
    <w:p>
      <w:pPr>
        <w:pStyle w:val="Normal"/>
        <w:numPr>
          <w:ilvl w:val="0"/>
          <w:numId w:val="3"/>
        </w:numPr>
        <w:spacing w:lineRule="auto" w:line="360"/>
        <w:jc w:val="both"/>
        <w:rPr>
          <w:lang w:val="lt-LT"/>
        </w:rPr>
      </w:pPr>
      <w:r>
        <w:rPr>
          <w:lang w:val="lt-LT"/>
        </w:rPr>
        <w:t>Metinio komunikacijos plano struktūros ir etapų aprašymą;</w:t>
      </w:r>
    </w:p>
    <w:p>
      <w:pPr>
        <w:pStyle w:val="Normal"/>
        <w:numPr>
          <w:ilvl w:val="0"/>
          <w:numId w:val="3"/>
        </w:numPr>
        <w:spacing w:lineRule="auto" w:line="360"/>
        <w:rPr>
          <w:lang w:val="lt-LT"/>
        </w:rPr>
      </w:pPr>
      <w:r>
        <w:rPr>
          <w:lang w:val="lt-LT"/>
        </w:rPr>
        <w:t>Pagrindinių strateginių komunikacijos temų ir žinučių platformų parengimas ne mažiau kaip 4 prioritetinėms kampanijoms, apibrėžiant:</w:t>
        <w:br/>
        <w:t>– komunikacijos tikslą,</w:t>
        <w:br/>
        <w:t>– pagrindinę auditoriją,</w:t>
        <w:br/>
        <w:t>– esminę žinutės kryptį (be galutinio šūkio),</w:t>
        <w:br/>
        <w:t>– pageidaujamą auditorijos reakciją.</w:t>
      </w:r>
    </w:p>
    <w:p>
      <w:pPr>
        <w:pStyle w:val="Normal"/>
        <w:spacing w:lineRule="auto" w:line="360"/>
        <w:jc w:val="both"/>
        <w:rPr>
          <w:lang w:val="lt-LT"/>
        </w:rPr>
      </w:pPr>
      <w:r>
        <w:rPr>
          <w:lang w:val="lt-LT"/>
        </w:rPr>
      </w:r>
    </w:p>
    <w:p>
      <w:pPr>
        <w:pStyle w:val="Normal"/>
        <w:spacing w:lineRule="auto" w:line="360"/>
        <w:jc w:val="both"/>
        <w:rPr>
          <w:b/>
          <w:bCs/>
          <w:lang w:val="lt-LT"/>
        </w:rPr>
      </w:pPr>
      <w:r>
        <w:rPr>
          <w:b/>
          <w:bCs/>
          <w:lang w:val="lt-LT"/>
        </w:rPr>
        <w:t>II etapas. Media plano parengimas ir kampanijų įgyvendinimas</w:t>
      </w:r>
    </w:p>
    <w:p>
      <w:pPr>
        <w:pStyle w:val="Normal"/>
        <w:spacing w:lineRule="auto" w:line="360"/>
        <w:jc w:val="both"/>
        <w:rPr>
          <w:lang w:val="lt-LT"/>
        </w:rPr>
      </w:pPr>
      <w:r>
        <w:rPr>
          <w:lang w:val="lt-LT"/>
        </w:rPr>
        <w:t>Paslaugų teikėjas privalo parengti 2026 m. antram pusmečiui ir 2027 m. pirmam pusmečiui media planą (numatant apie ±2 mėn. planavimo paklaidą), kuris apima:</w:t>
      </w:r>
    </w:p>
    <w:p>
      <w:pPr>
        <w:pStyle w:val="NormalWeb"/>
        <w:numPr>
          <w:ilvl w:val="0"/>
          <w:numId w:val="7"/>
        </w:numPr>
        <w:spacing w:lineRule="auto" w:line="360" w:before="280" w:after="0"/>
        <w:ind w:hanging="360" w:left="360"/>
        <w:rPr>
          <w:lang w:val="lt-LT"/>
        </w:rPr>
      </w:pPr>
      <w:r>
        <w:rPr>
          <w:lang w:val="lt-LT"/>
        </w:rPr>
        <w:t xml:space="preserve">Rekomenduojamų komunikacijos kanalų parinkimas ir jų proporcijų nustatymas (TV, socialiniai tinklai, Google Ads, lauko reklama, radijas, ekranai prekybos centruose / sporto klubuose / verslo centruose/ vaistinėse, viešasis transportas, kino salės ir kt.), numatant, kad kiekvienam pasirinktų kanalų tipui Paslaugų teikėjas siūlo komunikacijos sprendimus, paremtus pagrindiniais to kanalo paslaugų teikėjais rinkoje arba ne mažiau kaip 5 (penkiais) didžiausią auditoriją / vartotojų skaičių turinčiais to kanalo teikėjais Lietuvoje. </w:t>
      </w:r>
      <w:r>
        <w:rPr>
          <w:rStyle w:val="Strong"/>
          <w:rFonts w:eastAsia="" w:eastAsiaTheme="majorEastAsia"/>
          <w:lang w:val="lt-LT"/>
        </w:rPr>
        <w:t>Jeigu strateginiais sumetimais pasirenkami kiti teikėjai, toks pasirinkimas turi būti aiškiai pagrįstas. Reklamai parinktų kanalų sąrašas turi būti suderintas su Pirkėju.</w:t>
      </w:r>
    </w:p>
    <w:p>
      <w:pPr>
        <w:pStyle w:val="Normal"/>
        <w:numPr>
          <w:ilvl w:val="0"/>
          <w:numId w:val="7"/>
        </w:numPr>
        <w:spacing w:lineRule="auto" w:line="360"/>
        <w:jc w:val="both"/>
        <w:rPr>
          <w:lang w:val="lt-LT"/>
        </w:rPr>
      </w:pPr>
      <w:r>
        <w:rPr>
          <w:lang w:val="lt-LT"/>
        </w:rPr>
        <w:t>Kanalų paskirstymą pagal tikslines auditorijas;</w:t>
      </w:r>
    </w:p>
    <w:p>
      <w:pPr>
        <w:pStyle w:val="Normal"/>
        <w:numPr>
          <w:ilvl w:val="0"/>
          <w:numId w:val="7"/>
        </w:numPr>
        <w:spacing w:lineRule="auto" w:line="360"/>
        <w:jc w:val="both"/>
        <w:rPr>
          <w:lang w:val="lt-LT"/>
        </w:rPr>
      </w:pPr>
      <w:r>
        <w:rPr>
          <w:lang w:val="lt-LT"/>
        </w:rPr>
        <w:t>Kampanijų laikotarpių planavimą;</w:t>
      </w:r>
    </w:p>
    <w:p>
      <w:pPr>
        <w:pStyle w:val="Normal"/>
        <w:numPr>
          <w:ilvl w:val="0"/>
          <w:numId w:val="7"/>
        </w:numPr>
        <w:spacing w:lineRule="auto" w:line="360"/>
        <w:jc w:val="both"/>
        <w:rPr>
          <w:lang w:val="lt-LT"/>
        </w:rPr>
      </w:pPr>
      <w:r>
        <w:rPr>
          <w:lang w:val="lt-LT"/>
        </w:rPr>
        <w:t>Rekomenduojamą biudžeto paskirstymą pagal kanalus ir laikotarpius;</w:t>
      </w:r>
    </w:p>
    <w:p>
      <w:pPr>
        <w:pStyle w:val="Normal"/>
        <w:numPr>
          <w:ilvl w:val="0"/>
          <w:numId w:val="7"/>
        </w:numPr>
        <w:spacing w:lineRule="auto" w:line="360"/>
        <w:jc w:val="both"/>
        <w:rPr>
          <w:lang w:val="lt-LT"/>
        </w:rPr>
      </w:pPr>
      <w:r>
        <w:rPr>
          <w:lang w:val="lt-LT"/>
        </w:rPr>
        <w:t>Kiekvieno parinkto reklamos kanalo prognozuojamų efektyvumo rodiklių (pasiekiamumo, CPM - Cost Per Mille, CPC - Cost Per Click, GRP - Gross Rating Point ar kt.) pateikimą;</w:t>
      </w:r>
    </w:p>
    <w:p>
      <w:pPr>
        <w:pStyle w:val="Normal"/>
        <w:numPr>
          <w:ilvl w:val="0"/>
          <w:numId w:val="7"/>
        </w:numPr>
        <w:spacing w:lineRule="auto" w:line="360"/>
        <w:jc w:val="both"/>
        <w:rPr>
          <w:lang w:val="lt-LT"/>
        </w:rPr>
      </w:pPr>
      <w:r>
        <w:rPr>
          <w:lang w:val="lt-LT"/>
        </w:rPr>
        <w:t>Media plano įgyvendinimo, stebėsenos ir optimizavimo rekomendacijas;</w:t>
      </w:r>
    </w:p>
    <w:p>
      <w:pPr>
        <w:pStyle w:val="Normal"/>
        <w:numPr>
          <w:ilvl w:val="0"/>
          <w:numId w:val="7"/>
        </w:numPr>
        <w:spacing w:lineRule="auto" w:line="360"/>
        <w:jc w:val="both"/>
        <w:rPr>
          <w:lang w:val="lt-LT"/>
        </w:rPr>
      </w:pPr>
      <w:r>
        <w:rPr>
          <w:lang w:val="lt-LT"/>
        </w:rPr>
        <w:t>Rekomendacijas strategijos ir media plano tęstinumui ateinantiems laikotarpiams.</w:t>
      </w:r>
    </w:p>
    <w:p>
      <w:pPr>
        <w:pStyle w:val="Normal"/>
        <w:spacing w:lineRule="auto" w:line="360"/>
        <w:jc w:val="both"/>
        <w:rPr>
          <w:b/>
          <w:bCs/>
          <w:lang w:val="lt-LT"/>
        </w:rPr>
      </w:pPr>
      <w:r>
        <w:rPr>
          <w:b/>
          <w:bCs/>
          <w:lang w:val="lt-LT"/>
        </w:rPr>
      </w:r>
    </w:p>
    <w:p>
      <w:pPr>
        <w:pStyle w:val="Normal"/>
        <w:spacing w:lineRule="auto" w:line="360"/>
        <w:jc w:val="both"/>
        <w:rPr>
          <w:lang w:val="lt-LT"/>
        </w:rPr>
      </w:pPr>
      <w:r>
        <w:rPr>
          <w:b/>
          <w:bCs/>
          <w:lang w:val="lt-LT"/>
        </w:rPr>
        <w:t>III etapas</w:t>
      </w:r>
      <w:r>
        <w:rPr>
          <w:lang w:val="lt-LT"/>
        </w:rPr>
        <w:t xml:space="preserve">. </w:t>
      </w:r>
      <w:r>
        <w:rPr>
          <w:b/>
          <w:bCs/>
          <w:lang w:val="lt-LT"/>
        </w:rPr>
        <w:t>Kūrybinių sprendimų parengimas</w:t>
      </w:r>
    </w:p>
    <w:p>
      <w:pPr>
        <w:pStyle w:val="Normal"/>
        <w:spacing w:lineRule="auto" w:line="360"/>
        <w:ind w:firstLine="360"/>
        <w:jc w:val="both"/>
        <w:rPr>
          <w:lang w:val="lt-LT"/>
        </w:rPr>
      </w:pPr>
      <w:r>
        <w:rPr>
          <w:lang w:val="lt-LT"/>
        </w:rPr>
        <w:t>Paslaugų teikėjas, remdamasis patvirtinta marketingo strategija ir media planu, privalo parengti kūrybinius sprendimus ne mažiau kaip 4 kampanijoms, kurie apima:</w:t>
      </w:r>
    </w:p>
    <w:p>
      <w:pPr>
        <w:pStyle w:val="Normal"/>
        <w:numPr>
          <w:ilvl w:val="0"/>
          <w:numId w:val="4"/>
        </w:numPr>
        <w:spacing w:lineRule="auto" w:line="360"/>
        <w:jc w:val="both"/>
        <w:rPr>
          <w:lang w:val="lt-LT"/>
        </w:rPr>
      </w:pPr>
      <w:r>
        <w:rPr>
          <w:lang w:val="lt-LT"/>
        </w:rPr>
        <w:t>Kūrybinės kampanijos koncepcijos parengimą;</w:t>
      </w:r>
    </w:p>
    <w:p>
      <w:pPr>
        <w:pStyle w:val="Normal"/>
        <w:numPr>
          <w:ilvl w:val="0"/>
          <w:numId w:val="4"/>
        </w:numPr>
        <w:spacing w:lineRule="auto" w:line="360"/>
        <w:jc w:val="both"/>
        <w:rPr>
          <w:lang w:val="lt-LT"/>
        </w:rPr>
      </w:pPr>
      <w:r>
        <w:rPr>
          <w:lang w:val="lt-LT"/>
        </w:rPr>
        <w:t xml:space="preserve">Visos kampanijos turi būti autentiškos, niekur anksčiau nenaudotos, neskelbtos, nekopijuotos ir pan. Jei su Paslaugų teikėjo pasiūlyta medžiaga bus pažeistos trečiųjų šalių autorinės ar kitos teisės arba jau sukurti sprendiniai pažeis trečiųjų šalių autorines ar kitos teises, visa iš to kylanti atsakomybė tenka Paslaugos teikėjui. </w:t>
      </w:r>
    </w:p>
    <w:p>
      <w:pPr>
        <w:pStyle w:val="Normal"/>
        <w:numPr>
          <w:ilvl w:val="0"/>
          <w:numId w:val="4"/>
        </w:numPr>
        <w:spacing w:lineRule="auto" w:line="360"/>
        <w:jc w:val="both"/>
        <w:rPr>
          <w:lang w:val="lt-LT"/>
        </w:rPr>
      </w:pPr>
      <w:r>
        <w:rPr>
          <w:lang w:val="lt-LT"/>
        </w:rPr>
        <w:t>Pagrindinės kampanijos žinutės sukūrimą. Kiekvienai sukurtai kampanijos žinutei Paslaugų teikėjas privalo pateikti ne mažiau kaip 2 alternatyvius kampanijos įgyvendinimo variantus, kuriuose turi būti:</w:t>
      </w:r>
    </w:p>
    <w:p>
      <w:pPr>
        <w:pStyle w:val="Normal"/>
        <w:numPr>
          <w:ilvl w:val="0"/>
          <w:numId w:val="5"/>
        </w:numPr>
        <w:spacing w:lineRule="auto" w:line="360"/>
        <w:jc w:val="both"/>
        <w:rPr>
          <w:lang w:val="lt-LT"/>
        </w:rPr>
      </w:pPr>
      <w:r>
        <w:rPr>
          <w:lang w:val="lt-LT"/>
        </w:rPr>
        <w:t xml:space="preserve">Parinkti skirtingi komunikacijos kanalų deriniai, kuriuose ne daugiau kaip 3 kanalai gali kartotis. </w:t>
      </w:r>
    </w:p>
    <w:p>
      <w:pPr>
        <w:pStyle w:val="Normal"/>
        <w:numPr>
          <w:ilvl w:val="0"/>
          <w:numId w:val="5"/>
        </w:numPr>
        <w:spacing w:lineRule="auto" w:line="360"/>
        <w:jc w:val="both"/>
        <w:rPr>
          <w:lang w:val="lt-LT"/>
        </w:rPr>
      </w:pPr>
      <w:r>
        <w:rPr>
          <w:lang w:val="lt-LT"/>
        </w:rPr>
        <w:t>Aprašyta kiekvieno varianto komunikacijos logika;</w:t>
      </w:r>
    </w:p>
    <w:p>
      <w:pPr>
        <w:pStyle w:val="Normal"/>
        <w:numPr>
          <w:ilvl w:val="0"/>
          <w:numId w:val="6"/>
        </w:numPr>
        <w:spacing w:lineRule="auto" w:line="360"/>
        <w:jc w:val="both"/>
        <w:rPr>
          <w:lang w:val="lt-LT"/>
        </w:rPr>
      </w:pPr>
      <w:r>
        <w:rPr>
          <w:lang w:val="lt-LT"/>
        </w:rPr>
        <w:t>Apibrėžti komunikacijos tonaciją ir kūrybines gaires;</w:t>
      </w:r>
    </w:p>
    <w:p>
      <w:pPr>
        <w:pStyle w:val="Normal"/>
        <w:numPr>
          <w:ilvl w:val="0"/>
          <w:numId w:val="6"/>
        </w:numPr>
        <w:spacing w:lineRule="auto" w:line="360"/>
        <w:jc w:val="both"/>
        <w:rPr>
          <w:lang w:val="lt-LT"/>
        </w:rPr>
      </w:pPr>
      <w:r>
        <w:rPr>
          <w:lang w:val="lt-LT"/>
        </w:rPr>
        <w:t>Parengti pagrindinės vizualinės komunikacijos krypties ir kampanijos vizualinio sprendimo koncepciją;</w:t>
      </w:r>
    </w:p>
    <w:p>
      <w:pPr>
        <w:pStyle w:val="Normal"/>
        <w:numPr>
          <w:ilvl w:val="0"/>
          <w:numId w:val="6"/>
        </w:numPr>
        <w:spacing w:lineRule="auto" w:line="360"/>
        <w:jc w:val="both"/>
        <w:rPr>
          <w:lang w:val="lt-LT"/>
        </w:rPr>
      </w:pPr>
      <w:r>
        <w:rPr>
          <w:lang w:val="lt-LT"/>
        </w:rPr>
        <w:t>Pateikti vizualinės komunikacijos gaires, užtikrinant jų pritaikomumą skirtingiems komunikacijos kanalams;</w:t>
      </w:r>
    </w:p>
    <w:p>
      <w:pPr>
        <w:pStyle w:val="ListParagraph"/>
        <w:numPr>
          <w:ilvl w:val="0"/>
          <w:numId w:val="6"/>
        </w:numPr>
        <w:spacing w:lineRule="auto" w:line="360" w:before="0" w:after="160"/>
        <w:contextualSpacing/>
        <w:rPr>
          <w:lang w:val="lt-LT"/>
        </w:rPr>
      </w:pPr>
      <w:r>
        <w:rPr>
          <w:lang w:val="lt-LT"/>
        </w:rPr>
        <w:t xml:space="preserve">Paslaugų teikėjas turi pasirūpinti reikiamomis priemonėmis kampanijų gamybai. </w:t>
      </w:r>
    </w:p>
    <w:p>
      <w:pPr>
        <w:pStyle w:val="Normal"/>
        <w:spacing w:lineRule="auto" w:line="360"/>
        <w:jc w:val="both"/>
        <w:rPr>
          <w:lang w:val="lt-LT"/>
        </w:rPr>
      </w:pPr>
      <w:r>
        <w:rPr>
          <w:lang w:val="lt-LT"/>
        </w:rPr>
      </w:r>
    </w:p>
    <w:p>
      <w:pPr>
        <w:pStyle w:val="Normal"/>
        <w:spacing w:lineRule="auto" w:line="360"/>
        <w:jc w:val="both"/>
        <w:rPr>
          <w:lang w:val="lt-LT"/>
        </w:rPr>
      </w:pPr>
      <w:r>
        <w:rPr>
          <w:b/>
          <w:bCs/>
          <w:lang w:val="lt-LT"/>
        </w:rPr>
        <w:t>IV etapas</w:t>
      </w:r>
      <w:r>
        <w:rPr>
          <w:lang w:val="lt-LT"/>
        </w:rPr>
        <w:t xml:space="preserve">. </w:t>
      </w:r>
      <w:bookmarkStart w:id="0" w:name="_Hlk219382475"/>
      <w:r>
        <w:rPr>
          <w:b/>
          <w:bCs/>
          <w:lang w:val="lt-LT"/>
        </w:rPr>
        <w:t>Kampanijų faktinis įgyvendinimas</w:t>
      </w:r>
      <w:r>
        <w:rPr>
          <w:lang w:val="lt-LT"/>
        </w:rPr>
        <w:t xml:space="preserve"> </w:t>
      </w:r>
      <w:bookmarkEnd w:id="0"/>
      <w:r>
        <w:rPr>
          <w:lang w:val="lt-LT"/>
        </w:rPr>
        <w:t>(komunikacijos priemonių paleidimas, sklaida ir optimizavimas) gali būti pradedamas tik gavus rašytinį Perkančiosios organizacijos patvirtinimą dėl:</w:t>
      </w:r>
    </w:p>
    <w:p>
      <w:pPr>
        <w:pStyle w:val="Normal"/>
        <w:numPr>
          <w:ilvl w:val="0"/>
          <w:numId w:val="8"/>
        </w:numPr>
        <w:spacing w:lineRule="auto" w:line="360"/>
        <w:jc w:val="both"/>
        <w:rPr>
          <w:lang w:val="lt-LT"/>
        </w:rPr>
      </w:pPr>
      <w:r>
        <w:rPr>
          <w:lang w:val="lt-LT"/>
        </w:rPr>
        <w:t>pasirinkto kampanijos įgyvendinimo varianto;</w:t>
      </w:r>
    </w:p>
    <w:p>
      <w:pPr>
        <w:pStyle w:val="Normal"/>
        <w:numPr>
          <w:ilvl w:val="0"/>
          <w:numId w:val="8"/>
        </w:numPr>
        <w:spacing w:lineRule="auto" w:line="360"/>
        <w:jc w:val="both"/>
        <w:rPr>
          <w:lang w:val="lt-LT"/>
        </w:rPr>
      </w:pPr>
      <w:r>
        <w:rPr>
          <w:lang w:val="lt-LT"/>
        </w:rPr>
        <w:t>numatytų komunikacijos kanalų;</w:t>
      </w:r>
    </w:p>
    <w:p>
      <w:pPr>
        <w:pStyle w:val="Normal"/>
        <w:numPr>
          <w:ilvl w:val="0"/>
          <w:numId w:val="8"/>
        </w:numPr>
        <w:spacing w:lineRule="auto" w:line="360"/>
        <w:jc w:val="both"/>
        <w:rPr>
          <w:lang w:val="lt-LT"/>
        </w:rPr>
      </w:pPr>
      <w:r>
        <w:rPr>
          <w:lang w:val="lt-LT"/>
        </w:rPr>
        <w:t>biudžeto paskirstymo.</w:t>
      </w:r>
    </w:p>
    <w:p>
      <w:pPr>
        <w:pStyle w:val="Normal"/>
        <w:spacing w:lineRule="auto" w:line="360"/>
        <w:ind w:left="720"/>
        <w:jc w:val="both"/>
        <w:rPr>
          <w:lang w:val="lt-LT"/>
        </w:rPr>
      </w:pPr>
      <w:r>
        <w:rPr>
          <w:lang w:val="lt-LT"/>
        </w:rPr>
      </w:r>
    </w:p>
    <w:p>
      <w:pPr>
        <w:pStyle w:val="Normal"/>
        <w:spacing w:lineRule="auto" w:line="360"/>
        <w:ind w:firstLine="360"/>
        <w:jc w:val="both"/>
        <w:rPr>
          <w:lang w:val="lt-LT"/>
        </w:rPr>
      </w:pPr>
      <w:r>
        <w:rPr>
          <w:lang w:val="lt-LT"/>
        </w:rPr>
        <w:t>Iki rašytinio Perkančiosios organizacijos patvirtinimo Paslaugų teikėjas neturi teisės pradėti kampanijų vykdymo ar patirti su kampanijos sklaida susijusių išlaidų.</w:t>
      </w:r>
    </w:p>
    <w:p>
      <w:pPr>
        <w:pStyle w:val="Normal"/>
        <w:spacing w:lineRule="auto" w:line="360"/>
        <w:ind w:firstLine="360"/>
        <w:jc w:val="both"/>
        <w:rPr>
          <w:lang w:val="lt-LT"/>
        </w:rPr>
      </w:pPr>
      <w:r>
        <w:rPr>
          <w:lang w:val="lt-LT"/>
        </w:rPr>
      </w:r>
    </w:p>
    <w:p>
      <w:pPr>
        <w:pStyle w:val="Normal"/>
        <w:spacing w:lineRule="auto" w:line="360"/>
        <w:jc w:val="both"/>
        <w:rPr>
          <w:b/>
          <w:bCs/>
          <w:lang w:val="lt-LT"/>
        </w:rPr>
      </w:pPr>
      <w:r>
        <w:rPr>
          <w:b/>
          <w:bCs/>
          <w:lang w:val="lt-LT"/>
        </w:rPr>
        <w:t>V etapas. Kampanijų rezultatų ataskaitų teikimas</w:t>
      </w:r>
    </w:p>
    <w:p>
      <w:pPr>
        <w:pStyle w:val="Normal"/>
        <w:spacing w:lineRule="auto" w:line="360"/>
        <w:jc w:val="both"/>
        <w:rPr>
          <w:lang w:val="lt-LT"/>
        </w:rPr>
      </w:pPr>
      <w:r>
        <w:rPr>
          <w:lang w:val="lt-LT"/>
        </w:rPr>
        <w:t>Po kiekvienos įgyvendintos kampanijos Paslaugų teikėjas privalo pateikti Perkančiajai organizacijai kampanijos rezultatų ataskaitą, kurioje turi būti:</w:t>
      </w:r>
    </w:p>
    <w:p>
      <w:pPr>
        <w:pStyle w:val="Normal"/>
        <w:numPr>
          <w:ilvl w:val="0"/>
          <w:numId w:val="9"/>
        </w:numPr>
        <w:spacing w:lineRule="auto" w:line="360"/>
        <w:jc w:val="both"/>
        <w:rPr>
          <w:lang w:val="lt-LT"/>
        </w:rPr>
      </w:pPr>
      <w:r>
        <w:rPr>
          <w:lang w:val="lt-LT"/>
        </w:rPr>
        <w:t>Faktiniai pasiekti kampanijos rezultatai pagal pagrindinius efektyvumo rodiklius (KPI);</w:t>
      </w:r>
    </w:p>
    <w:p>
      <w:pPr>
        <w:pStyle w:val="Normal"/>
        <w:numPr>
          <w:ilvl w:val="0"/>
          <w:numId w:val="9"/>
        </w:numPr>
        <w:spacing w:lineRule="auto" w:line="360"/>
        <w:jc w:val="both"/>
        <w:rPr>
          <w:lang w:val="lt-LT"/>
        </w:rPr>
      </w:pPr>
      <w:r>
        <w:rPr>
          <w:lang w:val="lt-LT"/>
        </w:rPr>
        <w:t>Faktinių rezultatų palyginimas su patvirtintame media plane numatytais rodikliais;</w:t>
      </w:r>
    </w:p>
    <w:p>
      <w:pPr>
        <w:pStyle w:val="Normal"/>
        <w:numPr>
          <w:ilvl w:val="0"/>
          <w:numId w:val="9"/>
        </w:numPr>
        <w:spacing w:lineRule="auto" w:line="360"/>
        <w:jc w:val="both"/>
        <w:rPr>
          <w:lang w:val="lt-LT"/>
        </w:rPr>
      </w:pPr>
      <w:r>
        <w:rPr>
          <w:lang w:val="lt-LT"/>
        </w:rPr>
        <w:t>Naudotų komunikacijos kanalų ir formatų apžvalga;</w:t>
      </w:r>
    </w:p>
    <w:p>
      <w:pPr>
        <w:pStyle w:val="Normal"/>
        <w:numPr>
          <w:ilvl w:val="0"/>
          <w:numId w:val="9"/>
        </w:numPr>
        <w:spacing w:lineRule="auto" w:line="360"/>
        <w:jc w:val="both"/>
        <w:rPr>
          <w:lang w:val="lt-LT"/>
        </w:rPr>
      </w:pPr>
      <w:r>
        <w:rPr>
          <w:lang w:val="lt-LT"/>
        </w:rPr>
        <w:t>Kampanijos efektyvumo vertinimas ir pagrindinės įžvalgos;</w:t>
      </w:r>
    </w:p>
    <w:p>
      <w:pPr>
        <w:pStyle w:val="Normal"/>
        <w:numPr>
          <w:ilvl w:val="0"/>
          <w:numId w:val="9"/>
        </w:numPr>
        <w:spacing w:lineRule="auto" w:line="360"/>
        <w:jc w:val="both"/>
        <w:rPr>
          <w:lang w:val="lt-LT"/>
        </w:rPr>
      </w:pPr>
      <w:r>
        <w:rPr>
          <w:lang w:val="lt-LT"/>
        </w:rPr>
        <w:t>Rekomendacijos tolimesniems komunikacijos veiksmams.</w:t>
      </w:r>
    </w:p>
    <w:p>
      <w:pPr>
        <w:pStyle w:val="Normal"/>
        <w:spacing w:lineRule="auto" w:line="360"/>
        <w:jc w:val="both"/>
        <w:rPr>
          <w:lang w:val="lt-LT"/>
        </w:rPr>
      </w:pPr>
      <w:r>
        <w:rPr>
          <w:lang w:val="lt-LT"/>
        </w:rPr>
        <w:t>Ataskaitos turi būti pateikiamos raštu, sutartu formatu, per Perkančiosios organizacijos nustatytą terminą po kiekvienos kampanijos pabaigos.</w:t>
      </w:r>
    </w:p>
    <w:p>
      <w:pPr>
        <w:pStyle w:val="Normal"/>
        <w:spacing w:lineRule="auto" w:line="360"/>
        <w:jc w:val="both"/>
        <w:rPr>
          <w:b/>
          <w:bCs/>
          <w:lang w:val="lt-LT"/>
        </w:rPr>
      </w:pPr>
      <w:r>
        <w:rPr>
          <w:b/>
          <w:bCs/>
          <w:lang w:val="lt-LT"/>
        </w:rPr>
      </w:r>
    </w:p>
    <w:p>
      <w:pPr>
        <w:pStyle w:val="Normal"/>
        <w:spacing w:lineRule="auto" w:line="360"/>
        <w:jc w:val="both"/>
        <w:rPr>
          <w:b/>
          <w:bCs/>
          <w:lang w:val="lt-LT"/>
        </w:rPr>
      </w:pPr>
      <w:r>
        <w:rPr>
          <w:b/>
          <w:bCs/>
          <w:lang w:val="lt-LT"/>
        </w:rPr>
        <w:t>Paslaugų atlikimo terminas</w:t>
      </w:r>
    </w:p>
    <w:p>
      <w:pPr>
        <w:pStyle w:val="Normal"/>
        <w:spacing w:lineRule="auto" w:line="360"/>
        <w:jc w:val="both"/>
        <w:rPr>
          <w:lang w:val="lt-LT"/>
        </w:rPr>
      </w:pPr>
      <w:r>
        <w:rPr>
          <w:lang w:val="lt-LT"/>
        </w:rPr>
        <w:t xml:space="preserve">Marketingo strategija parengiama per 10 (dešimt) darbo dienas nuo sutarties pasirašymo dienos ir pateikiama Perkančiajai organizacijai derinti; </w:t>
      </w:r>
    </w:p>
    <w:p>
      <w:pPr>
        <w:pStyle w:val="Normal"/>
        <w:spacing w:lineRule="auto" w:line="360"/>
        <w:jc w:val="both"/>
        <w:rPr>
          <w:lang w:val="lt-LT"/>
        </w:rPr>
      </w:pPr>
      <w:r>
        <w:rPr>
          <w:lang w:val="lt-LT"/>
        </w:rPr>
        <w:t xml:space="preserve">Perkančioji organizacija pastabas pateikia per 3 (tris) darbo dienas nuo dokumento gavimo, Paslaugų teikėjas privalo pateikti patikslintą ir galutinę strategijos versiją per 3 (tris) darbo dienas nuo pastabų gavimo. </w:t>
      </w:r>
    </w:p>
    <w:p>
      <w:pPr>
        <w:pStyle w:val="Normal"/>
        <w:spacing w:lineRule="auto" w:line="360"/>
        <w:jc w:val="both"/>
        <w:rPr>
          <w:lang w:val="lt-LT"/>
        </w:rPr>
      </w:pPr>
      <w:r>
        <w:rPr>
          <w:lang w:val="lt-LT"/>
        </w:rPr>
      </w:r>
    </w:p>
    <w:p>
      <w:pPr>
        <w:pStyle w:val="Normal"/>
        <w:spacing w:lineRule="auto" w:line="360"/>
        <w:jc w:val="both"/>
        <w:rPr>
          <w:lang w:val="lt-LT"/>
        </w:rPr>
      </w:pPr>
      <w:r>
        <w:rPr>
          <w:lang w:val="lt-LT"/>
        </w:rPr>
        <w:t xml:space="preserve">Media planas parengiamas per 5 (penkias) darbo dienas nuo marketingo strategijos patvirtinimo ir pateikiamas derinti, pastabas Perkančioji organizacija teikia per 3 (tris) darbo dienas, galutinė media plano versija pateikiama per 3 (tris) darbo dienas nuo pastabų gavimo. </w:t>
      </w:r>
    </w:p>
    <w:p>
      <w:pPr>
        <w:pStyle w:val="Normal"/>
        <w:spacing w:lineRule="auto" w:line="360"/>
        <w:jc w:val="both"/>
        <w:rPr>
          <w:lang w:val="lt-LT"/>
        </w:rPr>
      </w:pPr>
      <w:r>
        <w:rPr>
          <w:lang w:val="lt-LT"/>
        </w:rPr>
      </w:r>
    </w:p>
    <w:p>
      <w:pPr>
        <w:pStyle w:val="Normal"/>
        <w:spacing w:lineRule="auto" w:line="360"/>
        <w:jc w:val="both"/>
        <w:rPr>
          <w:lang w:val="lt-LT"/>
        </w:rPr>
      </w:pPr>
      <w:r>
        <w:rPr>
          <w:lang w:val="lt-LT"/>
        </w:rPr>
        <w:t xml:space="preserve">Kūrybiniai sprendimai parengiami per 20 (dvidešimt) darbo dienų nuo media plano patvirtinimo. Perkančiajai organizacijai pateikus pastabas per 3 (tris) darbo dienas, Paslaugų teikėjai patikslinti sprendimai pateikiami per 5 (penkias) darbo dienas. </w:t>
      </w:r>
    </w:p>
    <w:p>
      <w:pPr>
        <w:pStyle w:val="Normal"/>
        <w:spacing w:lineRule="auto" w:line="360"/>
        <w:jc w:val="both"/>
        <w:rPr>
          <w:lang w:val="lt-LT"/>
        </w:rPr>
      </w:pPr>
      <w:r>
        <w:rPr>
          <w:lang w:val="lt-LT"/>
        </w:rPr>
      </w:r>
    </w:p>
    <w:p>
      <w:pPr>
        <w:pStyle w:val="Normal"/>
        <w:spacing w:lineRule="auto" w:line="360"/>
        <w:jc w:val="both"/>
        <w:rPr>
          <w:lang w:val="lt-LT"/>
        </w:rPr>
      </w:pPr>
      <w:r>
        <w:rPr>
          <w:lang w:val="lt-LT"/>
        </w:rPr>
        <w:t>Kampanijų faktinis įgyvendinimas pradedamas tik gavus rašytinį Perkančiosios organizacijos patvirtinimą ir vykdomas pagal patvirtintame media plane numatytus laikotarpius. Kampanijų rezultatų ataskaitos pateikiamos per 10 (dešimt) darbo dienų po kiekvienos kampanijos pabaigos.</w:t>
      </w:r>
    </w:p>
    <w:p>
      <w:pPr>
        <w:pStyle w:val="Normal"/>
        <w:spacing w:lineRule="auto" w:line="360"/>
        <w:jc w:val="both"/>
        <w:rPr>
          <w:b/>
          <w:bCs/>
          <w:lang w:val="lt-LT"/>
        </w:rPr>
      </w:pPr>
      <w:r>
        <w:rPr>
          <w:b/>
          <w:bCs/>
          <w:lang w:val="lt-LT"/>
        </w:rPr>
      </w:r>
    </w:p>
    <w:p>
      <w:pPr>
        <w:pStyle w:val="Normal"/>
        <w:spacing w:lineRule="auto" w:line="360"/>
        <w:jc w:val="both"/>
        <w:rPr>
          <w:b/>
          <w:bCs/>
          <w:lang w:val="lt-LT"/>
        </w:rPr>
      </w:pPr>
      <w:r>
        <w:rPr>
          <w:b/>
          <w:bCs/>
          <w:lang w:val="lt-LT"/>
        </w:rPr>
        <w:t>Kiti reikalavimai</w:t>
      </w:r>
    </w:p>
    <w:p>
      <w:pPr>
        <w:pStyle w:val="Normal"/>
        <w:numPr>
          <w:ilvl w:val="0"/>
          <w:numId w:val="2"/>
        </w:numPr>
        <w:spacing w:lineRule="auto" w:line="360"/>
        <w:jc w:val="both"/>
        <w:rPr>
          <w:lang w:val="lt-LT"/>
        </w:rPr>
      </w:pPr>
      <w:r>
        <w:rPr>
          <w:lang w:val="lt-LT"/>
        </w:rPr>
        <w:t>Visi pateikiami dokumentai turi būti lietuvių kalba, pagal poreikį – anglų kalba;</w:t>
      </w:r>
    </w:p>
    <w:p>
      <w:pPr>
        <w:pStyle w:val="Normal"/>
        <w:numPr>
          <w:ilvl w:val="0"/>
          <w:numId w:val="2"/>
        </w:numPr>
        <w:spacing w:lineRule="auto" w:line="360"/>
        <w:jc w:val="both"/>
        <w:rPr>
          <w:lang w:val="lt-LT"/>
        </w:rPr>
      </w:pPr>
      <w:r>
        <w:rPr>
          <w:lang w:val="lt-LT"/>
        </w:rPr>
        <w:t>Strategija ir media planas turi būti parengti taip, kad galėtų būti naudojami ir tolimesniam komunikacijos planavimui (su rekomendacijomis tęstinumui);</w:t>
      </w:r>
    </w:p>
    <w:p>
      <w:pPr>
        <w:pStyle w:val="Normal"/>
        <w:numPr>
          <w:ilvl w:val="0"/>
          <w:numId w:val="2"/>
        </w:numPr>
        <w:spacing w:lineRule="auto" w:line="360"/>
        <w:jc w:val="both"/>
        <w:rPr>
          <w:lang w:val="lt-LT"/>
        </w:rPr>
      </w:pPr>
      <w:r>
        <w:rPr>
          <w:lang w:val="lt-LT"/>
        </w:rPr>
        <w:t>Perkančiajai organizacijai suteikiamos visos turtinės teisės naudoti paslaugų metu sukurtus vaizdo klipus, vizualinę medžiagą ir kitus kūrinius neribotą laiką, be teritorinių apribojimų, visais reklamos ir komunikacijos kanalais, taip pat juos keisti, adaptuoti ir naudoti pakartotinai, nemokant papildomo atlygio Paslaugų teikėjui;</w:t>
      </w:r>
    </w:p>
    <w:p>
      <w:pPr>
        <w:pStyle w:val="Normal"/>
        <w:numPr>
          <w:ilvl w:val="0"/>
          <w:numId w:val="2"/>
        </w:numPr>
        <w:spacing w:lineRule="auto" w:line="360"/>
        <w:jc w:val="both"/>
        <w:rPr>
          <w:lang w:val="lt-LT"/>
        </w:rPr>
      </w:pPr>
      <w:r>
        <w:rPr>
          <w:lang w:val="lt-LT"/>
        </w:rPr>
        <w:t>Perkančiajai organizacijai suteikiamos visos turtinės teisės į parengtus dokumentus;</w:t>
      </w:r>
    </w:p>
    <w:p>
      <w:pPr>
        <w:pStyle w:val="Normal"/>
        <w:numPr>
          <w:ilvl w:val="0"/>
          <w:numId w:val="2"/>
        </w:numPr>
        <w:spacing w:lineRule="auto" w:line="360"/>
        <w:jc w:val="both"/>
        <w:rPr>
          <w:lang w:val="lt-LT"/>
        </w:rPr>
      </w:pPr>
      <w:r>
        <w:rPr>
          <w:lang w:val="lt-LT"/>
        </w:rPr>
        <w:t>Paslaugų teikėjas privalo užtikrinti konfidencialumą ir neatskleisti Perkančiosios organizacijos pateiktų duomenų;</w:t>
      </w:r>
    </w:p>
    <w:p>
      <w:pPr>
        <w:pStyle w:val="Normal"/>
        <w:numPr>
          <w:ilvl w:val="0"/>
          <w:numId w:val="2"/>
        </w:numPr>
        <w:spacing w:lineRule="auto" w:line="360"/>
        <w:jc w:val="both"/>
        <w:rPr>
          <w:lang w:val="lt-LT"/>
        </w:rPr>
      </w:pPr>
      <w:r>
        <w:rPr>
          <w:lang w:val="lt-LT"/>
        </w:rPr>
        <w:t>Paslaugų teikėjas neturi teisės naudoti Užsakovui parengtų sprendimų ar jų dalių be atskiro rašytinio Perkančiosios organizacijos sutikimo;</w:t>
      </w:r>
    </w:p>
    <w:p>
      <w:pPr>
        <w:pStyle w:val="ListParagraph"/>
        <w:numPr>
          <w:ilvl w:val="0"/>
          <w:numId w:val="2"/>
        </w:numPr>
        <w:spacing w:lineRule="auto" w:line="360" w:before="0" w:after="160"/>
        <w:contextualSpacing/>
        <w:rPr>
          <w:lang w:val="lt-LT"/>
        </w:rPr>
      </w:pPr>
      <w:r>
        <w:rPr>
          <w:lang w:val="lt-LT"/>
        </w:rPr>
        <w:t xml:space="preserve">Kiekvienoje kampanijoje turi būti pateikti Perkančiosios organizacijos pateikti logotipai, kontaktai; </w:t>
      </w:r>
    </w:p>
    <w:p>
      <w:pPr>
        <w:pStyle w:val="ListParagraph"/>
        <w:numPr>
          <w:ilvl w:val="0"/>
          <w:numId w:val="2"/>
        </w:numPr>
        <w:spacing w:lineRule="auto" w:line="360" w:before="0" w:after="160"/>
        <w:contextualSpacing/>
        <w:rPr>
          <w:lang w:val="lt-LT"/>
        </w:rPr>
      </w:pPr>
      <w:r>
        <w:rPr>
          <w:lang w:val="lt-LT"/>
        </w:rPr>
        <w:t xml:space="preserve">Tais atvejais, kai įgyvendinant kampanijas yra kuriami vaizdo klipai, Paslaugų teikėjas privalo užtikrinti, kad vaizdo klipų techninė ir vaizdinė kokybė atitiktų pilnos aukštos raiškos (angl. </w:t>
      </w:r>
      <w:r>
        <w:rPr>
          <w:i/>
          <w:iCs/>
          <w:lang w:val="lt-LT"/>
        </w:rPr>
        <w:t>Full HD</w:t>
      </w:r>
      <w:r>
        <w:rPr>
          <w:lang w:val="lt-LT"/>
        </w:rPr>
        <w:t>) arba jai lygiaverčius standartus ir būtų ne mažesnės kaip 1080p raiškos, taip pat 2K Scope (2.39:1) formato su 2048 × 858 rezoliucija, 24 fps arba 48 fps kadrų dažniu. Vaizdo klipai turi būti parengti taip, kad būtų tinkami transliacijai televizijoje, socialiniuose tinkluose, interneto platformose ir kino teatrų ekranuose, su galimybe juos koreguoti ir adaptuoti skirtingiems kanalams be papildomų Paslaugų teikėjo paslaugų. Galutiniai vaizdo klipai turi būti pateikti .mp4 ir .dcp formatais, tinkamais naudoti televizijoje, socialiniuose tinkluose (įskaitant „Facebook“, „Instagram“, „YouTube“), Perkančiosios organizacijos interneto svetainėje bei kino teatrų ekranuose;</w:t>
      </w:r>
    </w:p>
    <w:p>
      <w:pPr>
        <w:pStyle w:val="ListParagraph"/>
        <w:numPr>
          <w:ilvl w:val="0"/>
          <w:numId w:val="2"/>
        </w:numPr>
        <w:spacing w:lineRule="auto" w:line="360" w:before="0" w:after="160"/>
        <w:contextualSpacing/>
        <w:rPr>
          <w:lang w:val="lt-LT"/>
        </w:rPr>
      </w:pPr>
      <w:r>
        <w:rPr>
          <w:lang w:val="lt-LT"/>
        </w:rPr>
        <w:t>Perkančioji organizacija pasilieka teisę bet kuriuo metu prašyti Tiekėjo pateikti dokumentus įrodančius patirtas išlaidas susijusias su tr</w:t>
      </w:r>
      <w:bookmarkStart w:id="1" w:name="_GoBack"/>
      <w:bookmarkEnd w:id="1"/>
      <w:r>
        <w:rPr>
          <w:lang w:val="lt-LT"/>
        </w:rPr>
        <w:t>ečiųjų šalių teikiamomis paslaugomis.</w:t>
      </w:r>
    </w:p>
    <w:p>
      <w:pPr>
        <w:pStyle w:val="Normal"/>
        <w:tabs>
          <w:tab w:val="clear" w:pos="720"/>
          <w:tab w:val="left" w:pos="851" w:leader="none"/>
          <w:tab w:val="left" w:pos="1134" w:leader="none"/>
          <w:tab w:val="left" w:pos="1276" w:leader="none"/>
        </w:tabs>
        <w:ind w:firstLine="851"/>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tabs>
          <w:tab w:val="clear" w:pos="720"/>
          <w:tab w:val="left" w:pos="851" w:leader="none"/>
          <w:tab w:val="left" w:pos="1134" w:leader="none"/>
          <w:tab w:val="left" w:pos="1276" w:leader="none"/>
        </w:tabs>
        <w:ind w:hanging="0"/>
        <w:jc w:val="both"/>
        <w:rPr>
          <w:lang w:val="lt-LT"/>
        </w:rPr>
      </w:pPr>
      <w:r>
        <w:rPr>
          <w:lang w:val="lt-LT"/>
        </w:rPr>
      </w:r>
    </w:p>
    <w:p>
      <w:pPr>
        <w:pStyle w:val="Normal"/>
        <w:ind w:left="360"/>
        <w:jc w:val="center"/>
        <w:rPr>
          <w:rFonts w:ascii="Times New Roman" w:hAnsi="Times New Roman" w:cs="Times New Roman"/>
        </w:rPr>
      </w:pPr>
      <w:r>
        <w:rPr>
          <w:rFonts w:cs="Times New Roman"/>
          <w:b/>
        </w:rPr>
        <w:t>PASIŪLYMŲ VERTINIMO TVARKA</w:t>
      </w:r>
    </w:p>
    <w:p>
      <w:pPr>
        <w:pStyle w:val="Normal"/>
        <w:ind w:left="360"/>
        <w:jc w:val="center"/>
        <w:rPr>
          <w:rFonts w:ascii="Times New Roman" w:hAnsi="Times New Roman" w:cs="Times New Roman"/>
        </w:rPr>
      </w:pPr>
      <w:r>
        <w:rPr/>
      </w:r>
    </w:p>
    <w:p>
      <w:pPr>
        <w:pStyle w:val="Normal"/>
        <w:spacing w:lineRule="auto" w:line="240" w:before="0" w:after="0"/>
        <w:jc w:val="both"/>
        <w:rPr>
          <w:rFonts w:ascii="Times New Roman" w:hAnsi="Times New Roman" w:cs="Times New Roman"/>
        </w:rPr>
      </w:pPr>
      <w:r>
        <w:rPr>
          <w:rFonts w:cs="Times New Roman"/>
        </w:rPr>
        <w:t>1. Šiame Priede pateikiami ekonominio naudingumo vertinimo kriterijai, jų parametrai, lyginamieji svoriai, formulės, pagal kurias bus skaičiuojamas pasiūlymų ekonominis naudingumas, tiekėjų atliktos kūrybinės užduoties ekspertinio vertinimo metodikos aprašymas.</w:t>
      </w:r>
    </w:p>
    <w:p>
      <w:pPr>
        <w:pStyle w:val="Normal"/>
        <w:spacing w:lineRule="auto" w:line="240" w:before="0" w:after="0"/>
        <w:jc w:val="both"/>
        <w:rPr>
          <w:rFonts w:ascii="Times New Roman" w:hAnsi="Times New Roman" w:cs="Times New Roman"/>
        </w:rPr>
      </w:pPr>
      <w:r>
        <w:rPr>
          <w:rFonts w:cs="Times New Roman"/>
        </w:rPr>
        <w:t>2. Maksimalus balų skaičius, kurį vertinant pasiūlymų ekonominį naudingumą, gali gauti tiekėjas – 100 balų. Ekonomiškai naudingiausiu pasiūlymu bus nustatomas daugiausiai balų surinkęs pasiūlymas.</w:t>
      </w:r>
    </w:p>
    <w:p>
      <w:pPr>
        <w:pStyle w:val="Normal"/>
        <w:spacing w:lineRule="auto" w:line="240" w:before="0" w:after="0"/>
        <w:jc w:val="both"/>
        <w:rPr>
          <w:rFonts w:ascii="Times New Roman" w:hAnsi="Times New Roman" w:cs="Times New Roman"/>
        </w:rPr>
      </w:pPr>
      <w:r>
        <w:rPr>
          <w:rFonts w:cs="Times New Roman"/>
        </w:rPr>
        <w:t>3. Ekonominio naudingumo vertinimo rezultatai nurodomi ne daugiau kaip dviejų skaičių po kablelio tikslumu. Atliekant skaičiavimus, apvalinama pagal aritmetines  apvalinimo taisykles šimtųjų tikslumu, t. y. surinkus pvz. 50,564 balų – apvalinama į 50,56, o surinkus 50,565 balų – apvalinama į 50,57.</w:t>
      </w:r>
    </w:p>
    <w:p>
      <w:pPr>
        <w:pStyle w:val="Normal"/>
        <w:spacing w:lineRule="auto" w:line="240" w:before="0" w:after="0"/>
        <w:jc w:val="both"/>
        <w:rPr>
          <w:rFonts w:ascii="Times New Roman" w:hAnsi="Times New Roman" w:cs="Times New Roman"/>
        </w:rPr>
      </w:pPr>
      <w:r>
        <w:rPr>
          <w:rFonts w:cs="Times New Roman"/>
        </w:rPr>
        <w:t>4. Jei pasiūlymų bendro ekonominio naudingumo balai yra įvertinami vienodai, tuomet bus atsižvelgiama į pasiūlymo kokybinių kriterijų reikšmę, t. y. nustatant pasiūlymų eilę aukštesnė vieta pasiūlymų eilėje bus skiriama tam pasiūlymui, kurio kokybinių kriterijų balai yra didesni.</w:t>
      </w:r>
    </w:p>
    <w:p>
      <w:pPr>
        <w:pStyle w:val="Normal"/>
        <w:spacing w:before="0" w:after="0"/>
        <w:jc w:val="both"/>
        <w:rPr>
          <w:rFonts w:ascii="Times New Roman" w:hAnsi="Times New Roman" w:cs="Times New Roman"/>
          <w:b/>
          <w:bCs/>
          <w:u w:val="single"/>
        </w:rPr>
      </w:pPr>
      <w:r>
        <w:rPr>
          <w:rFonts w:cs="Times New Roman"/>
        </w:rPr>
        <w:t xml:space="preserve">5. </w:t>
      </w:r>
      <w:r>
        <w:rPr>
          <w:rFonts w:cs="Times New Roman"/>
          <w:b/>
          <w:bCs/>
          <w:u w:val="single"/>
        </w:rPr>
        <w:t>Pasiūlymai, kurie surinks mažiau nei 7</w:t>
      </w:r>
      <w:bookmarkStart w:id="2" w:name="_GoBack_Copy_1"/>
      <w:bookmarkEnd w:id="2"/>
      <w:r>
        <w:rPr>
          <w:rFonts w:cs="Times New Roman"/>
          <w:b/>
          <w:bCs/>
          <w:u w:val="single"/>
        </w:rPr>
        <w:t xml:space="preserve"> balus už kokybės kriterijų bus atmetami.</w:t>
      </w:r>
    </w:p>
    <w:p>
      <w:pPr>
        <w:pStyle w:val="Normal"/>
        <w:jc w:val="both"/>
        <w:rPr>
          <w:rFonts w:ascii="Times New Roman" w:hAnsi="Times New Roman" w:cs="Times New Roman"/>
        </w:rPr>
      </w:pPr>
      <w:r>
        <w:rPr>
          <w:rFonts w:cs="Times New Roman"/>
        </w:rPr>
      </w:r>
    </w:p>
    <w:p>
      <w:pPr>
        <w:pStyle w:val="Normal"/>
        <w:jc w:val="right"/>
        <w:rPr>
          <w:rFonts w:ascii="Times New Roman" w:hAnsi="Times New Roman" w:cs="Times New Roman"/>
          <w:i/>
          <w:i/>
          <w:iCs/>
        </w:rPr>
      </w:pPr>
      <w:r>
        <w:rPr>
          <w:rFonts w:cs="Times New Roman"/>
          <w:i/>
          <w:iCs/>
        </w:rPr>
        <w:t>1 Lentelė. Pasiūlymų vertinimo kriterijai ir lyginamieji svoriai</w:t>
      </w:r>
    </w:p>
    <w:tbl>
      <w:tblPr>
        <w:tblStyle w:val="TableGrid"/>
        <w:tblW w:w="10705" w:type="dxa"/>
        <w:jc w:val="left"/>
        <w:tblInd w:w="-362" w:type="dxa"/>
        <w:tblLayout w:type="fixed"/>
        <w:tblCellMar>
          <w:top w:w="0" w:type="dxa"/>
          <w:left w:w="108" w:type="dxa"/>
          <w:bottom w:w="0" w:type="dxa"/>
          <w:right w:w="108" w:type="dxa"/>
        </w:tblCellMar>
        <w:tblLook w:firstRow="1" w:noVBand="1" w:lastRow="0" w:firstColumn="1" w:lastColumn="0" w:noHBand="0" w:val="04a0"/>
      </w:tblPr>
      <w:tblGrid>
        <w:gridCol w:w="5028"/>
        <w:gridCol w:w="2844"/>
        <w:gridCol w:w="2833"/>
      </w:tblGrid>
      <w:tr>
        <w:trPr/>
        <w:tc>
          <w:tcPr>
            <w:tcW w:w="5028" w:type="dxa"/>
            <w:tcBorders/>
            <w:shd w:color="auto" w:fill="FBE4D5" w:themeFill="accent2" w:themeFillTint="33" w:val="clear"/>
            <w:vAlign w:val="center"/>
          </w:tcPr>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Vertinimo kriterijai ir parametrai</w:t>
            </w:r>
          </w:p>
        </w:tc>
        <w:tc>
          <w:tcPr>
            <w:tcW w:w="2844" w:type="dxa"/>
            <w:tcBorders/>
            <w:shd w:color="auto" w:fill="FBE4D5" w:themeFill="accent2" w:themeFillTint="33" w:val="clear"/>
            <w:vAlign w:val="center"/>
          </w:tcPr>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Funkciniam parametrui suteikiami balai</w:t>
            </w:r>
          </w:p>
        </w:tc>
        <w:tc>
          <w:tcPr>
            <w:tcW w:w="2833" w:type="dxa"/>
            <w:tcBorders/>
            <w:shd w:color="auto" w:fill="FBE4D5" w:themeFill="accent2" w:themeFillTint="33" w:val="clear"/>
            <w:vAlign w:val="center"/>
          </w:tcPr>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Kriterijaus vertė</w:t>
            </w:r>
          </w:p>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ekonominio</w:t>
            </w:r>
          </w:p>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naudingumo</w:t>
            </w:r>
          </w:p>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įvertinime</w:t>
            </w:r>
          </w:p>
        </w:tc>
      </w:tr>
      <w:tr>
        <w:trPr/>
        <w:tc>
          <w:tcPr>
            <w:tcW w:w="7872" w:type="dxa"/>
            <w:gridSpan w:val="2"/>
            <w:tcBorders/>
          </w:tcPr>
          <w:p>
            <w:pPr>
              <w:pStyle w:val="Normal"/>
              <w:widowControl/>
              <w:spacing w:lineRule="auto" w:line="240" w:before="0" w:after="0"/>
              <w:jc w:val="both"/>
              <w:rPr>
                <w:sz w:val="22"/>
                <w:szCs w:val="22"/>
              </w:rPr>
            </w:pPr>
            <w:r>
              <w:rPr>
                <w:rFonts w:eastAsia="Times New Roman" w:cs="Times New Roman"/>
                <w:b/>
                <w:bCs/>
                <w:kern w:val="0"/>
                <w:sz w:val="22"/>
                <w:szCs w:val="22"/>
                <w:lang w:val="lt-LT" w:eastAsia="lt-LT" w:bidi="ar-SA"/>
              </w:rPr>
              <w:t>I kriterijus</w:t>
            </w:r>
            <w:r>
              <w:rPr>
                <w:rFonts w:eastAsia="Times New Roman" w:cs="Times New Roman"/>
                <w:kern w:val="0"/>
                <w:sz w:val="22"/>
                <w:szCs w:val="22"/>
                <w:lang w:val="lt-LT" w:eastAsia="lt-LT" w:bidi="ar-SA"/>
              </w:rPr>
              <w:t xml:space="preserve"> – Kaina</w:t>
            </w:r>
            <w:r>
              <w:rPr>
                <w:rFonts w:eastAsia="Times New Roman" w:cs="Times New Roman"/>
                <w:b/>
                <w:bCs/>
                <w:kern w:val="0"/>
                <w:sz w:val="22"/>
                <w:szCs w:val="22"/>
                <w:lang w:val="lt-LT" w:eastAsia="lt-LT" w:bidi="ar-SA"/>
              </w:rPr>
              <w:t xml:space="preserve"> (C)</w:t>
            </w:r>
          </w:p>
        </w:tc>
        <w:tc>
          <w:tcPr>
            <w:tcW w:w="2833" w:type="dxa"/>
            <w:tcBorders/>
          </w:tcPr>
          <w:p>
            <w:pPr>
              <w:pStyle w:val="Default"/>
              <w:widowControl/>
              <w:spacing w:before="0" w:after="0"/>
              <w:jc w:val="center"/>
              <w:rPr>
                <w:b/>
                <w:bCs/>
                <w:color w:val="auto"/>
                <w:sz w:val="22"/>
                <w:szCs w:val="22"/>
                <w:lang w:val="en-US"/>
              </w:rPr>
            </w:pPr>
            <w:r>
              <w:rPr>
                <w:rFonts w:eastAsia="Times New Roman"/>
                <w:b/>
                <w:bCs/>
                <w:color w:val="auto"/>
                <w:kern w:val="0"/>
                <w:sz w:val="22"/>
                <w:szCs w:val="22"/>
                <w:lang w:val="lt-LT" w:eastAsia="lt-LT" w:bidi="ar-SA"/>
              </w:rPr>
              <w:t>X = 6</w:t>
            </w:r>
            <w:r>
              <w:rPr>
                <w:rFonts w:eastAsia="Times New Roman"/>
                <w:b/>
                <w:bCs/>
                <w:color w:val="auto"/>
                <w:kern w:val="0"/>
                <w:sz w:val="22"/>
                <w:szCs w:val="22"/>
                <w:lang w:val="en-US" w:eastAsia="lt-LT" w:bidi="ar-SA"/>
              </w:rPr>
              <w:t>0</w:t>
            </w:r>
          </w:p>
        </w:tc>
      </w:tr>
      <w:tr>
        <w:trPr/>
        <w:tc>
          <w:tcPr>
            <w:tcW w:w="5028" w:type="dxa"/>
            <w:tcBorders/>
          </w:tcPr>
          <w:p>
            <w:pPr>
              <w:pStyle w:val="Normal"/>
              <w:widowControl/>
              <w:spacing w:lineRule="auto" w:line="240" w:before="0" w:after="0"/>
              <w:jc w:val="left"/>
              <w:rPr>
                <w:b/>
                <w:bCs/>
                <w:sz w:val="22"/>
                <w:szCs w:val="22"/>
              </w:rPr>
            </w:pPr>
            <w:r>
              <w:rPr>
                <w:rFonts w:eastAsia="Times New Roman" w:cs="Times New Roman"/>
                <w:b/>
                <w:bCs/>
                <w:kern w:val="0"/>
                <w:sz w:val="22"/>
                <w:szCs w:val="22"/>
                <w:lang w:val="lt-LT" w:eastAsia="lt-LT" w:bidi="ar-SA"/>
              </w:rPr>
              <w:t xml:space="preserve">II kriterijus – </w:t>
            </w:r>
            <w:r>
              <w:rPr>
                <w:rFonts w:eastAsia="Times New Roman" w:cs="Times New Roman"/>
                <w:kern w:val="0"/>
                <w:sz w:val="22"/>
                <w:szCs w:val="22"/>
                <w:lang w:val="lt-LT" w:eastAsia="lt-LT" w:bidi="ar-SA"/>
              </w:rPr>
              <w:t>Kūrybinės užduoties atlikimas</w:t>
            </w:r>
            <w:r>
              <w:rPr>
                <w:rFonts w:eastAsia="Times New Roman" w:cs="Times New Roman"/>
                <w:b/>
                <w:bCs/>
                <w:kern w:val="0"/>
                <w:sz w:val="22"/>
                <w:szCs w:val="22"/>
                <w:lang w:val="lt-LT" w:eastAsia="lt-LT" w:bidi="ar-SA"/>
              </w:rPr>
              <w:t xml:space="preserve"> (T):</w:t>
            </w:r>
          </w:p>
        </w:tc>
        <w:tc>
          <w:tcPr>
            <w:tcW w:w="2844" w:type="dxa"/>
            <w:tcBorders/>
          </w:tcPr>
          <w:p>
            <w:pPr>
              <w:pStyle w:val="Normal"/>
              <w:widowControl/>
              <w:spacing w:lineRule="auto" w:line="240" w:before="0" w:after="0"/>
              <w:jc w:val="center"/>
              <w:rPr>
                <w:sz w:val="22"/>
                <w:szCs w:val="22"/>
              </w:rPr>
            </w:pPr>
            <w:r>
              <w:rPr>
                <w:rFonts w:eastAsia="Times New Roman" w:cs="Times New Roman"/>
                <w:kern w:val="0"/>
                <w:sz w:val="22"/>
                <w:szCs w:val="22"/>
                <w:lang w:val="lt-LT" w:eastAsia="lt-LT" w:bidi="ar-SA"/>
              </w:rPr>
              <w:t>Min. 0 balų,</w:t>
            </w:r>
          </w:p>
          <w:p>
            <w:pPr>
              <w:pStyle w:val="Normal"/>
              <w:widowControl/>
              <w:spacing w:lineRule="auto" w:line="240" w:before="0" w:after="0"/>
              <w:jc w:val="center"/>
              <w:rPr>
                <w:sz w:val="22"/>
                <w:szCs w:val="22"/>
              </w:rPr>
            </w:pPr>
            <w:r>
              <w:rPr>
                <w:rFonts w:eastAsia="Times New Roman" w:cs="Times New Roman"/>
                <w:kern w:val="0"/>
                <w:sz w:val="22"/>
                <w:szCs w:val="22"/>
                <w:lang w:val="lt-LT" w:eastAsia="lt-LT" w:bidi="ar-SA"/>
              </w:rPr>
              <w:t>maks. 15 balų</w:t>
            </w:r>
          </w:p>
        </w:tc>
        <w:tc>
          <w:tcPr>
            <w:tcW w:w="2833" w:type="dxa"/>
            <w:tcBorders/>
            <w:vAlign w:val="center"/>
          </w:tcPr>
          <w:p>
            <w:pPr>
              <w:pStyle w:val="Normal"/>
              <w:widowControl/>
              <w:spacing w:lineRule="auto" w:line="240" w:before="0" w:after="0"/>
              <w:jc w:val="center"/>
              <w:rPr>
                <w:b/>
                <w:bCs/>
                <w:sz w:val="22"/>
                <w:szCs w:val="22"/>
              </w:rPr>
            </w:pPr>
            <w:r>
              <w:rPr>
                <w:rFonts w:eastAsia="Times New Roman" w:cs="Times New Roman"/>
                <w:b/>
                <w:bCs/>
                <w:kern w:val="0"/>
                <w:sz w:val="22"/>
                <w:szCs w:val="22"/>
                <w:lang w:val="lt-LT" w:eastAsia="lt-LT" w:bidi="ar-SA"/>
              </w:rPr>
              <w:t>Y= 40</w:t>
            </w:r>
          </w:p>
        </w:tc>
      </w:tr>
    </w:tbl>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t xml:space="preserve">6. Pasiūlymų ekonominio naudingumo balai </w:t>
      </w:r>
      <w:r>
        <w:rPr>
          <w:rFonts w:cs="Times New Roman"/>
          <w:b/>
          <w:bCs/>
        </w:rPr>
        <w:t>(S)</w:t>
      </w:r>
      <w:r>
        <w:rPr>
          <w:rFonts w:cs="Times New Roman"/>
        </w:rPr>
        <w:t xml:space="preserve"> apskaičiuojami, sudedant Pasiūlymo kainos </w:t>
      </w:r>
      <w:r>
        <w:rPr>
          <w:rFonts w:cs="Times New Roman"/>
          <w:b/>
          <w:bCs/>
        </w:rPr>
        <w:t>(C)</w:t>
      </w:r>
      <w:r>
        <w:rPr>
          <w:rFonts w:cs="Times New Roman"/>
        </w:rPr>
        <w:t xml:space="preserve"> ir kokybės kriterijų </w:t>
      </w:r>
      <w:r>
        <w:rPr>
          <w:rFonts w:cs="Times New Roman"/>
          <w:b/>
          <w:bCs/>
        </w:rPr>
        <w:t>(T)</w:t>
      </w:r>
      <w:r>
        <w:rPr>
          <w:rFonts w:cs="Times New Roman"/>
        </w:rPr>
        <w:t xml:space="preserve"> ir (</w:t>
      </w:r>
      <w:r>
        <w:rPr>
          <w:rFonts w:cs="Times New Roman"/>
          <w:b/>
          <w:bCs/>
        </w:rPr>
        <w:t>R)</w:t>
      </w:r>
      <w:r>
        <w:rPr>
          <w:rFonts w:cs="Times New Roman"/>
        </w:rPr>
        <w:t xml:space="preserve"> balus:</w:t>
      </w:r>
    </w:p>
    <w:p>
      <w:pPr>
        <w:pStyle w:val="Normal"/>
        <w:jc w:val="center"/>
        <w:rPr>
          <w:rFonts w:ascii="Times New Roman" w:hAnsi="Times New Roman" w:cs="Times New Roman"/>
          <w:b/>
          <w:bCs/>
        </w:rPr>
      </w:pPr>
      <w:r>
        <w:rPr>
          <w:rFonts w:cs="Times New Roman"/>
          <w:b/>
          <w:bCs/>
        </w:rPr>
        <w:t>S = C + T</w:t>
      </w:r>
    </w:p>
    <w:p>
      <w:pPr>
        <w:pStyle w:val="Normal"/>
        <w:jc w:val="both"/>
        <w:rPr>
          <w:rFonts w:ascii="Times New Roman" w:hAnsi="Times New Roman" w:cs="Times New Roman"/>
        </w:rPr>
      </w:pPr>
      <w:r>
        <w:rPr>
          <w:rFonts w:cs="Times New Roman"/>
        </w:rPr>
        <w:t xml:space="preserve">7. Pasiūlymo kainos </w:t>
      </w:r>
      <w:r>
        <w:rPr>
          <w:rFonts w:cs="Times New Roman"/>
          <w:b/>
          <w:bCs/>
        </w:rPr>
        <w:t>(C)</w:t>
      </w:r>
      <w:r>
        <w:rPr>
          <w:rFonts w:cs="Times New Roman"/>
        </w:rPr>
        <w:t xml:space="preserve"> balai apskaičiuojami vertinamo kriterijaus reikšmę (suteiktus balus) </w:t>
      </w:r>
      <w:r>
        <w:rPr>
          <w:rFonts w:cs="Times New Roman"/>
          <w:b/>
          <w:bCs/>
        </w:rPr>
        <w:t>(С</w:t>
      </w:r>
      <w:r>
        <w:rPr>
          <w:rFonts w:cs="Times New Roman"/>
          <w:b/>
          <w:bCs/>
          <w:vertAlign w:val="subscript"/>
        </w:rPr>
        <w:t>p</w:t>
      </w:r>
      <w:r>
        <w:rPr>
          <w:rFonts w:cs="Times New Roman"/>
          <w:b/>
          <w:bCs/>
        </w:rPr>
        <w:t>)</w:t>
      </w:r>
      <w:r>
        <w:rPr>
          <w:rFonts w:cs="Times New Roman"/>
        </w:rPr>
        <w:t xml:space="preserve"> palyginant su geriausia to kriterijaus galima reikšme (</w:t>
      </w:r>
      <w:r>
        <w:rPr>
          <w:rFonts w:cs="Times New Roman"/>
          <w:b/>
          <w:bCs/>
        </w:rPr>
        <w:t>С</w:t>
      </w:r>
      <w:r>
        <w:rPr>
          <w:rFonts w:cs="Times New Roman"/>
          <w:b/>
          <w:bCs/>
          <w:vertAlign w:val="subscript"/>
        </w:rPr>
        <w:t>max</w:t>
      </w:r>
      <w:r>
        <w:rPr>
          <w:rFonts w:cs="Times New Roman"/>
        </w:rPr>
        <w:t>) (maksimaliu galimu pagal atitinkamą kriterijų suteikti balų skaičiumi) ir padauginant iš vertinamo kriterijaus lyginamojo svorio (X):</w:t>
      </w:r>
    </w:p>
    <w:p>
      <w:pPr>
        <w:pStyle w:val="Normal"/>
        <w:jc w:val="center"/>
        <w:rPr>
          <w:rFonts w:ascii="Times New Roman" w:hAnsi="Times New Roman" w:cs="Times New Roman"/>
          <w:b/>
        </w:rPr>
      </w:pPr>
      <w:r>
        <w:rPr/>
        <w:drawing>
          <wp:inline distT="0" distB="0" distL="0" distR="0">
            <wp:extent cx="1079500" cy="536575"/>
            <wp:effectExtent l="0" t="0" r="0" b="0"/>
            <wp:docPr id="1" name="Paveikslėlis 1" descr="Paveikslėlis, kuriame yra Šriftas, diagrama, lin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diagrama, linija, tekstas&#10;&#10;Dirbtinio intelekto sugeneruotas turinys gali būti neteisingas."/>
                    <pic:cNvPicPr>
                      <a:picLocks noChangeAspect="1" noChangeArrowheads="1"/>
                    </pic:cNvPicPr>
                  </pic:nvPicPr>
                  <pic:blipFill>
                    <a:blip r:embed="rId2"/>
                    <a:stretch>
                      <a:fillRect/>
                    </a:stretch>
                  </pic:blipFill>
                  <pic:spPr bwMode="auto">
                    <a:xfrm>
                      <a:off x="0" y="0"/>
                      <a:ext cx="1079500" cy="536575"/>
                    </a:xfrm>
                    <a:prstGeom prst="rect">
                      <a:avLst/>
                    </a:prstGeom>
                  </pic:spPr>
                </pic:pic>
              </a:graphicData>
            </a:graphic>
          </wp:inline>
        </w:drawing>
      </w:r>
    </w:p>
    <w:p>
      <w:pPr>
        <w:pStyle w:val="Normal"/>
        <w:jc w:val="both"/>
        <w:rPr>
          <w:rFonts w:ascii="Times New Roman" w:hAnsi="Times New Roman" w:cs="Times New Roman"/>
        </w:rPr>
      </w:pPr>
      <w:r>
        <w:rPr>
          <w:rFonts w:cs="Times New Roman"/>
        </w:rPr>
        <w:t xml:space="preserve">8. Kriterijaus </w:t>
      </w:r>
      <w:r>
        <w:rPr>
          <w:rFonts w:cs="Times New Roman"/>
          <w:b/>
          <w:bCs/>
        </w:rPr>
        <w:t>(T)</w:t>
      </w:r>
      <w:r>
        <w:rPr>
          <w:rFonts w:cs="Times New Roman"/>
        </w:rPr>
        <w:t xml:space="preserve"> balas apskaičiuojamas vertinamo pasiūlymo kriterijaus reikšmę (Rp) palyginant su geriausia kriterijaus reikšme (Rmax) ir padauginant iš vertinamo kriterijaus lyginamojo svorio (Y):</w:t>
      </w:r>
    </w:p>
    <w:p>
      <w:pPr>
        <w:pStyle w:val="Normal"/>
        <w:jc w:val="both"/>
        <w:rPr>
          <w:rFonts w:ascii="Times New Roman" w:hAnsi="Times New Roman" w:cs="Times New Roman"/>
        </w:rPr>
      </w:pPr>
      <w:r>
        <w:rPr>
          <w:rFonts w:cs="Times New Roman"/>
        </w:rPr>
      </w:r>
    </w:p>
    <w:p>
      <w:pPr>
        <w:pStyle w:val="Normal"/>
        <w:jc w:val="center"/>
        <w:rPr>
          <w:rFonts w:ascii="Times New Roman" w:hAnsi="Times New Roman" w:cs="Times New Roman"/>
        </w:rPr>
      </w:pPr>
      <w:r>
        <w:rPr/>
        <w:drawing>
          <wp:inline distT="0" distB="0" distL="0" distR="0">
            <wp:extent cx="1270000" cy="567690"/>
            <wp:effectExtent l="0" t="0" r="0" b="0"/>
            <wp:docPr id="2" name="Paveikslas2" descr="Paveikslėlis, kuriame yra Šriftas, diagrama, linij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2" descr="Paveikslėlis, kuriame yra Šriftas, diagrama, linija, baltas&#10;&#10;Dirbtinio intelekto sugeneruotas turinys gali būti neteisingas."/>
                    <pic:cNvPicPr>
                      <a:picLocks noChangeAspect="1" noChangeArrowheads="1"/>
                    </pic:cNvPicPr>
                  </pic:nvPicPr>
                  <pic:blipFill>
                    <a:blip r:embed="rId3"/>
                    <a:stretch>
                      <a:fillRect/>
                    </a:stretch>
                  </pic:blipFill>
                  <pic:spPr bwMode="auto">
                    <a:xfrm>
                      <a:off x="0" y="0"/>
                      <a:ext cx="1270000" cy="567690"/>
                    </a:xfrm>
                    <a:prstGeom prst="rect">
                      <a:avLst/>
                    </a:prstGeom>
                  </pic:spPr>
                </pic:pic>
              </a:graphicData>
            </a:graphic>
          </wp:inline>
        </w:drawing>
      </w:r>
    </w:p>
    <w:p>
      <w:pPr>
        <w:pStyle w:val="Normal"/>
        <w:spacing w:before="0" w:after="0"/>
        <w:jc w:val="both"/>
        <w:rPr>
          <w:rFonts w:ascii="Times New Roman" w:hAnsi="Times New Roman" w:cs="Times New Roman"/>
        </w:rPr>
      </w:pPr>
      <w:r>
        <w:rPr>
          <w:rFonts w:cs="Times New Roman"/>
        </w:rPr>
        <w:t xml:space="preserve">9. Kriterijaus </w:t>
      </w:r>
      <w:r>
        <w:rPr>
          <w:rFonts w:cs="Times New Roman"/>
          <w:b/>
          <w:bCs/>
        </w:rPr>
        <w:t>(T)</w:t>
      </w:r>
      <w:r>
        <w:rPr>
          <w:rFonts w:cs="Times New Roman"/>
        </w:rPr>
        <w:t xml:space="preserve"> reikšmė (Rp) apskaičiuojama sudedant ekspertų (ne mažiau nei 3 ekspertų) balus, skirtus vertinant tiekėjų pateiktas kūrybines užduotis ir gautą sumą padalinant iš vertinusių ekspertų skaičiaus, apvalinant gautą skaičių šimtųjų tikslumu. Ekspertai pasiūlymus vertina atskirai (nelygina vieno su kitu), vadovaudamiesi savo žiniomis, patirtimi ir 2 lentelėje pateiktu vertinimo ir balų skyrimo aprašymu.</w:t>
      </w:r>
      <w:r>
        <w:rPr>
          <w:rFonts w:eastAsia="Times New Roman" w:cs="Times New Roman"/>
          <w:lang w:eastAsia="lt-LT"/>
        </w:rPr>
        <w:t xml:space="preserve"> </w:t>
      </w:r>
      <w:r>
        <w:rPr>
          <w:rFonts w:cs="Times New Roman"/>
        </w:rPr>
        <w:t>Dalyvių pateiktas įvykdytas užduotis gali vertinti Viešojo pirkimo komisijos nariai, kurie yra prilyginami ekspertams. Komisija parengs ekspertinių įvertinimų suvestinę, pagal kurią apskaičiuos pasiūlymų ekonominį naudingumą.</w:t>
      </w:r>
    </w:p>
    <w:p>
      <w:pPr>
        <w:pStyle w:val="Normal"/>
        <w:spacing w:before="0" w:after="0"/>
        <w:jc w:val="both"/>
        <w:rPr>
          <w:rFonts w:ascii="Times New Roman" w:hAnsi="Times New Roman" w:cs="Times New Roman"/>
        </w:rPr>
      </w:pPr>
      <w:r>
        <w:rPr>
          <w:rFonts w:cs="Times New Roman"/>
        </w:rPr>
      </w:r>
    </w:p>
    <w:p>
      <w:pPr>
        <w:pStyle w:val="Normal"/>
        <w:jc w:val="both"/>
        <w:rPr>
          <w:rFonts w:ascii="Times New Roman" w:hAnsi="Times New Roman" w:cs="Times New Roman"/>
          <w:b/>
          <w:bCs/>
        </w:rPr>
      </w:pPr>
      <w:r>
        <w:rPr>
          <w:rFonts w:cs="Times New Roman"/>
          <w:b/>
          <w:bCs/>
        </w:rPr>
        <w:t>10. Tiekėjų kūrybinės užduoties aprašymas, reikalavimai užduočiai, užduoties vertinimo tvarka ir balai:</w:t>
      </w:r>
    </w:p>
    <w:p>
      <w:pPr>
        <w:pStyle w:val="Normal"/>
        <w:jc w:val="right"/>
        <w:rPr>
          <w:rFonts w:ascii="Times New Roman" w:hAnsi="Times New Roman" w:cs="Times New Roman"/>
          <w:i/>
          <w:i/>
          <w:iCs/>
        </w:rPr>
      </w:pPr>
      <w:r>
        <w:rPr>
          <w:rFonts w:cs="Times New Roman"/>
          <w:i/>
          <w:iCs/>
        </w:rPr>
        <w:t>2 lentelė. Tiekėjų kūrybinės užduoties aprašymas, reikalavimai užduočiai, užduoties vertinimo tvarka ir balai</w:t>
      </w:r>
    </w:p>
    <w:tbl>
      <w:tblPr>
        <w:tblStyle w:val="TableGrid"/>
        <w:tblW w:w="1025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52"/>
      </w:tblGrid>
      <w:tr>
        <w:trPr/>
        <w:tc>
          <w:tcPr>
            <w:tcW w:w="10252" w:type="dxa"/>
            <w:tcBorders/>
          </w:tcPr>
          <w:p>
            <w:pPr>
              <w:pStyle w:val="Normal"/>
              <w:widowControl/>
              <w:spacing w:lineRule="auto" w:line="240" w:before="0" w:after="0"/>
              <w:jc w:val="both"/>
              <w:rPr>
                <w:color w:val="000000"/>
                <w:sz w:val="22"/>
                <w:szCs w:val="22"/>
              </w:rPr>
            </w:pPr>
            <w:r>
              <w:rPr>
                <w:rFonts w:eastAsia="Times New Roman" w:cs="Times New Roman"/>
                <w:b/>
                <w:bCs/>
                <w:color w:themeColor="text1" w:val="000000"/>
                <w:kern w:val="0"/>
                <w:sz w:val="22"/>
                <w:szCs w:val="22"/>
                <w:lang w:val="lt-LT" w:eastAsia="lt-LT" w:bidi="ar-SA"/>
              </w:rPr>
              <w:t>Užduotis:</w:t>
            </w:r>
            <w:r>
              <w:rPr>
                <w:rFonts w:eastAsia="Times New Roman" w:cs="Times New Roman"/>
                <w:color w:themeColor="text1" w:val="000000"/>
                <w:kern w:val="0"/>
                <w:sz w:val="22"/>
                <w:szCs w:val="22"/>
                <w:lang w:val="lt-LT" w:eastAsia="lt-LT" w:bidi="ar-SA"/>
              </w:rPr>
              <w:t xml:space="preserve"> parengti </w:t>
            </w:r>
            <w:r>
              <w:rPr>
                <w:rFonts w:eastAsia="Times New Roman" w:cs="Times New Roman"/>
                <w:color w:val="000000"/>
                <w:kern w:val="0"/>
                <w:sz w:val="22"/>
                <w:szCs w:val="22"/>
                <w:lang w:val="lt-LT" w:eastAsia="lt-LT" w:bidi="ar-SA"/>
              </w:rPr>
              <w:t>reklamos kampanijos pasiūlymą, skirtą naujų kraujo donorų pritraukimui</w:t>
            </w:r>
            <w:r>
              <w:rPr>
                <w:rFonts w:eastAsia="Times New Roman" w:cs="Times New Roman"/>
                <w:color w:themeColor="text1" w:val="000000"/>
                <w:kern w:val="0"/>
                <w:sz w:val="22"/>
                <w:szCs w:val="22"/>
                <w:lang w:val="lt-LT" w:eastAsia="lt-LT" w:bidi="ar-SA"/>
              </w:rPr>
              <w:t>.</w:t>
            </w:r>
          </w:p>
          <w:p>
            <w:pPr>
              <w:pStyle w:val="Normal"/>
              <w:widowControl/>
              <w:spacing w:lineRule="auto" w:line="240" w:before="0" w:after="0"/>
              <w:jc w:val="both"/>
              <w:rPr>
                <w:color w:themeColor="text1" w:val="000000"/>
                <w:sz w:val="22"/>
                <w:szCs w:val="22"/>
              </w:rPr>
            </w:pPr>
            <w:r>
              <w:rPr>
                <w:rFonts w:eastAsia="Times New Roman" w:cs="Times New Roman"/>
                <w:color w:themeColor="text1" w:val="000000"/>
                <w:kern w:val="0"/>
                <w:sz w:val="22"/>
                <w:szCs w:val="22"/>
                <w:lang w:val="lt-LT" w:eastAsia="lt-LT" w:bidi="ar-SA"/>
              </w:rPr>
              <w:t xml:space="preserve">Tiekėjas atliktą užduotį turi pateikti </w:t>
            </w:r>
            <w:r>
              <w:rPr>
                <w:rFonts w:eastAsia="Times New Roman" w:cs="Times New Roman"/>
                <w:b/>
                <w:bCs/>
                <w:color w:themeColor="text1" w:val="000000"/>
                <w:kern w:val="0"/>
                <w:sz w:val="22"/>
                <w:szCs w:val="22"/>
                <w:lang w:val="lt-LT" w:eastAsia="lt-LT" w:bidi="ar-SA"/>
              </w:rPr>
              <w:t>kartu su Pirminiu Pasiūlymu</w:t>
            </w:r>
            <w:r>
              <w:rPr>
                <w:rFonts w:eastAsia="Times New Roman" w:cs="Times New Roman"/>
                <w:color w:themeColor="text1" w:val="000000"/>
                <w:kern w:val="0"/>
                <w:sz w:val="22"/>
                <w:szCs w:val="22"/>
                <w:lang w:val="lt-LT" w:eastAsia="lt-LT" w:bidi="ar-SA"/>
              </w:rPr>
              <w:t xml:space="preserve"> (pasiūlymo dalis A).</w:t>
            </w:r>
            <w:r>
              <w:rPr>
                <w:rFonts w:eastAsia="Times New Roman" w:cs="Times New Roman"/>
                <w:color w:val="FF0000"/>
                <w:kern w:val="0"/>
                <w:sz w:val="22"/>
                <w:szCs w:val="22"/>
                <w:lang w:val="lt-LT" w:eastAsia="lt-LT" w:bidi="ar-SA"/>
              </w:rPr>
              <w:t xml:space="preserve"> </w:t>
            </w:r>
          </w:p>
          <w:p>
            <w:pPr>
              <w:pStyle w:val="Normal"/>
              <w:widowControl/>
              <w:spacing w:lineRule="auto" w:line="240" w:before="0" w:after="0"/>
              <w:jc w:val="both"/>
              <w:rPr>
                <w:color w:val="000000"/>
                <w:sz w:val="22"/>
                <w:szCs w:val="22"/>
              </w:rPr>
            </w:pPr>
            <w:r>
              <w:rPr>
                <w:rFonts w:eastAsia="Times New Roman" w:cs="Times New Roman"/>
                <w:b/>
                <w:bCs/>
                <w:color w:themeColor="text1" w:val="000000"/>
                <w:kern w:val="0"/>
                <w:sz w:val="22"/>
                <w:szCs w:val="22"/>
                <w:lang w:val="lt-LT" w:eastAsia="lt-LT" w:bidi="ar-SA"/>
              </w:rPr>
              <w:t>Užduoties atlikimo kalba</w:t>
            </w:r>
            <w:r>
              <w:rPr>
                <w:rFonts w:eastAsia="Times New Roman" w:cs="Times New Roman"/>
                <w:color w:themeColor="text1" w:val="000000"/>
                <w:kern w:val="0"/>
                <w:sz w:val="22"/>
                <w:szCs w:val="22"/>
                <w:lang w:val="lt-LT" w:eastAsia="lt-LT" w:bidi="ar-SA"/>
              </w:rPr>
              <w:t xml:space="preserve"> – lietuvių.</w:t>
            </w:r>
          </w:p>
          <w:p>
            <w:pPr>
              <w:pStyle w:val="Normal"/>
              <w:widowControl/>
              <w:spacing w:lineRule="auto" w:line="240" w:before="0" w:after="0"/>
              <w:jc w:val="both"/>
              <w:rPr>
                <w:b/>
                <w:color w:val="000000"/>
                <w:sz w:val="22"/>
                <w:szCs w:val="22"/>
              </w:rPr>
            </w:pPr>
            <w:r>
              <w:rPr>
                <w:rFonts w:eastAsia="Times New Roman" w:cs="Times New Roman"/>
                <w:b/>
                <w:color w:val="000000"/>
                <w:kern w:val="0"/>
                <w:sz w:val="22"/>
                <w:szCs w:val="22"/>
                <w:lang w:val="lt-LT" w:eastAsia="lt-LT" w:bidi="ar-SA"/>
              </w:rPr>
              <w:t xml:space="preserve">Užduoties aprašymas: </w:t>
            </w:r>
          </w:p>
          <w:p>
            <w:pPr>
              <w:pStyle w:val="Normal"/>
              <w:widowControl/>
              <w:spacing w:lineRule="auto" w:line="240" w:before="0" w:after="0"/>
              <w:jc w:val="both"/>
              <w:rPr>
                <w:color w:val="000000"/>
                <w:sz w:val="22"/>
                <w:szCs w:val="22"/>
              </w:rPr>
            </w:pPr>
            <w:r>
              <w:rPr>
                <w:rFonts w:eastAsia="Times New Roman" w:cs="Times New Roman"/>
                <w:color w:val="000000"/>
                <w:kern w:val="0"/>
                <w:sz w:val="22"/>
                <w:szCs w:val="22"/>
                <w:lang w:val="lt-LT" w:eastAsia="lt-LT" w:bidi="ar-SA"/>
              </w:rPr>
              <w:t>Parengti reklamos kampanijos pasiūlymą, skirtą naujų kraujo donorų pritraukimui, atsižvelgiant į tai, kad praėjusiais metais buvo stebimas pirmą kartą kraują dovanojančių asmenų skaičiaus mažėjimas, kartu išlaikant ir neigiamai nepaveikiant augančio grįžtančių donorų skaičiaus. Kampanija turi būti orientuota į 18–65 metų sveikus asmenis, galinčius tapti kraujo donorais, ir prisidėti prie ilgalaikio tikslo – auginti nuolat kraują dovanojančių žmonių skaičių, o ne tik paskatinti vienkartinę donorystę.</w:t>
            </w:r>
          </w:p>
          <w:p>
            <w:pPr>
              <w:pStyle w:val="Normal"/>
              <w:widowControl/>
              <w:spacing w:lineRule="auto" w:line="240" w:before="0" w:after="0"/>
              <w:jc w:val="both"/>
              <w:rPr>
                <w:color w:val="000000"/>
                <w:sz w:val="22"/>
                <w:szCs w:val="22"/>
              </w:rPr>
            </w:pPr>
            <w:r>
              <w:rPr>
                <w:rFonts w:eastAsia="Times New Roman" w:cs="Times New Roman"/>
                <w:color w:val="000000"/>
                <w:kern w:val="0"/>
                <w:sz w:val="22"/>
                <w:szCs w:val="22"/>
                <w:lang w:val="lt-LT" w:eastAsia="lt-LT" w:bidi="ar-SA"/>
              </w:rPr>
              <w:t>Pasiūlyme privaloma aiškiai identifikuoti pagrindinę problemą – naujų donorų skaičiaus mažėjimą – ir įvardyti ne mažiau kaip 3 konkrečias kraujo donorystės kliūtis, pavyzdžiui, psichologinius, informacinius, procesinius ar motyvacinius. Taip pat turi būti apibrėžta konkreti tikslinė auditorija, neapibrėžiant jos kaip „visi gyventojai“, ir pagrįsta, kodėl ši auditorija šiuo metu nėra donorai bei kuo ji skiriasi nuo grįžtančių donorų.</w:t>
            </w:r>
          </w:p>
          <w:p>
            <w:pPr>
              <w:pStyle w:val="Normal"/>
              <w:widowControl/>
              <w:spacing w:lineRule="auto" w:line="240" w:before="0" w:after="0"/>
              <w:jc w:val="both"/>
              <w:rPr>
                <w:color w:val="000000"/>
                <w:sz w:val="22"/>
                <w:szCs w:val="22"/>
              </w:rPr>
            </w:pPr>
            <w:r>
              <w:rPr>
                <w:rFonts w:eastAsia="Times New Roman" w:cs="Times New Roman"/>
                <w:color w:val="000000"/>
                <w:kern w:val="0"/>
                <w:sz w:val="22"/>
                <w:szCs w:val="22"/>
                <w:lang w:val="lt-LT" w:eastAsia="lt-LT" w:bidi="ar-SA"/>
              </w:rPr>
              <w:t>Tiekėjas turi pateikti vieną aiškiai suformuluotą kampanijos koncepciją, nurodydamas, kurią konkrečią donorystės kliūtį ji sprendžia ir kokiu mechanizmu tai daroma, taip pat pasiūlyti konkretų pagrindinį kampanijos šūkį. Be to, būtina parinkti ir išvardyti komunikacijos kanalus, kiekvienam jų nurodant tikslinę auditoriją, kanalo funkciją ir kampanijos etapą, bei pateikti struktūruotą media planą lentelės forma (kanalas, formatas, tikslas, etapas).</w:t>
            </w:r>
          </w:p>
          <w:p>
            <w:pPr>
              <w:pStyle w:val="Normal"/>
              <w:widowControl/>
              <w:spacing w:lineRule="auto" w:line="240" w:before="0" w:after="0"/>
              <w:jc w:val="both"/>
              <w:rPr>
                <w:color w:val="000000"/>
                <w:sz w:val="22"/>
                <w:szCs w:val="22"/>
              </w:rPr>
            </w:pPr>
            <w:r>
              <w:rPr>
                <w:rFonts w:eastAsia="Times New Roman" w:cs="Times New Roman"/>
                <w:color w:val="000000"/>
                <w:kern w:val="0"/>
                <w:sz w:val="22"/>
                <w:szCs w:val="22"/>
                <w:lang w:val="lt-LT" w:eastAsia="lt-LT" w:bidi="ar-SA"/>
              </w:rPr>
              <w:t>Pasiūlyme taip pat turi būti aprašytas nuoseklus vartotojo kelias nuo pirmojo kontakto su kampanijos žinute iki aiškiai įvardyto galutinio veiksmo – kraujo donorystės, taip pat pateiktas rašytinis visų pagrindinių sprendimų pagrindimas, susiejant juos su kampanijos tikslu, tiksline auditorija ir identifikuotomus donorystės kliūtimis. Visas pasiūlymas turi būti vientisas, struktūruotas, realiai įgyvendinamas, socialiai atsakingas.</w:t>
            </w:r>
          </w:p>
          <w:p>
            <w:pPr>
              <w:pStyle w:val="Normal"/>
              <w:widowControl/>
              <w:spacing w:lineRule="auto" w:line="240" w:before="0" w:after="0"/>
              <w:jc w:val="both"/>
              <w:rPr>
                <w:color w:val="000000"/>
                <w:sz w:val="22"/>
                <w:szCs w:val="22"/>
              </w:rPr>
            </w:pPr>
            <w:r>
              <w:rPr>
                <w:rFonts w:eastAsia="Times New Roman" w:cs="Times New Roman"/>
                <w:b/>
                <w:bCs/>
                <w:color w:val="000000"/>
                <w:kern w:val="0"/>
                <w:sz w:val="22"/>
                <w:szCs w:val="22"/>
                <w:lang w:val="lt-LT" w:eastAsia="lt-LT" w:bidi="ar-SA"/>
              </w:rPr>
              <w:t>Reklamos kampanijai įgyvendinti skirtas biudžetas – 80 000 Eur (su PVM)</w:t>
            </w:r>
            <w:r>
              <w:rPr>
                <w:rFonts w:eastAsia="Times New Roman" w:cs="Times New Roman"/>
                <w:color w:val="000000"/>
                <w:kern w:val="0"/>
                <w:sz w:val="22"/>
                <w:szCs w:val="22"/>
                <w:lang w:val="lt-LT" w:eastAsia="lt-LT" w:bidi="ar-SA"/>
              </w:rPr>
              <w:t>. Tiekėjai turi pateikti sprendimus, kurie būtų įgyvendinami neviršijant nurodyto biudžeto, aiškiai parodant, kaip numatytos veiklos ir kanalai telpa į šią sumą.</w:t>
            </w:r>
          </w:p>
          <w:p>
            <w:pPr>
              <w:pStyle w:val="Normal"/>
              <w:widowControl/>
              <w:spacing w:lineRule="auto" w:line="240" w:before="0" w:after="0"/>
              <w:jc w:val="both"/>
              <w:rPr>
                <w:color w:val="000000"/>
                <w:sz w:val="22"/>
                <w:szCs w:val="22"/>
              </w:rPr>
            </w:pPr>
            <w:r>
              <w:rPr>
                <w:rFonts w:eastAsia="Times New Roman" w:cs="Times New Roman"/>
                <w:color w:val="000000"/>
                <w:kern w:val="0"/>
                <w:sz w:val="22"/>
                <w:szCs w:val="22"/>
                <w:lang w:val="lt-LT" w:eastAsia="lt-LT" w:bidi="ar-SA"/>
              </w:rPr>
            </w:r>
          </w:p>
        </w:tc>
      </w:tr>
      <w:tr>
        <w:trPr/>
        <w:tc>
          <w:tcPr>
            <w:tcW w:w="10252" w:type="dxa"/>
            <w:tcBorders/>
            <w:shd w:color="auto" w:fill="FBE4D5" w:themeFill="accent2" w:themeFillTint="33" w:val="clear"/>
          </w:tcPr>
          <w:p>
            <w:pPr>
              <w:pStyle w:val="Normal"/>
              <w:widowControl/>
              <w:spacing w:lineRule="auto" w:line="240" w:before="0" w:after="0"/>
              <w:jc w:val="center"/>
              <w:rPr>
                <w:b/>
                <w:bCs/>
                <w:color w:val="FF0000"/>
                <w:sz w:val="22"/>
                <w:szCs w:val="22"/>
              </w:rPr>
            </w:pPr>
            <w:r>
              <w:rPr>
                <w:rFonts w:eastAsia="Times New Roman" w:cs="Times New Roman"/>
                <w:b/>
                <w:bCs/>
                <w:kern w:val="0"/>
                <w:sz w:val="22"/>
                <w:szCs w:val="22"/>
                <w:lang w:val="lt-LT" w:eastAsia="lt-LT" w:bidi="ar-SA"/>
              </w:rPr>
              <w:t>Vertinimo kriterijai</w:t>
            </w:r>
          </w:p>
        </w:tc>
      </w:tr>
      <w:tr>
        <w:trPr/>
        <w:tc>
          <w:tcPr>
            <w:tcW w:w="10252" w:type="dxa"/>
            <w:tcBorders/>
          </w:tcPr>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Vertinant dalyvių atliktas kūrybines užduotis bus vertinama, ar įvykdyti užduoties reikalavimai, o taip pat ir užduoties: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 Problemos ir tikslo supratimas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w:t>
              <w:tab/>
              <w:t>Ar pasiūlyme įvardyta pagrindinė problema – pirmą kartą donorų skaičiaus mažėjimas?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2.</w:t>
              <w:tab/>
              <w:t>Ar nurodyta, kad kampanijos tikslas – naujų donorų pritraukimas, kartu neigiamai nepaveikiant grįžtančių donorų skaičiaus?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2. Donorystės kliūtys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3.</w:t>
              <w:tab/>
              <w:t>Ar įvardytos ne mažiau kaip 3 konkrečios donorystės kliūtys?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4.</w:t>
              <w:tab/>
              <w:t>Ar parodyta, kad šios kliūtys būdingos būtent naujiems donorams?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3. Tikslinė auditorija</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5.</w:t>
              <w:tab/>
              <w:t>Ar tikslinė auditorija apibrėžta konkrečiai (ne „visi gyventojai“)?</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6.</w:t>
              <w:tab/>
              <w:t>Ar paaiškinta, kodėl ši auditorija šiuo metu nėra donorai?</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7.</w:t>
              <w:tab/>
              <w:t>Ar įvardyti skirtumai tarp šios auditorijos ir grįžtančių donorų?</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4. Kampanijos koncepcija</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8.</w:t>
              <w:tab/>
              <w:t>Ar pateikta viena aiški kampanijos koncepcija?</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9.</w:t>
              <w:tab/>
              <w:t>Ar nurodyta, kurią konkrečią donorystės kliūtį ši koncepcija sprendžia?</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10.</w:t>
              <w:tab/>
              <w:t>Ar pateiktas pagrindinis kampanijos šūkis?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5. Komunikacija ir media planas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11.</w:t>
              <w:tab/>
              <w:t>Ar parinkti komunikacijos kanalai atitinka tikslinę auditoriją?</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12.</w:t>
              <w:tab/>
              <w:t>Ar pateiktas struktūruotas media planas lentelės forma?</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6. Vartotojo kelias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13.</w:t>
              <w:tab/>
              <w:t>Ar aprašytas nuoseklus vartotojo kelias nuo pirmo kontakto iki kraujo donorystės?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14.</w:t>
              <w:tab/>
              <w:t>Ar įvardytas galutinis veiksmas – kraujo donorystė?</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________________________________________</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7. Biudžetas ir įgyvendinamumas</w:t>
            </w:r>
          </w:p>
          <w:p>
            <w:pPr>
              <w:pStyle w:val="Normal"/>
              <w:widowControl/>
              <w:spacing w:lineRule="auto" w:line="240" w:before="0" w:after="0"/>
              <w:jc w:val="left"/>
              <w:rPr>
                <w:bCs/>
                <w:sz w:val="22"/>
                <w:szCs w:val="22"/>
              </w:rPr>
            </w:pPr>
            <w:r>
              <w:rPr>
                <w:rFonts w:eastAsia="Times New Roman" w:cs="Times New Roman"/>
                <w:bCs/>
                <w:kern w:val="0"/>
                <w:sz w:val="22"/>
                <w:szCs w:val="22"/>
                <w:lang w:val="lt-LT" w:eastAsia="lt-LT" w:bidi="ar-SA"/>
              </w:rPr>
              <w:t>15.</w:t>
              <w:tab/>
              <w:t>Ar parodyta, kad pasiūlymas neviršija 80 000 Eur (su PVM)?</w:t>
            </w:r>
          </w:p>
          <w:p>
            <w:pPr>
              <w:pStyle w:val="Normal"/>
              <w:widowControl/>
              <w:spacing w:lineRule="auto" w:line="240" w:before="0" w:after="0"/>
              <w:jc w:val="left"/>
              <w:rPr>
                <w:color w:val="FF0000"/>
                <w:sz w:val="22"/>
                <w:szCs w:val="22"/>
              </w:rPr>
            </w:pPr>
            <w:r>
              <w:rPr>
                <w:rFonts w:eastAsia="Times New Roman" w:cs="Times New Roman"/>
                <w:color w:val="FF0000"/>
                <w:kern w:val="0"/>
                <w:sz w:val="22"/>
                <w:szCs w:val="22"/>
                <w:lang w:val="lt-LT" w:eastAsia="lt-LT" w:bidi="ar-SA"/>
              </w:rPr>
            </w:r>
          </w:p>
        </w:tc>
      </w:tr>
      <w:tr>
        <w:trPr/>
        <w:tc>
          <w:tcPr>
            <w:tcW w:w="10252" w:type="dxa"/>
            <w:tcBorders/>
            <w:shd w:color="auto" w:fill="FBE4D5" w:themeFill="accent2" w:themeFillTint="33" w:val="clear"/>
          </w:tcPr>
          <w:p>
            <w:pPr>
              <w:pStyle w:val="Normal"/>
              <w:widowControl/>
              <w:spacing w:lineRule="auto" w:line="240" w:before="0" w:after="0"/>
              <w:jc w:val="center"/>
              <w:rPr>
                <w:b/>
                <w:bCs/>
                <w:i/>
                <w:i/>
                <w:iCs/>
                <w:sz w:val="22"/>
                <w:szCs w:val="22"/>
                <w:lang w:val="en-US"/>
              </w:rPr>
            </w:pPr>
            <w:r>
              <w:rPr>
                <w:rFonts w:eastAsia="Times New Roman" w:cs="Times New Roman"/>
                <w:b/>
                <w:bCs/>
                <w:kern w:val="0"/>
                <w:sz w:val="22"/>
                <w:szCs w:val="22"/>
                <w:lang w:val="lt-LT" w:eastAsia="lt-LT" w:bidi="ar-SA"/>
              </w:rPr>
              <w:t>Vertinimo aprašymas</w:t>
            </w:r>
          </w:p>
        </w:tc>
      </w:tr>
      <w:tr>
        <w:trPr/>
        <w:tc>
          <w:tcPr>
            <w:tcW w:w="10252" w:type="dxa"/>
            <w:tcBorders/>
          </w:tcPr>
          <w:p>
            <w:pPr>
              <w:pStyle w:val="NoSpacing"/>
              <w:widowControl/>
              <w:spacing w:before="0" w:after="0"/>
              <w:jc w:val="left"/>
              <w:rPr>
                <w:rFonts w:eastAsia="MS Mincho"/>
                <w:sz w:val="22"/>
                <w:szCs w:val="22"/>
              </w:rPr>
            </w:pPr>
            <w:r>
              <w:rPr>
                <w:rFonts w:eastAsia="MS Mincho" w:cs="Times New Roman"/>
                <w:kern w:val="0"/>
                <w:sz w:val="22"/>
                <w:szCs w:val="22"/>
                <w:lang w:val="lt-LT" w:eastAsia="lt-LT" w:bidi="ar-SA"/>
              </w:rPr>
              <w:t>1. Kūrybinę užduotį sudaro 7 vertinimo kriterijai, kurie išskaidyti į 15 kontrolinių klausimų.</w:t>
              <w:br/>
              <w:t>2. Kiekvienas kontrolinis klausimas vertinamas dvejetainiu principu:</w:t>
              <w:br/>
              <w:t xml:space="preserve">   – skiriamas 1 balas, jeigu reikalavimas aiškiai atitinka;</w:t>
              <w:br/>
              <w:t xml:space="preserve">   – skiriama 0 balų, jeigu reikalavimas neatitinka arba nepateiktas. </w:t>
            </w:r>
          </w:p>
          <w:p>
            <w:pPr>
              <w:pStyle w:val="NoSpacing"/>
              <w:widowControl/>
              <w:spacing w:before="0" w:after="0"/>
              <w:jc w:val="left"/>
              <w:rPr>
                <w:rFonts w:eastAsia="MS Mincho"/>
                <w:sz w:val="22"/>
                <w:szCs w:val="22"/>
              </w:rPr>
            </w:pPr>
            <w:r>
              <w:rPr>
                <w:rFonts w:eastAsia="MS Mincho" w:cs="Times New Roman"/>
                <w:kern w:val="0"/>
                <w:sz w:val="22"/>
                <w:szCs w:val="22"/>
                <w:lang w:val="lt-LT" w:eastAsia="lt-LT" w:bidi="ar-SA"/>
              </w:rPr>
              <w:t>3. Tarpiniai balai neskiriami.</w:t>
            </w:r>
          </w:p>
          <w:p>
            <w:pPr>
              <w:pStyle w:val="NoSpacing"/>
              <w:widowControl/>
              <w:spacing w:before="0" w:after="0"/>
              <w:jc w:val="left"/>
              <w:rPr>
                <w:rFonts w:eastAsia="MS Mincho"/>
                <w:sz w:val="22"/>
                <w:szCs w:val="22"/>
              </w:rPr>
            </w:pPr>
            <w:r>
              <w:rPr>
                <w:rFonts w:eastAsia="MS Mincho" w:cs="Times New Roman"/>
                <w:kern w:val="0"/>
                <w:sz w:val="22"/>
                <w:szCs w:val="22"/>
                <w:lang w:val="lt-LT" w:eastAsia="lt-LT" w:bidi="ar-SA"/>
              </w:rPr>
              <w:t>4. Maksimali galima balų suma už kūrybinę užduotį – 15 balų.</w:t>
              <w:br/>
              <w:t>5. Kiekvieno eksperto suteiktų balų suma apskaičiuojama sudedant visų 15 klausimų balus.</w:t>
              <w:br/>
              <w:t>6. Galutinė kūrybinės užduoties balų reikšmė apskaičiuojama sudedant visų ekspertų suteiktus balus ir gautą sumą padalinant iš vertinusių ekspertų skaičiaus.</w:t>
              <w:br/>
              <w:t xml:space="preserve">7. Jei užduotis nepateikta, skiriama 0 balų. </w:t>
            </w:r>
          </w:p>
          <w:p>
            <w:pPr>
              <w:pStyle w:val="Normal"/>
              <w:widowControl/>
              <w:spacing w:lineRule="auto" w:line="240" w:before="0" w:after="0"/>
              <w:jc w:val="both"/>
              <w:rPr>
                <w:sz w:val="22"/>
                <w:szCs w:val="22"/>
              </w:rPr>
            </w:pPr>
            <w:r>
              <w:rPr>
                <w:rFonts w:eastAsia="Times New Roman" w:cs="Times New Roman"/>
                <w:kern w:val="0"/>
                <w:sz w:val="22"/>
                <w:szCs w:val="22"/>
                <w:lang w:val="lt-LT" w:eastAsia="lt-LT" w:bidi="ar-SA"/>
              </w:rPr>
            </w:r>
          </w:p>
        </w:tc>
      </w:tr>
    </w:tbl>
    <w:p>
      <w:pPr>
        <w:pStyle w:val="Normal"/>
        <w:keepNext w:val="true"/>
        <w:keepLines/>
        <w:numPr>
          <w:ilvl w:val="0"/>
          <w:numId w:val="0"/>
        </w:numPr>
        <w:spacing w:lineRule="auto" w:line="276" w:before="200" w:after="0"/>
        <w:outlineLvl w:val="1"/>
        <w:rPr>
          <w:rFonts w:ascii="Times New Roman" w:hAnsi="Times New Roman" w:cs="Times New Roman"/>
          <w:i/>
          <w:i/>
          <w:iCs/>
          <w:lang w:val="es-ES"/>
        </w:rPr>
      </w:pPr>
      <w:r>
        <w:rPr>
          <w:rFonts w:cs="Times New Roman"/>
          <w:i/>
          <w:iCs/>
          <w:lang w:val="es-ES"/>
        </w:rPr>
      </w:r>
    </w:p>
    <w:sectPr>
      <w:headerReference w:type="default" r:id="rId4"/>
      <w:type w:val="nextPage"/>
      <w:pgSz w:w="11906" w:h="16838"/>
      <w:pgMar w:left="1344" w:right="567" w:gutter="0" w:header="709" w:top="76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 w:name="Liberation Sans">
    <w:altName w:val="Arial"/>
    <w:charset w:val="ba"/>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28754867"/>
    </w:sdtPr>
    <w:sdtContent>
      <w:p>
        <w:pPr>
          <w:pStyle w:val="Header"/>
          <w:jc w:val="center"/>
          <w:rPr/>
        </w:pPr>
        <w:r>
          <w:rPr/>
          <w:fldChar w:fldCharType="begin"/>
        </w:r>
        <w:r>
          <w:rPr/>
          <w:instrText xml:space="preserve"> PAGE </w:instrText>
        </w:r>
        <w:r>
          <w:rPr/>
          <w:fldChar w:fldCharType="separate"/>
        </w:r>
        <w:r>
          <w:rPr/>
          <w:t>8</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3321"/>
    <w:pPr>
      <w:widowControl/>
      <w:bidi w:val="0"/>
      <w:spacing w:before="0" w:after="0"/>
      <w:jc w:val="left"/>
    </w:pPr>
    <w:rPr>
      <w:rFonts w:ascii="Times New Roman" w:hAnsi="Times New Roman" w:eastAsia="Calibri" w:cs="Times New Roman" w:eastAsiaTheme="minorHAnsi"/>
      <w:color w:val="auto"/>
      <w:kern w:val="0"/>
      <w:sz w:val="24"/>
      <w:szCs w:val="24"/>
      <w:lang w:val="en-US" w:eastAsia="en-US" w:bidi="ar-SA"/>
    </w:rPr>
  </w:style>
  <w:style w:type="character" w:styleId="DefaultParagraphFont" w:default="1">
    <w:name w:val="Default Paragraph Font"/>
    <w:uiPriority w:val="1"/>
    <w:unhideWhenUsed/>
    <w:qFormat/>
    <w:rPr/>
  </w:style>
  <w:style w:type="character" w:styleId="Numatytasispastraiposriftas1" w:customStyle="1">
    <w:name w:val="Numatytasis pastraipos šriftas1"/>
    <w:qFormat/>
    <w:rsid w:val="00993300"/>
    <w:rPr/>
  </w:style>
  <w:style w:type="character" w:styleId="BalloonTextChar" w:customStyle="1">
    <w:name w:val="Balloon Text Char"/>
    <w:basedOn w:val="DefaultParagraphFont"/>
    <w:link w:val="BalloonText"/>
    <w:uiPriority w:val="99"/>
    <w:semiHidden/>
    <w:qFormat/>
    <w:rsid w:val="00e805a8"/>
    <w:rPr>
      <w:rFonts w:ascii="Segoe UI" w:hAnsi="Segoe UI" w:cs="Segoe UI"/>
      <w:sz w:val="18"/>
      <w:szCs w:val="18"/>
    </w:rPr>
  </w:style>
  <w:style w:type="character" w:styleId="HeaderChar" w:customStyle="1">
    <w:name w:val="Header Char"/>
    <w:basedOn w:val="DefaultParagraphFont"/>
    <w:uiPriority w:val="99"/>
    <w:qFormat/>
    <w:rsid w:val="007e18ee"/>
    <w:rPr/>
  </w:style>
  <w:style w:type="character" w:styleId="FooterChar" w:customStyle="1">
    <w:name w:val="Footer Char"/>
    <w:basedOn w:val="DefaultParagraphFont"/>
    <w:uiPriority w:val="99"/>
    <w:qFormat/>
    <w:rsid w:val="007e18ee"/>
    <w:rPr/>
  </w:style>
  <w:style w:type="character" w:styleId="BodyTextChar" w:customStyle="1">
    <w:name w:val="Body Text Char"/>
    <w:basedOn w:val="DefaultParagraphFont"/>
    <w:qFormat/>
    <w:rsid w:val="00f908b3"/>
    <w:rPr>
      <w:rFonts w:ascii="Arial" w:hAnsi="Arial" w:eastAsia="Times New Roman" w:cs="Arial"/>
      <w:sz w:val="20"/>
      <w:szCs w:val="20"/>
    </w:rPr>
  </w:style>
  <w:style w:type="character" w:styleId="Apple-converted-space" w:customStyle="1">
    <w:name w:val="apple-converted-space"/>
    <w:basedOn w:val="DefaultParagraphFont"/>
    <w:qFormat/>
    <w:rsid w:val="00875c53"/>
    <w:rPr/>
  </w:style>
  <w:style w:type="character" w:styleId="Hyperlink">
    <w:name w:val="Hyperlink"/>
    <w:rsid w:val="00857d3b"/>
    <w:rPr>
      <w:color w:val="0000FF"/>
      <w:u w:val="single"/>
    </w:rPr>
  </w:style>
  <w:style w:type="character" w:styleId="Numatytasispastraiposriftas2" w:customStyle="1">
    <w:name w:val="Numatytasis pastraipos šriftas2"/>
    <w:qFormat/>
    <w:rsid w:val="00707dc3"/>
    <w:rPr/>
  </w:style>
  <w:style w:type="character" w:styleId="Numatytasispastraiposriftas3" w:customStyle="1">
    <w:name w:val="Numatytasis pastraipos šriftas3"/>
    <w:qFormat/>
    <w:rsid w:val="00de4ef3"/>
    <w:rPr/>
  </w:style>
  <w:style w:type="character" w:styleId="FollowedHyperlink">
    <w:name w:val="FollowedHyperlink"/>
    <w:basedOn w:val="DefaultParagraphFont"/>
    <w:uiPriority w:val="99"/>
    <w:semiHidden/>
    <w:unhideWhenUsed/>
    <w:rsid w:val="00d91833"/>
    <w:rPr>
      <w:color w:themeColor="followedHyperlink" w:val="954F72"/>
      <w:u w:val="single"/>
    </w:rPr>
  </w:style>
  <w:style w:type="character" w:styleId="UnresolvedMention1" w:customStyle="1">
    <w:name w:val="Unresolved Mention1"/>
    <w:basedOn w:val="DefaultParagraphFont"/>
    <w:uiPriority w:val="99"/>
    <w:semiHidden/>
    <w:unhideWhenUsed/>
    <w:qFormat/>
    <w:rsid w:val="000a03df"/>
    <w:rPr>
      <w:color w:val="808080"/>
      <w:shd w:fill="E6E6E6" w:val="clear"/>
    </w:rPr>
  </w:style>
  <w:style w:type="character" w:styleId="UnresolvedMention2" w:customStyle="1">
    <w:name w:val="Unresolved Mention2"/>
    <w:basedOn w:val="DefaultParagraphFont"/>
    <w:uiPriority w:val="99"/>
    <w:semiHidden/>
    <w:unhideWhenUsed/>
    <w:qFormat/>
    <w:rsid w:val="00754d24"/>
    <w:rPr>
      <w:color w:val="808080"/>
      <w:shd w:fill="E6E6E6" w:val="clear"/>
    </w:rPr>
  </w:style>
  <w:style w:type="character" w:styleId="Annotationreference">
    <w:name w:val="annotation reference"/>
    <w:basedOn w:val="DefaultParagraphFont"/>
    <w:uiPriority w:val="99"/>
    <w:semiHidden/>
    <w:unhideWhenUsed/>
    <w:qFormat/>
    <w:rsid w:val="003464d0"/>
    <w:rPr>
      <w:sz w:val="16"/>
      <w:szCs w:val="16"/>
    </w:rPr>
  </w:style>
  <w:style w:type="character" w:styleId="CommentTextChar" w:customStyle="1">
    <w:name w:val="Comment Text Char"/>
    <w:basedOn w:val="DefaultParagraphFont"/>
    <w:link w:val="Annotationtext"/>
    <w:uiPriority w:val="99"/>
    <w:semiHidden/>
    <w:qFormat/>
    <w:rsid w:val="003464d0"/>
    <w:rPr>
      <w:sz w:val="20"/>
      <w:szCs w:val="20"/>
    </w:rPr>
  </w:style>
  <w:style w:type="character" w:styleId="CommentSubjectChar" w:customStyle="1">
    <w:name w:val="Comment Subject Char"/>
    <w:basedOn w:val="CommentTextChar"/>
    <w:link w:val="Annotationsubject"/>
    <w:uiPriority w:val="99"/>
    <w:semiHidden/>
    <w:qFormat/>
    <w:rsid w:val="003464d0"/>
    <w:rPr>
      <w:b/>
      <w:bCs/>
      <w:sz w:val="20"/>
      <w:szCs w:val="20"/>
    </w:rPr>
  </w:style>
  <w:style w:type="character" w:styleId="ListParagraphChar" w:customStyle="1">
    <w:name w:val="List Paragraph Char"/>
    <w:link w:val="ListParagraph"/>
    <w:uiPriority w:val="34"/>
    <w:qFormat/>
    <w:rsid w:val="008a4734"/>
    <w:rPr/>
  </w:style>
  <w:style w:type="character" w:styleId="UnresolvedMention3" w:customStyle="1">
    <w:name w:val="Unresolved Mention3"/>
    <w:basedOn w:val="DefaultParagraphFont"/>
    <w:uiPriority w:val="99"/>
    <w:semiHidden/>
    <w:unhideWhenUsed/>
    <w:qFormat/>
    <w:rsid w:val="00aa7974"/>
    <w:rPr>
      <w:color w:val="605E5C"/>
      <w:shd w:fill="E1DFDD" w:val="clear"/>
    </w:rPr>
  </w:style>
  <w:style w:type="character" w:styleId="Strong">
    <w:name w:val="Strong"/>
    <w:basedOn w:val="DefaultParagraphFont"/>
    <w:uiPriority w:val="22"/>
    <w:qFormat/>
    <w:rsid w:val="00402bf7"/>
    <w:rPr>
      <w:b/>
      <w:bCs/>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f908b3"/>
    <w:pPr>
      <w:widowControl w:val="false"/>
      <w:spacing w:before="0" w:after="120"/>
      <w:textAlignment w:val="baseline"/>
    </w:pPr>
    <w:rPr>
      <w:rFonts w:ascii="Arial" w:hAnsi="Arial" w:eastAsia="Times New Roman" w:cs="Arial"/>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2d632b"/>
    <w:pPr>
      <w:spacing w:before="0" w:after="0"/>
      <w:ind w:left="720"/>
      <w:contextualSpacing/>
    </w:pPr>
    <w:rPr/>
  </w:style>
  <w:style w:type="paragraph" w:styleId="Pagrindinistekstas1" w:customStyle="1">
    <w:name w:val="Pagrindinis tekstas1"/>
    <w:basedOn w:val="Normal"/>
    <w:qFormat/>
    <w:rsid w:val="007e18ee"/>
    <w:pPr>
      <w:suppressAutoHyphens w:val="true"/>
      <w:jc w:val="both"/>
      <w:textAlignment w:val="baseline"/>
    </w:pPr>
    <w:rPr>
      <w:rFonts w:ascii="Arial" w:hAnsi="Arial" w:eastAsia="Times New Roman" w:cs="Arial"/>
      <w:lang w:val="lt-LT"/>
    </w:rPr>
  </w:style>
  <w:style w:type="paragraph" w:styleId="Sraopastraipa1" w:customStyle="1">
    <w:name w:val="Sąrašo pastraipa1"/>
    <w:basedOn w:val="Normal"/>
    <w:qFormat/>
    <w:rsid w:val="00993300"/>
    <w:pPr>
      <w:widowControl w:val="false"/>
      <w:suppressAutoHyphens w:val="true"/>
      <w:ind w:left="720"/>
      <w:textAlignment w:val="baseline"/>
    </w:pPr>
    <w:rPr>
      <w:rFonts w:ascii="Arial" w:hAnsi="Arial" w:eastAsia="Times New Roman" w:cs="Arial"/>
      <w:sz w:val="20"/>
      <w:szCs w:val="20"/>
    </w:rPr>
  </w:style>
  <w:style w:type="paragraph" w:styleId="BalloonText">
    <w:name w:val="Balloon Text"/>
    <w:basedOn w:val="Normal"/>
    <w:link w:val="BalloonTextChar"/>
    <w:uiPriority w:val="99"/>
    <w:semiHidden/>
    <w:unhideWhenUsed/>
    <w:qFormat/>
    <w:rsid w:val="00e805a8"/>
    <w:pPr/>
    <w:rPr>
      <w:rFonts w:ascii="Segoe UI" w:hAnsi="Segoe UI" w:cs="Segoe UI"/>
      <w:sz w:val="18"/>
      <w:szCs w:val="18"/>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7e18ee"/>
    <w:pPr>
      <w:tabs>
        <w:tab w:val="clear" w:pos="720"/>
        <w:tab w:val="center" w:pos="4680" w:leader="none"/>
        <w:tab w:val="right" w:pos="9360" w:leader="none"/>
      </w:tabs>
    </w:pPr>
    <w:rPr/>
  </w:style>
  <w:style w:type="paragraph" w:styleId="Footer">
    <w:name w:val="Footer"/>
    <w:basedOn w:val="Normal"/>
    <w:link w:val="FooterChar"/>
    <w:uiPriority w:val="99"/>
    <w:unhideWhenUsed/>
    <w:rsid w:val="007e18ee"/>
    <w:pPr>
      <w:tabs>
        <w:tab w:val="clear" w:pos="720"/>
        <w:tab w:val="center" w:pos="4680" w:leader="none"/>
        <w:tab w:val="right" w:pos="9360" w:leader="none"/>
      </w:tabs>
    </w:pPr>
    <w:rPr/>
  </w:style>
  <w:style w:type="paragraph" w:styleId="Prastasis1" w:customStyle="1">
    <w:name w:val="Įprastasis1"/>
    <w:qFormat/>
    <w:rsid w:val="008f43ac"/>
    <w:pPr>
      <w:widowControl w:val="false"/>
      <w:suppressAutoHyphens w:val="true"/>
      <w:bidi w:val="0"/>
      <w:spacing w:before="0" w:after="0"/>
      <w:jc w:val="left"/>
      <w:textAlignment w:val="baseline"/>
    </w:pPr>
    <w:rPr>
      <w:rFonts w:ascii="Arial" w:hAnsi="Arial" w:eastAsia="Times New Roman" w:cs="Arial"/>
      <w:color w:val="auto"/>
      <w:kern w:val="0"/>
      <w:sz w:val="20"/>
      <w:szCs w:val="20"/>
      <w:lang w:val="en-US" w:eastAsia="en-US" w:bidi="ar-SA"/>
    </w:rPr>
  </w:style>
  <w:style w:type="paragraph" w:styleId="Annotationtext">
    <w:name w:val="annotation text"/>
    <w:basedOn w:val="Normal"/>
    <w:link w:val="CommentTextChar"/>
    <w:uiPriority w:val="99"/>
    <w:semiHidden/>
    <w:unhideWhenUsed/>
    <w:qFormat/>
    <w:rsid w:val="003464d0"/>
    <w:pPr/>
    <w:rPr>
      <w:sz w:val="20"/>
      <w:szCs w:val="20"/>
    </w:rPr>
  </w:style>
  <w:style w:type="paragraph" w:styleId="Annotationsubject">
    <w:name w:val="annotation subject"/>
    <w:basedOn w:val="Annotationtext"/>
    <w:next w:val="Annotationtext"/>
    <w:link w:val="CommentSubjectChar"/>
    <w:uiPriority w:val="99"/>
    <w:semiHidden/>
    <w:unhideWhenUsed/>
    <w:qFormat/>
    <w:rsid w:val="003464d0"/>
    <w:pPr/>
    <w:rPr>
      <w:b/>
      <w:bCs/>
    </w:rPr>
  </w:style>
  <w:style w:type="paragraph" w:styleId="Title-doc-first" w:customStyle="1">
    <w:name w:val="title-doc-first"/>
    <w:basedOn w:val="Normal"/>
    <w:qFormat/>
    <w:rsid w:val="003e14e6"/>
    <w:pPr>
      <w:spacing w:beforeAutospacing="1" w:afterAutospacing="1"/>
    </w:pPr>
    <w:rPr>
      <w:rFonts w:eastAsia="Times New Roman"/>
    </w:rPr>
  </w:style>
  <w:style w:type="paragraph" w:styleId="Title-doc-last" w:customStyle="1">
    <w:name w:val="title-doc-last"/>
    <w:basedOn w:val="Normal"/>
    <w:qFormat/>
    <w:rsid w:val="003e14e6"/>
    <w:pPr>
      <w:spacing w:beforeAutospacing="1" w:afterAutospacing="1"/>
    </w:pPr>
    <w:rPr>
      <w:rFonts w:eastAsia="Times New Roman"/>
    </w:rPr>
  </w:style>
  <w:style w:type="paragraph" w:styleId="Rtejustify" w:customStyle="1">
    <w:name w:val="rtejustify"/>
    <w:basedOn w:val="Normal"/>
    <w:qFormat/>
    <w:rsid w:val="00462838"/>
    <w:pPr>
      <w:spacing w:beforeAutospacing="1" w:afterAutospacing="1"/>
    </w:pPr>
    <w:rPr>
      <w:rFonts w:eastAsia="Times New Roman"/>
    </w:rPr>
  </w:style>
  <w:style w:type="paragraph" w:styleId="Revision">
    <w:name w:val="Revision"/>
    <w:uiPriority w:val="99"/>
    <w:semiHidden/>
    <w:qFormat/>
    <w:rsid w:val="00aa7974"/>
    <w:pPr>
      <w:widowControl/>
      <w:bidi w:val="0"/>
      <w:spacing w:before="0" w:after="0"/>
      <w:jc w:val="left"/>
    </w:pPr>
    <w:rPr>
      <w:rFonts w:ascii="Times New Roman" w:hAnsi="Times New Roman" w:eastAsia="Calibri" w:cs="Times New Roman" w:eastAsiaTheme="minorHAnsi"/>
      <w:color w:val="auto"/>
      <w:kern w:val="0"/>
      <w:sz w:val="24"/>
      <w:szCs w:val="24"/>
      <w:lang w:val="en-US" w:eastAsia="en-US" w:bidi="ar-SA"/>
    </w:rPr>
  </w:style>
  <w:style w:type="paragraph" w:styleId="NormalWeb">
    <w:name w:val="Normal (Web)"/>
    <w:basedOn w:val="Normal"/>
    <w:uiPriority w:val="99"/>
    <w:semiHidden/>
    <w:unhideWhenUsed/>
    <w:qFormat/>
    <w:rsid w:val="00402bf7"/>
    <w:pPr>
      <w:spacing w:beforeAutospacing="1" w:afterAutospacing="1"/>
    </w:pPr>
    <w:rPr>
      <w:rFonts w:eastAsia="Times New Roman"/>
    </w:rPr>
  </w:style>
  <w:style w:type="paragraph" w:styleId="Default">
    <w:name w:val="Default"/>
    <w:qFormat/>
    <w:pPr>
      <w:widowControl/>
      <w:bidi w:val="0"/>
      <w:spacing w:lineRule="auto" w:line="240" w:before="0" w:after="0"/>
      <w:jc w:val="left"/>
    </w:pPr>
    <w:rPr>
      <w:rFonts w:ascii="Times New Roman" w:hAnsi="Times New Roman" w:cs="Times New Roman" w:eastAsia="Calibri"/>
      <w:color w:val="000000"/>
      <w:kern w:val="0"/>
      <w:sz w:val="24"/>
      <w:szCs w:val="24"/>
      <w:lang w:val="en-US" w:eastAsia="en-US" w:bidi="ar-SA"/>
    </w:rPr>
  </w:style>
  <w:style w:type="paragraph" w:styleId="NoSpacing">
    <w:name w:val="No Spacing"/>
    <w:qFormat/>
    <w:pPr>
      <w:widowControl/>
      <w:bidi w:val="0"/>
      <w:spacing w:lineRule="auto" w:line="240" w:before="0" w:after="0"/>
      <w:jc w:val="left"/>
    </w:pPr>
    <w:rPr>
      <w:rFonts w:ascii="Times New Roman" w:hAnsi="Times New Roman" w:eastAsia="Calibri" w:cs="Times New Roman" w:eastAsiaTheme="minorHAnsi"/>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D826-3813-4C24-A3B6-C841893C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LibreOffice/7.6.2.1$Windows_X86_64 LibreOffice_project/56f7684011345957bbf33a7ee678afaf4d2ba333</Application>
  <AppVersion>15.0000</AppVersion>
  <Pages>8</Pages>
  <Words>2189</Words>
  <Characters>15522</Characters>
  <CharactersWithSpaces>17570</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2026-01-16T10:37:00Z</dcterms:created>
  <dc:creator>Aurelija Peleckaitė</dc:creator>
  <dc:description/>
  <dc:language>lt-LT</dc:language>
  <cp:lastModifiedBy/>
  <cp:lastPrinted>2023-12-11T12:02:00Z</cp:lastPrinted>
  <dcterms:modified xsi:type="dcterms:W3CDTF">2026-01-22T15:06:20Z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