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643E" w14:textId="561D00EA" w:rsidR="00CA5E26" w:rsidRPr="00417D9D" w:rsidRDefault="00CA5E26" w:rsidP="00CA5E26">
      <w:pPr>
        <w:jc w:val="right"/>
        <w:rPr>
          <w:rFonts w:eastAsia="Times New Roman"/>
          <w:i/>
          <w:iCs/>
        </w:rPr>
      </w:pPr>
      <w:r w:rsidRPr="00417D9D">
        <w:rPr>
          <w:rFonts w:eastAsia="Times New Roman"/>
          <w:i/>
          <w:iCs/>
        </w:rPr>
        <w:t xml:space="preserve">Pirkimo sąlygų </w:t>
      </w:r>
      <w:r>
        <w:rPr>
          <w:rFonts w:eastAsia="Times New Roman"/>
          <w:i/>
          <w:iCs/>
        </w:rPr>
        <w:t>2</w:t>
      </w:r>
      <w:r w:rsidRPr="00417D9D">
        <w:rPr>
          <w:rFonts w:eastAsia="Times New Roman"/>
          <w:i/>
          <w:iCs/>
        </w:rPr>
        <w:t xml:space="preserve"> priedas</w:t>
      </w:r>
    </w:p>
    <w:p w14:paraId="25875EC7" w14:textId="77777777" w:rsidR="00CA5E26" w:rsidRDefault="00CA5E26" w:rsidP="00AA039C">
      <w:pPr>
        <w:pStyle w:val="Style1"/>
        <w:widowControl/>
        <w:spacing w:before="48"/>
        <w:ind w:firstLine="0"/>
        <w:jc w:val="center"/>
        <w:rPr>
          <w:rFonts w:eastAsia="Times New Roman"/>
          <w:b/>
          <w:lang w:eastAsia="ar-SA"/>
        </w:rPr>
      </w:pPr>
    </w:p>
    <w:p w14:paraId="5284EFD1" w14:textId="1635B5AD" w:rsidR="006001A1" w:rsidRDefault="009B7075" w:rsidP="00AA039C">
      <w:pPr>
        <w:pStyle w:val="Style1"/>
        <w:widowControl/>
        <w:spacing w:before="48"/>
        <w:ind w:firstLine="0"/>
        <w:jc w:val="center"/>
        <w:rPr>
          <w:rStyle w:val="FontStyle11"/>
          <w:sz w:val="24"/>
          <w:szCs w:val="24"/>
        </w:rPr>
      </w:pPr>
      <w:r w:rsidRPr="00572DB2">
        <w:rPr>
          <w:rFonts w:eastAsia="Times New Roman"/>
          <w:b/>
          <w:lang w:eastAsia="ar-SA"/>
        </w:rPr>
        <w:t>UGNIASIENIŲ PROGRAMINĖS ĮRANGOS PALAIKYMO LICENCIJOS (LICENCIJŲ NUOMA)</w:t>
      </w:r>
      <w:r>
        <w:rPr>
          <w:rFonts w:eastAsia="Times New Roman"/>
          <w:b/>
          <w:lang w:eastAsia="ar-SA"/>
        </w:rPr>
        <w:t xml:space="preserve"> </w:t>
      </w:r>
      <w:r w:rsidR="000206D0" w:rsidRPr="0054397B">
        <w:rPr>
          <w:rStyle w:val="FontStyle11"/>
          <w:sz w:val="24"/>
          <w:szCs w:val="24"/>
        </w:rPr>
        <w:t>TECHNINĖ SPECIFIKACIJ</w:t>
      </w:r>
      <w:r>
        <w:rPr>
          <w:rStyle w:val="FontStyle11"/>
          <w:sz w:val="24"/>
          <w:szCs w:val="24"/>
        </w:rPr>
        <w:t>A</w:t>
      </w:r>
    </w:p>
    <w:p w14:paraId="708B27C2" w14:textId="77777777" w:rsidR="00576FF7" w:rsidRDefault="00576FF7" w:rsidP="00AA039C">
      <w:pPr>
        <w:pStyle w:val="Style1"/>
        <w:widowControl/>
        <w:spacing w:before="48"/>
        <w:ind w:firstLine="0"/>
        <w:jc w:val="center"/>
        <w:rPr>
          <w:rStyle w:val="FontStyle11"/>
          <w:sz w:val="24"/>
          <w:szCs w:val="24"/>
        </w:rPr>
      </w:pPr>
    </w:p>
    <w:p w14:paraId="234288D4" w14:textId="446B065C" w:rsidR="00576FF7" w:rsidRPr="005A57A7" w:rsidRDefault="00576FF7" w:rsidP="005A57A7">
      <w:pPr>
        <w:keepNext/>
        <w:widowControl/>
        <w:numPr>
          <w:ilvl w:val="0"/>
          <w:numId w:val="8"/>
        </w:numPr>
        <w:autoSpaceDE/>
        <w:adjustRightInd/>
        <w:ind w:left="284" w:hanging="284"/>
        <w:contextualSpacing/>
        <w:jc w:val="center"/>
        <w:rPr>
          <w:rStyle w:val="FontStyle11"/>
          <w:rFonts w:eastAsia="Calibri"/>
          <w:bCs w:val="0"/>
          <w:sz w:val="24"/>
          <w:szCs w:val="24"/>
        </w:rPr>
      </w:pPr>
      <w:r w:rsidRPr="004A63EA">
        <w:rPr>
          <w:rFonts w:eastAsia="Calibri"/>
          <w:b/>
        </w:rPr>
        <w:t>BENDROJI DALIS</w:t>
      </w:r>
    </w:p>
    <w:p w14:paraId="5284EFD3" w14:textId="77777777" w:rsidR="006001A1" w:rsidRPr="0054397B" w:rsidRDefault="006001A1" w:rsidP="005A57A7">
      <w:pPr>
        <w:pStyle w:val="Style5"/>
        <w:widowControl/>
        <w:spacing w:line="240" w:lineRule="auto"/>
        <w:ind w:firstLine="0"/>
        <w:jc w:val="center"/>
      </w:pPr>
    </w:p>
    <w:p w14:paraId="5284EFD4" w14:textId="5A8266EB" w:rsidR="000206D0" w:rsidRPr="0054397B" w:rsidRDefault="000206D0" w:rsidP="00E20382">
      <w:pPr>
        <w:pStyle w:val="ListParagraph"/>
        <w:numPr>
          <w:ilvl w:val="3"/>
          <w:numId w:val="1"/>
        </w:numPr>
        <w:tabs>
          <w:tab w:val="left" w:pos="993"/>
        </w:tabs>
        <w:ind w:left="0" w:firstLine="567"/>
        <w:jc w:val="both"/>
        <w:rPr>
          <w:rStyle w:val="FontStyle12"/>
          <w:rFonts w:eastAsiaTheme="minorEastAsia"/>
          <w:sz w:val="24"/>
          <w:szCs w:val="24"/>
        </w:rPr>
      </w:pPr>
      <w:r w:rsidRPr="0054397B">
        <w:rPr>
          <w:rStyle w:val="FontStyle12"/>
          <w:rFonts w:eastAsiaTheme="minorEastAsia"/>
          <w:sz w:val="24"/>
          <w:szCs w:val="24"/>
        </w:rPr>
        <w:t xml:space="preserve">Perkančioji organizacija – Valstybinė </w:t>
      </w:r>
      <w:r w:rsidR="00E30C87" w:rsidRPr="0054397B">
        <w:rPr>
          <w:rStyle w:val="FontStyle12"/>
          <w:rFonts w:eastAsiaTheme="minorEastAsia"/>
          <w:sz w:val="24"/>
          <w:szCs w:val="24"/>
        </w:rPr>
        <w:t>energetikos reguliavimo taryba</w:t>
      </w:r>
      <w:r w:rsidR="009F0311" w:rsidRPr="0054397B">
        <w:rPr>
          <w:rStyle w:val="FontStyle12"/>
          <w:rFonts w:eastAsiaTheme="minorEastAsia"/>
          <w:sz w:val="24"/>
          <w:szCs w:val="24"/>
        </w:rPr>
        <w:t>.</w:t>
      </w:r>
    </w:p>
    <w:p w14:paraId="5284EFD5" w14:textId="3E7DDF6E" w:rsidR="000206D0" w:rsidRPr="0054397B" w:rsidRDefault="00514FB1" w:rsidP="00E20382">
      <w:pPr>
        <w:widowControl/>
        <w:numPr>
          <w:ilvl w:val="0"/>
          <w:numId w:val="1"/>
        </w:numPr>
        <w:tabs>
          <w:tab w:val="left" w:pos="0"/>
          <w:tab w:val="left" w:pos="993"/>
        </w:tabs>
        <w:autoSpaceDE/>
        <w:autoSpaceDN/>
        <w:adjustRightInd/>
        <w:ind w:left="0" w:firstLine="567"/>
        <w:contextualSpacing/>
        <w:jc w:val="both"/>
        <w:rPr>
          <w:lang w:eastAsia="en-US"/>
        </w:rPr>
      </w:pPr>
      <w:r w:rsidRPr="0054397B">
        <w:rPr>
          <w:rStyle w:val="FontStyle12"/>
          <w:sz w:val="24"/>
          <w:szCs w:val="24"/>
        </w:rPr>
        <w:t>Pirkimo objektas</w:t>
      </w:r>
      <w:r w:rsidR="00767672" w:rsidRPr="0054397B">
        <w:rPr>
          <w:rStyle w:val="FontStyle12"/>
          <w:sz w:val="24"/>
          <w:szCs w:val="24"/>
        </w:rPr>
        <w:t xml:space="preserve"> – </w:t>
      </w:r>
      <w:r w:rsidR="001A31B0">
        <w:rPr>
          <w:rStyle w:val="FontStyle12"/>
          <w:sz w:val="24"/>
          <w:szCs w:val="24"/>
        </w:rPr>
        <w:t xml:space="preserve">Perkančiosios organizacijos </w:t>
      </w:r>
      <w:r w:rsidR="00CE4EC9">
        <w:rPr>
          <w:rStyle w:val="FontStyle12"/>
          <w:sz w:val="24"/>
          <w:szCs w:val="24"/>
        </w:rPr>
        <w:t xml:space="preserve">turimoms </w:t>
      </w:r>
      <w:r w:rsidR="00221D83" w:rsidRPr="0054397B">
        <w:t>ugniasien</w:t>
      </w:r>
      <w:r w:rsidR="00CE4EC9">
        <w:t>ėms</w:t>
      </w:r>
      <w:r w:rsidR="00221D83" w:rsidRPr="0054397B">
        <w:t xml:space="preserve"> </w:t>
      </w:r>
      <w:proofErr w:type="spellStart"/>
      <w:r w:rsidR="00221D83" w:rsidRPr="0054397B">
        <w:t>Fortinet</w:t>
      </w:r>
      <w:proofErr w:type="spellEnd"/>
      <w:r w:rsidR="00221D83" w:rsidRPr="0054397B">
        <w:t xml:space="preserve"> FortiGate-100</w:t>
      </w:r>
      <w:r w:rsidR="00DB6D21">
        <w:t>F</w:t>
      </w:r>
      <w:r w:rsidR="00221D83" w:rsidRPr="0054397B">
        <w:t xml:space="preserve"> </w:t>
      </w:r>
      <w:r w:rsidR="00CE4EC9">
        <w:t>tinkan</w:t>
      </w:r>
      <w:r w:rsidR="00F05E8D">
        <w:t xml:space="preserve">ti </w:t>
      </w:r>
      <w:r w:rsidR="000206D0" w:rsidRPr="0054397B">
        <w:t xml:space="preserve">naujumo garantija </w:t>
      </w:r>
      <w:r w:rsidR="00FF6CAA" w:rsidRPr="0054397B">
        <w:rPr>
          <w:lang w:eastAsia="en-US"/>
        </w:rPr>
        <w:t xml:space="preserve">(kiekis – </w:t>
      </w:r>
      <w:r w:rsidR="00DB6D21">
        <w:rPr>
          <w:lang w:eastAsia="en-US"/>
        </w:rPr>
        <w:t>3</w:t>
      </w:r>
      <w:r w:rsidR="00FF6CAA" w:rsidRPr="0054397B">
        <w:rPr>
          <w:lang w:eastAsia="en-US"/>
        </w:rPr>
        <w:t xml:space="preserve"> vienetai) </w:t>
      </w:r>
      <w:r w:rsidR="00FF6CAA" w:rsidRPr="0054397B">
        <w:t>(naujausia gamintojo paskelbta versija).</w:t>
      </w:r>
    </w:p>
    <w:p w14:paraId="23508D88" w14:textId="11A1595A" w:rsidR="00576FF7" w:rsidRDefault="000206D0" w:rsidP="00E20382">
      <w:pPr>
        <w:widowControl/>
        <w:numPr>
          <w:ilvl w:val="0"/>
          <w:numId w:val="1"/>
        </w:numPr>
        <w:tabs>
          <w:tab w:val="left" w:pos="0"/>
          <w:tab w:val="left" w:pos="993"/>
        </w:tabs>
        <w:autoSpaceDE/>
        <w:autoSpaceDN/>
        <w:adjustRightInd/>
        <w:ind w:left="0" w:firstLine="567"/>
        <w:contextualSpacing/>
        <w:jc w:val="both"/>
        <w:rPr>
          <w:lang w:eastAsia="en-US"/>
        </w:rPr>
      </w:pPr>
      <w:r w:rsidRPr="0054397B">
        <w:t>Naujumo garantijos</w:t>
      </w:r>
      <w:r w:rsidR="00521099">
        <w:t xml:space="preserve"> (</w:t>
      </w:r>
      <w:r w:rsidR="00521099" w:rsidRPr="001B6A34">
        <w:rPr>
          <w:i/>
          <w:iCs/>
        </w:rPr>
        <w:t xml:space="preserve">angl. Software </w:t>
      </w:r>
      <w:proofErr w:type="spellStart"/>
      <w:r w:rsidR="00521099" w:rsidRPr="001B6A34">
        <w:rPr>
          <w:i/>
          <w:iCs/>
        </w:rPr>
        <w:t>Assurance</w:t>
      </w:r>
      <w:proofErr w:type="spellEnd"/>
      <w:r w:rsidR="00521099">
        <w:t>)</w:t>
      </w:r>
      <w:r w:rsidRPr="0054397B">
        <w:t xml:space="preserve"> (SA) galiojimo laikotarpis – </w:t>
      </w:r>
      <w:r w:rsidR="00C800B4">
        <w:t>36</w:t>
      </w:r>
      <w:r w:rsidRPr="0054397B">
        <w:t xml:space="preserve"> mėn.</w:t>
      </w:r>
      <w:r w:rsidR="00521099">
        <w:t xml:space="preserve"> nuo tos dienos, kai Perkančioji organizacija ją aktyvuoja</w:t>
      </w:r>
      <w:r w:rsidR="008D5AE2">
        <w:rPr>
          <w:rStyle w:val="FootnoteReference"/>
        </w:rPr>
        <w:footnoteReference w:id="1"/>
      </w:r>
      <w:r w:rsidR="00DC207F">
        <w:t xml:space="preserve"> (Perkančioji organizacija aktyv</w:t>
      </w:r>
      <w:r w:rsidR="00624CEB">
        <w:t xml:space="preserve">avimo veiksmus atliks per </w:t>
      </w:r>
      <w:r w:rsidR="00624CEB">
        <w:rPr>
          <w:lang w:val="en-US"/>
        </w:rPr>
        <w:t>5 d.</w:t>
      </w:r>
      <w:r w:rsidR="00FA0944">
        <w:rPr>
          <w:lang w:val="en-US"/>
        </w:rPr>
        <w:t xml:space="preserve"> </w:t>
      </w:r>
      <w:r w:rsidR="00624CEB">
        <w:rPr>
          <w:lang w:val="en-US"/>
        </w:rPr>
        <w:t xml:space="preserve">d. </w:t>
      </w:r>
      <w:proofErr w:type="spellStart"/>
      <w:r w:rsidR="00624CEB">
        <w:rPr>
          <w:lang w:val="en-US"/>
        </w:rPr>
        <w:t>nuo</w:t>
      </w:r>
      <w:proofErr w:type="spellEnd"/>
      <w:r w:rsidR="00624CEB">
        <w:rPr>
          <w:lang w:val="en-US"/>
        </w:rPr>
        <w:t xml:space="preserve"> </w:t>
      </w:r>
      <w:proofErr w:type="spellStart"/>
      <w:r w:rsidR="00624CEB">
        <w:rPr>
          <w:lang w:val="en-US"/>
        </w:rPr>
        <w:t>naujumo</w:t>
      </w:r>
      <w:proofErr w:type="spellEnd"/>
      <w:r w:rsidR="00624CEB">
        <w:rPr>
          <w:lang w:val="en-US"/>
        </w:rPr>
        <w:t xml:space="preserve"> </w:t>
      </w:r>
      <w:proofErr w:type="spellStart"/>
      <w:r w:rsidR="00624CEB">
        <w:rPr>
          <w:lang w:val="en-US"/>
        </w:rPr>
        <w:t>garantij</w:t>
      </w:r>
      <w:proofErr w:type="spellEnd"/>
      <w:r w:rsidR="00624CEB">
        <w:t>ų gavimo dienos).</w:t>
      </w:r>
    </w:p>
    <w:p w14:paraId="5284EFD7" w14:textId="253A26C3" w:rsidR="00766DB5" w:rsidRDefault="006D3FF9" w:rsidP="00576FF7">
      <w:pPr>
        <w:widowControl/>
        <w:numPr>
          <w:ilvl w:val="0"/>
          <w:numId w:val="1"/>
        </w:numPr>
        <w:tabs>
          <w:tab w:val="left" w:pos="0"/>
          <w:tab w:val="left" w:pos="993"/>
        </w:tabs>
        <w:autoSpaceDE/>
        <w:autoSpaceDN/>
        <w:adjustRightInd/>
        <w:ind w:left="0" w:firstLine="567"/>
        <w:contextualSpacing/>
        <w:jc w:val="both"/>
      </w:pPr>
      <w:r>
        <w:t xml:space="preserve">Tiekėjas </w:t>
      </w:r>
      <w:r w:rsidR="00521099">
        <w:t xml:space="preserve">ne vėliau kaip per 3 darbo dienas pateikia (atsiunčia) </w:t>
      </w:r>
      <w:proofErr w:type="spellStart"/>
      <w:r w:rsidR="00521099">
        <w:t>Fortinet</w:t>
      </w:r>
      <w:proofErr w:type="spellEnd"/>
      <w:r w:rsidR="00521099">
        <w:t xml:space="preserve"> FortiGate-100</w:t>
      </w:r>
      <w:r w:rsidR="00EC7143">
        <w:t>F</w:t>
      </w:r>
      <w:r w:rsidR="00521099">
        <w:t xml:space="preserve"> </w:t>
      </w:r>
      <w:r w:rsidR="00145EF2">
        <w:t>u</w:t>
      </w:r>
      <w:r w:rsidR="003327F3">
        <w:t xml:space="preserve">gniasienėms tinkančias </w:t>
      </w:r>
      <w:r w:rsidR="00521099">
        <w:t>naujumo garantijas (</w:t>
      </w:r>
      <w:r w:rsidR="00EC7143">
        <w:t>3</w:t>
      </w:r>
      <w:r w:rsidR="00521099">
        <w:t xml:space="preserve"> vnt.) el. paštu, nurodytu Sutartyje</w:t>
      </w:r>
      <w:r w:rsidR="00767672" w:rsidRPr="0054397B">
        <w:t>,</w:t>
      </w:r>
      <w:r w:rsidR="00521099">
        <w:t xml:space="preserve"> nuo Perkančiosios organizac</w:t>
      </w:r>
      <w:r w:rsidR="001B6A34">
        <w:t>i</w:t>
      </w:r>
      <w:r w:rsidR="00521099">
        <w:t>jos užsakymo pateikimo dienos.</w:t>
      </w:r>
      <w:r w:rsidR="00120B9D">
        <w:t xml:space="preserve"> </w:t>
      </w:r>
      <w:r w:rsidR="00E941CA">
        <w:t xml:space="preserve">Perkančioji organizacija pateikia el. paštu užsakymą </w:t>
      </w:r>
      <w:r w:rsidR="003602E3">
        <w:t xml:space="preserve">tiekėjui </w:t>
      </w:r>
      <w:r w:rsidR="00734823">
        <w:t xml:space="preserve">ne vėliau kaip </w:t>
      </w:r>
      <w:r w:rsidR="00734823">
        <w:rPr>
          <w:lang w:val="en-US"/>
        </w:rPr>
        <w:t>per 1 m</w:t>
      </w:r>
      <w:proofErr w:type="spellStart"/>
      <w:r w:rsidR="00734823">
        <w:t>ėn</w:t>
      </w:r>
      <w:proofErr w:type="spellEnd"/>
      <w:r w:rsidR="00734823">
        <w:t>. nuo sutarties įsigaliojimo dienos.</w:t>
      </w:r>
    </w:p>
    <w:p w14:paraId="7298FA79" w14:textId="77777777" w:rsidR="00576FF7" w:rsidRDefault="00576FF7" w:rsidP="00576FF7">
      <w:pPr>
        <w:widowControl/>
        <w:tabs>
          <w:tab w:val="left" w:pos="0"/>
          <w:tab w:val="left" w:pos="993"/>
        </w:tabs>
        <w:autoSpaceDE/>
        <w:autoSpaceDN/>
        <w:adjustRightInd/>
        <w:contextualSpacing/>
        <w:jc w:val="both"/>
      </w:pPr>
    </w:p>
    <w:p w14:paraId="61DE3E11" w14:textId="6C608462" w:rsidR="00576FF7" w:rsidRPr="00576FF7" w:rsidRDefault="00576FF7" w:rsidP="005A57A7">
      <w:pPr>
        <w:widowControl/>
        <w:numPr>
          <w:ilvl w:val="0"/>
          <w:numId w:val="8"/>
        </w:numPr>
        <w:tabs>
          <w:tab w:val="left" w:pos="0"/>
          <w:tab w:val="left" w:pos="993"/>
        </w:tabs>
        <w:autoSpaceDE/>
        <w:autoSpaceDN/>
        <w:adjustRightInd/>
        <w:contextualSpacing/>
        <w:jc w:val="center"/>
        <w:rPr>
          <w:b/>
        </w:rPr>
      </w:pPr>
      <w:r w:rsidRPr="00576FF7">
        <w:rPr>
          <w:b/>
        </w:rPr>
        <w:t>PIRKIMO OBJEKTO APRAŠYMAS</w:t>
      </w:r>
    </w:p>
    <w:p w14:paraId="18EAAC22" w14:textId="77777777" w:rsidR="00576FF7" w:rsidRPr="0054397B" w:rsidRDefault="00576FF7" w:rsidP="005A57A7">
      <w:pPr>
        <w:widowControl/>
        <w:tabs>
          <w:tab w:val="left" w:pos="0"/>
          <w:tab w:val="left" w:pos="993"/>
        </w:tabs>
        <w:autoSpaceDE/>
        <w:autoSpaceDN/>
        <w:adjustRightInd/>
        <w:contextualSpacing/>
        <w:jc w:val="both"/>
      </w:pPr>
    </w:p>
    <w:tbl>
      <w:tblPr>
        <w:tblW w:w="9490" w:type="dxa"/>
        <w:jc w:val="center"/>
        <w:tblLayout w:type="fixed"/>
        <w:tblCellMar>
          <w:left w:w="40" w:type="dxa"/>
          <w:right w:w="40" w:type="dxa"/>
        </w:tblCellMar>
        <w:tblLook w:val="0000" w:firstRow="0" w:lastRow="0" w:firstColumn="0" w:lastColumn="0" w:noHBand="0" w:noVBand="0"/>
      </w:tblPr>
      <w:tblGrid>
        <w:gridCol w:w="1977"/>
        <w:gridCol w:w="3544"/>
        <w:gridCol w:w="3969"/>
      </w:tblGrid>
      <w:tr w:rsidR="00767672" w:rsidRPr="0054397B" w14:paraId="5284EFDB" w14:textId="77777777" w:rsidTr="00767672">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5284EFD8" w14:textId="040D4D69" w:rsidR="00767672" w:rsidRPr="0054397B" w:rsidRDefault="00767672" w:rsidP="00767672">
            <w:pPr>
              <w:jc w:val="center"/>
              <w:rPr>
                <w:rFonts w:cs="Arial"/>
                <w:b/>
              </w:rPr>
            </w:pPr>
            <w:r w:rsidRPr="0054397B">
              <w:rPr>
                <w:rFonts w:cs="Arial"/>
                <w:b/>
              </w:rPr>
              <w:t>Rodiklis</w:t>
            </w:r>
          </w:p>
        </w:tc>
        <w:tc>
          <w:tcPr>
            <w:tcW w:w="3544" w:type="dxa"/>
            <w:tcBorders>
              <w:top w:val="single" w:sz="6" w:space="0" w:color="auto"/>
              <w:left w:val="single" w:sz="6" w:space="0" w:color="auto"/>
              <w:bottom w:val="single" w:sz="6" w:space="0" w:color="auto"/>
              <w:right w:val="single" w:sz="6" w:space="0" w:color="auto"/>
            </w:tcBorders>
            <w:vAlign w:val="center"/>
          </w:tcPr>
          <w:p w14:paraId="5284EFD9" w14:textId="77777777" w:rsidR="00767672" w:rsidRPr="0054397B" w:rsidRDefault="00767672" w:rsidP="00767672">
            <w:pPr>
              <w:ind w:left="57"/>
              <w:jc w:val="center"/>
              <w:rPr>
                <w:rFonts w:cs="Arial"/>
                <w:b/>
              </w:rPr>
            </w:pPr>
            <w:r w:rsidRPr="0054397B">
              <w:rPr>
                <w:rFonts w:cs="Arial"/>
                <w:b/>
              </w:rPr>
              <w:t>Reikalaujama reikšmė</w:t>
            </w:r>
          </w:p>
        </w:tc>
        <w:tc>
          <w:tcPr>
            <w:tcW w:w="3969" w:type="dxa"/>
            <w:tcBorders>
              <w:top w:val="single" w:sz="6" w:space="0" w:color="auto"/>
              <w:left w:val="single" w:sz="6" w:space="0" w:color="auto"/>
              <w:bottom w:val="single" w:sz="6" w:space="0" w:color="auto"/>
              <w:right w:val="single" w:sz="6" w:space="0" w:color="auto"/>
            </w:tcBorders>
            <w:vAlign w:val="center"/>
          </w:tcPr>
          <w:p w14:paraId="5284EFDA" w14:textId="552E14F7" w:rsidR="00767672" w:rsidRPr="0054397B" w:rsidRDefault="00767672" w:rsidP="00767672">
            <w:pPr>
              <w:ind w:left="57"/>
              <w:jc w:val="center"/>
              <w:rPr>
                <w:rFonts w:cs="Arial"/>
                <w:b/>
              </w:rPr>
            </w:pPr>
            <w:r w:rsidRPr="0054397B">
              <w:rPr>
                <w:rFonts w:cs="Arial"/>
                <w:b/>
              </w:rPr>
              <w:t xml:space="preserve">Tiekėjo siūlomi parametrai </w:t>
            </w:r>
          </w:p>
        </w:tc>
      </w:tr>
      <w:tr w:rsidR="0001349A" w:rsidRPr="0054397B" w14:paraId="6B21C50D" w14:textId="77777777" w:rsidTr="00CB4FCA">
        <w:trPr>
          <w:jc w:val="center"/>
        </w:trPr>
        <w:tc>
          <w:tcPr>
            <w:tcW w:w="9490" w:type="dxa"/>
            <w:gridSpan w:val="3"/>
            <w:tcBorders>
              <w:top w:val="single" w:sz="6" w:space="0" w:color="auto"/>
              <w:left w:val="single" w:sz="6" w:space="0" w:color="auto"/>
              <w:bottom w:val="single" w:sz="6" w:space="0" w:color="auto"/>
              <w:right w:val="single" w:sz="6" w:space="0" w:color="auto"/>
            </w:tcBorders>
          </w:tcPr>
          <w:p w14:paraId="7C01C64F" w14:textId="73F03A1A" w:rsidR="0001349A" w:rsidRPr="0054397B" w:rsidRDefault="0001349A" w:rsidP="005A57A7">
            <w:pPr>
              <w:jc w:val="center"/>
            </w:pPr>
            <w:r w:rsidRPr="003E3353">
              <w:rPr>
                <w:b/>
                <w:bCs/>
              </w:rPr>
              <w:t>Informacija apie programinę įrangą ir jos gamintoją</w:t>
            </w:r>
          </w:p>
        </w:tc>
      </w:tr>
      <w:tr w:rsidR="00C7735A" w:rsidRPr="0054397B" w14:paraId="48227754" w14:textId="77777777" w:rsidTr="00503740">
        <w:trPr>
          <w:jc w:val="center"/>
        </w:trPr>
        <w:tc>
          <w:tcPr>
            <w:tcW w:w="5521" w:type="dxa"/>
            <w:gridSpan w:val="2"/>
            <w:tcBorders>
              <w:top w:val="single" w:sz="6" w:space="0" w:color="auto"/>
              <w:left w:val="single" w:sz="6" w:space="0" w:color="auto"/>
              <w:bottom w:val="single" w:sz="6" w:space="0" w:color="auto"/>
              <w:right w:val="single" w:sz="6" w:space="0" w:color="auto"/>
            </w:tcBorders>
          </w:tcPr>
          <w:p w14:paraId="682C33EA" w14:textId="77777777" w:rsidR="00C7735A" w:rsidRPr="003D4CB8" w:rsidRDefault="00C7735A" w:rsidP="009F0311">
            <w:r w:rsidRPr="003E3353">
              <w:t>Gamintojo pavadinimas</w:t>
            </w:r>
          </w:p>
          <w:p w14:paraId="5913369D" w14:textId="6942C428" w:rsidR="00C7735A" w:rsidRPr="0054397B" w:rsidRDefault="00C7735A" w:rsidP="00767672">
            <w:pPr>
              <w:jc w:val="both"/>
            </w:pPr>
          </w:p>
        </w:tc>
        <w:tc>
          <w:tcPr>
            <w:tcW w:w="3969" w:type="dxa"/>
            <w:tcBorders>
              <w:top w:val="single" w:sz="6" w:space="0" w:color="auto"/>
              <w:left w:val="single" w:sz="6" w:space="0" w:color="auto"/>
              <w:bottom w:val="single" w:sz="6" w:space="0" w:color="auto"/>
              <w:right w:val="single" w:sz="6" w:space="0" w:color="auto"/>
            </w:tcBorders>
          </w:tcPr>
          <w:p w14:paraId="51230923" w14:textId="77777777" w:rsidR="00C7735A" w:rsidRPr="0054397B" w:rsidRDefault="00C7735A" w:rsidP="009F0311"/>
        </w:tc>
      </w:tr>
      <w:tr w:rsidR="00534387" w:rsidRPr="0054397B" w14:paraId="56D029D6" w14:textId="77777777" w:rsidTr="00817C70">
        <w:trPr>
          <w:jc w:val="center"/>
        </w:trPr>
        <w:tc>
          <w:tcPr>
            <w:tcW w:w="5521" w:type="dxa"/>
            <w:gridSpan w:val="2"/>
            <w:tcBorders>
              <w:top w:val="single" w:sz="6" w:space="0" w:color="auto"/>
              <w:left w:val="single" w:sz="6" w:space="0" w:color="auto"/>
              <w:bottom w:val="single" w:sz="6" w:space="0" w:color="auto"/>
              <w:right w:val="single" w:sz="6" w:space="0" w:color="auto"/>
            </w:tcBorders>
          </w:tcPr>
          <w:p w14:paraId="75C67D20" w14:textId="321A1FA3" w:rsidR="00534387" w:rsidRPr="0054397B" w:rsidRDefault="00FF37D2" w:rsidP="00767672">
            <w:pPr>
              <w:jc w:val="both"/>
            </w:pPr>
            <w:r w:rsidRPr="003E3353">
              <w:t>Gamintojo registracijos valstybė (Ši informacija gali būti tikslinama Pirkimo procedūros metu)</w:t>
            </w:r>
          </w:p>
        </w:tc>
        <w:tc>
          <w:tcPr>
            <w:tcW w:w="3969" w:type="dxa"/>
            <w:tcBorders>
              <w:top w:val="single" w:sz="6" w:space="0" w:color="auto"/>
              <w:left w:val="single" w:sz="6" w:space="0" w:color="auto"/>
              <w:bottom w:val="single" w:sz="6" w:space="0" w:color="auto"/>
              <w:right w:val="single" w:sz="6" w:space="0" w:color="auto"/>
            </w:tcBorders>
          </w:tcPr>
          <w:p w14:paraId="5ABB198D" w14:textId="77777777" w:rsidR="00534387" w:rsidRPr="0054397B" w:rsidRDefault="00534387" w:rsidP="009F0311"/>
        </w:tc>
      </w:tr>
      <w:tr w:rsidR="00534387" w:rsidRPr="0054397B" w14:paraId="43E42E4C" w14:textId="77777777" w:rsidTr="00121D4D">
        <w:trPr>
          <w:jc w:val="center"/>
        </w:trPr>
        <w:tc>
          <w:tcPr>
            <w:tcW w:w="5521" w:type="dxa"/>
            <w:gridSpan w:val="2"/>
            <w:tcBorders>
              <w:top w:val="single" w:sz="6" w:space="0" w:color="auto"/>
              <w:left w:val="single" w:sz="6" w:space="0" w:color="auto"/>
              <w:bottom w:val="single" w:sz="6" w:space="0" w:color="auto"/>
              <w:right w:val="single" w:sz="6" w:space="0" w:color="auto"/>
            </w:tcBorders>
          </w:tcPr>
          <w:p w14:paraId="427174F3" w14:textId="26682A2B" w:rsidR="00534387" w:rsidRPr="0054397B" w:rsidRDefault="00716D18" w:rsidP="00767672">
            <w:pPr>
              <w:jc w:val="both"/>
            </w:pPr>
            <w:r w:rsidRPr="003E3353">
              <w:t>Programinės įrangos pavadinimas</w:t>
            </w:r>
            <w:r>
              <w:t xml:space="preserve"> (kodas, jeigu yra)</w:t>
            </w:r>
          </w:p>
        </w:tc>
        <w:tc>
          <w:tcPr>
            <w:tcW w:w="3969" w:type="dxa"/>
            <w:tcBorders>
              <w:top w:val="single" w:sz="6" w:space="0" w:color="auto"/>
              <w:left w:val="single" w:sz="6" w:space="0" w:color="auto"/>
              <w:bottom w:val="single" w:sz="6" w:space="0" w:color="auto"/>
              <w:right w:val="single" w:sz="6" w:space="0" w:color="auto"/>
            </w:tcBorders>
          </w:tcPr>
          <w:p w14:paraId="15A05B88" w14:textId="77777777" w:rsidR="00534387" w:rsidRPr="0054397B" w:rsidRDefault="00534387" w:rsidP="009F0311"/>
        </w:tc>
      </w:tr>
      <w:tr w:rsidR="00534387" w:rsidRPr="0054397B" w14:paraId="77B0B9D3" w14:textId="77777777" w:rsidTr="00121D4D">
        <w:trPr>
          <w:jc w:val="center"/>
        </w:trPr>
        <w:tc>
          <w:tcPr>
            <w:tcW w:w="5521" w:type="dxa"/>
            <w:gridSpan w:val="2"/>
            <w:tcBorders>
              <w:top w:val="single" w:sz="6" w:space="0" w:color="auto"/>
              <w:left w:val="single" w:sz="6" w:space="0" w:color="auto"/>
              <w:bottom w:val="single" w:sz="6" w:space="0" w:color="auto"/>
              <w:right w:val="single" w:sz="6" w:space="0" w:color="auto"/>
            </w:tcBorders>
          </w:tcPr>
          <w:p w14:paraId="68667FA6" w14:textId="2D4BA2E7" w:rsidR="00534387" w:rsidRPr="0054397B" w:rsidRDefault="00BE54FD" w:rsidP="00767672">
            <w:pPr>
              <w:jc w:val="both"/>
            </w:pPr>
            <w:r w:rsidRPr="003E3353">
              <w:t xml:space="preserve">Gamintojo oficialus puslapis ir / ar kita internetinė informacija / paaiškinimai, kurioje galima rasti </w:t>
            </w:r>
            <w:proofErr w:type="spellStart"/>
            <w:r w:rsidRPr="003E3353">
              <w:t>info</w:t>
            </w:r>
            <w:proofErr w:type="spellEnd"/>
            <w:r w:rsidRPr="003E3353">
              <w:t xml:space="preserve"> apie siūlomos programinės įrangos atitikimą nacionalinio saugumo reikalavimams (Ši informacija gali būti tikslinama Pirkimo procedūros metu)</w:t>
            </w:r>
          </w:p>
        </w:tc>
        <w:tc>
          <w:tcPr>
            <w:tcW w:w="3969" w:type="dxa"/>
            <w:tcBorders>
              <w:top w:val="single" w:sz="6" w:space="0" w:color="auto"/>
              <w:left w:val="single" w:sz="6" w:space="0" w:color="auto"/>
              <w:bottom w:val="single" w:sz="6" w:space="0" w:color="auto"/>
              <w:right w:val="single" w:sz="6" w:space="0" w:color="auto"/>
            </w:tcBorders>
          </w:tcPr>
          <w:p w14:paraId="3F3BE443" w14:textId="77777777" w:rsidR="00534387" w:rsidRPr="0054397B" w:rsidRDefault="00534387" w:rsidP="009F0311"/>
        </w:tc>
      </w:tr>
      <w:tr w:rsidR="00CA7517" w:rsidRPr="0054397B" w14:paraId="5ADB58EA" w14:textId="77777777" w:rsidTr="0088685E">
        <w:trPr>
          <w:jc w:val="center"/>
        </w:trPr>
        <w:tc>
          <w:tcPr>
            <w:tcW w:w="9490" w:type="dxa"/>
            <w:gridSpan w:val="3"/>
            <w:tcBorders>
              <w:top w:val="single" w:sz="6" w:space="0" w:color="auto"/>
              <w:left w:val="single" w:sz="6" w:space="0" w:color="auto"/>
              <w:bottom w:val="single" w:sz="6" w:space="0" w:color="auto"/>
              <w:right w:val="single" w:sz="6" w:space="0" w:color="auto"/>
            </w:tcBorders>
          </w:tcPr>
          <w:p w14:paraId="2CEEA922" w14:textId="24FEBCD2" w:rsidR="00CA7517" w:rsidRPr="005A57A7" w:rsidRDefault="00CA7517" w:rsidP="005A57A7">
            <w:pPr>
              <w:jc w:val="center"/>
              <w:rPr>
                <w:b/>
                <w:bCs/>
              </w:rPr>
            </w:pPr>
            <w:r w:rsidRPr="005A57A7">
              <w:rPr>
                <w:b/>
                <w:bCs/>
              </w:rPr>
              <w:t>Kit</w:t>
            </w:r>
            <w:r w:rsidR="00642B8E" w:rsidRPr="005A57A7">
              <w:rPr>
                <w:b/>
                <w:bCs/>
              </w:rPr>
              <w:t>i reikalavimai</w:t>
            </w:r>
          </w:p>
        </w:tc>
      </w:tr>
      <w:tr w:rsidR="00767672" w:rsidRPr="0054397B" w14:paraId="5284EFDF" w14:textId="77777777" w:rsidTr="00767672">
        <w:trPr>
          <w:jc w:val="center"/>
        </w:trPr>
        <w:tc>
          <w:tcPr>
            <w:tcW w:w="1977" w:type="dxa"/>
            <w:tcBorders>
              <w:top w:val="single" w:sz="6" w:space="0" w:color="auto"/>
              <w:left w:val="single" w:sz="6" w:space="0" w:color="auto"/>
              <w:bottom w:val="single" w:sz="6" w:space="0" w:color="auto"/>
              <w:right w:val="single" w:sz="6" w:space="0" w:color="auto"/>
            </w:tcBorders>
          </w:tcPr>
          <w:p w14:paraId="2C626A5E" w14:textId="4878217A" w:rsidR="0046449F" w:rsidRDefault="0080441E" w:rsidP="009F0311">
            <w:r w:rsidRPr="003D4CB8">
              <w:t>Ugniasien</w:t>
            </w:r>
            <w:r w:rsidR="001441E7">
              <w:t>ių</w:t>
            </w:r>
            <w:r w:rsidRPr="003D4CB8">
              <w:t xml:space="preserve"> </w:t>
            </w:r>
            <w:r w:rsidR="001441E7">
              <w:rPr>
                <w:lang w:val="en-US"/>
              </w:rPr>
              <w:t>,,</w:t>
            </w:r>
            <w:proofErr w:type="spellStart"/>
            <w:r w:rsidRPr="0054397B">
              <w:t>Fortinet</w:t>
            </w:r>
            <w:proofErr w:type="spellEnd"/>
            <w:r w:rsidRPr="0054397B">
              <w:t xml:space="preserve"> FortiGate-100</w:t>
            </w:r>
            <w:r>
              <w:t>F</w:t>
            </w:r>
            <w:r w:rsidR="001441E7">
              <w:t>“</w:t>
            </w:r>
            <w:r>
              <w:t xml:space="preserve"> (</w:t>
            </w:r>
            <w:proofErr w:type="spellStart"/>
            <w:r>
              <w:t>Unified</w:t>
            </w:r>
            <w:proofErr w:type="spellEnd"/>
            <w:r>
              <w:t xml:space="preserve"> </w:t>
            </w:r>
            <w:proofErr w:type="spellStart"/>
            <w:r>
              <w:t>Threat</w:t>
            </w:r>
            <w:proofErr w:type="spellEnd"/>
            <w:r>
              <w:t xml:space="preserve"> </w:t>
            </w:r>
            <w:proofErr w:type="spellStart"/>
            <w:r>
              <w:t>Protection</w:t>
            </w:r>
            <w:proofErr w:type="spellEnd"/>
            <w:r>
              <w:t xml:space="preserve"> (UTP) </w:t>
            </w:r>
            <w:r w:rsidRPr="003D4CB8">
              <w:t>įrang</w:t>
            </w:r>
            <w:r>
              <w:t xml:space="preserve">os </w:t>
            </w:r>
            <w:r w:rsidRPr="00D1149E">
              <w:t>palaikymo licencij</w:t>
            </w:r>
            <w:r w:rsidR="001A31B0">
              <w:t>ų</w:t>
            </w:r>
            <w:r w:rsidR="003F2385">
              <w:t xml:space="preserve"> nuoma.</w:t>
            </w:r>
          </w:p>
          <w:p w14:paraId="5284EFDC" w14:textId="43A92980" w:rsidR="00767672" w:rsidRPr="0054397B" w:rsidRDefault="0046449F" w:rsidP="009F0311">
            <w:r w:rsidRPr="005A57A7">
              <w:rPr>
                <w:b/>
                <w:bCs/>
              </w:rPr>
              <w:lastRenderedPageBreak/>
              <w:t>Svarbu</w:t>
            </w:r>
            <w:r w:rsidR="005B5F78" w:rsidRPr="005A57A7">
              <w:rPr>
                <w:b/>
                <w:bCs/>
              </w:rPr>
              <w:t>:</w:t>
            </w:r>
            <w:r w:rsidR="005B5F78">
              <w:t xml:space="preserve"> siūlomos prekės</w:t>
            </w:r>
            <w:r w:rsidR="00517EA8">
              <w:t xml:space="preserve"> (naujumo garantijos)</w:t>
            </w:r>
            <w:r w:rsidR="005B5F78">
              <w:t xml:space="preserve"> turi tikti </w:t>
            </w:r>
            <w:r w:rsidRPr="0054397B">
              <w:t>ugniasien</w:t>
            </w:r>
            <w:r w:rsidR="005B5F78">
              <w:t>ėms</w:t>
            </w:r>
            <w:r w:rsidR="007D53ED">
              <w:t xml:space="preserve"> </w:t>
            </w:r>
            <w:proofErr w:type="spellStart"/>
            <w:r w:rsidRPr="0054397B">
              <w:t>Fortinet</w:t>
            </w:r>
            <w:proofErr w:type="spellEnd"/>
            <w:r w:rsidRPr="0054397B">
              <w:t xml:space="preserve"> FortiGate-100</w:t>
            </w:r>
            <w:r>
              <w:t>F</w:t>
            </w:r>
            <w:r w:rsidRPr="0054397B">
              <w:t xml:space="preserve"> </w:t>
            </w:r>
            <w:r w:rsidRPr="0054397B">
              <w:rPr>
                <w:lang w:eastAsia="en-US"/>
              </w:rPr>
              <w:t>(Perkančiosios organizacijos turimai įrangai)</w:t>
            </w:r>
          </w:p>
        </w:tc>
        <w:tc>
          <w:tcPr>
            <w:tcW w:w="3544" w:type="dxa"/>
            <w:tcBorders>
              <w:top w:val="single" w:sz="6" w:space="0" w:color="auto"/>
              <w:left w:val="single" w:sz="6" w:space="0" w:color="auto"/>
              <w:bottom w:val="single" w:sz="6" w:space="0" w:color="auto"/>
              <w:right w:val="single" w:sz="6" w:space="0" w:color="auto"/>
            </w:tcBorders>
          </w:tcPr>
          <w:p w14:paraId="08274507" w14:textId="760E49AF" w:rsidR="00767672" w:rsidRPr="0054397B" w:rsidRDefault="00767672" w:rsidP="00767672">
            <w:pPr>
              <w:jc w:val="both"/>
            </w:pPr>
            <w:r w:rsidRPr="0054397B">
              <w:lastRenderedPageBreak/>
              <w:t xml:space="preserve">Gamintojo garantuojamas </w:t>
            </w:r>
            <w:r w:rsidR="00EC7143">
              <w:t>36</w:t>
            </w:r>
            <w:r w:rsidRPr="0054397B">
              <w:t xml:space="preserve"> mėn. garantinis aptarnavimas bei atnaujinimų teikimas garantiniu laikotarpiu:</w:t>
            </w:r>
          </w:p>
          <w:p w14:paraId="658FDAD5" w14:textId="77777777" w:rsidR="00767672" w:rsidRPr="0054397B" w:rsidRDefault="00767672" w:rsidP="009F0311">
            <w:pPr>
              <w:widowControl/>
              <w:numPr>
                <w:ilvl w:val="0"/>
                <w:numId w:val="4"/>
              </w:numPr>
              <w:autoSpaceDE/>
              <w:autoSpaceDN/>
              <w:adjustRightInd/>
            </w:pPr>
            <w:r w:rsidRPr="0054397B">
              <w:t>NGFW;</w:t>
            </w:r>
          </w:p>
          <w:p w14:paraId="5ACB0D8C" w14:textId="77777777" w:rsidR="00767672" w:rsidRPr="0054397B" w:rsidRDefault="00767672" w:rsidP="009F0311">
            <w:pPr>
              <w:widowControl/>
              <w:numPr>
                <w:ilvl w:val="0"/>
                <w:numId w:val="4"/>
              </w:numPr>
              <w:autoSpaceDE/>
              <w:autoSpaceDN/>
              <w:adjustRightInd/>
            </w:pPr>
            <w:proofErr w:type="spellStart"/>
            <w:r w:rsidRPr="0054397B">
              <w:t>Antivirus</w:t>
            </w:r>
            <w:proofErr w:type="spellEnd"/>
            <w:r w:rsidRPr="0054397B">
              <w:t>;</w:t>
            </w:r>
          </w:p>
          <w:p w14:paraId="3AD38A7A" w14:textId="77777777" w:rsidR="00767672" w:rsidRPr="0054397B" w:rsidRDefault="00767672" w:rsidP="009F0311">
            <w:pPr>
              <w:widowControl/>
              <w:numPr>
                <w:ilvl w:val="0"/>
                <w:numId w:val="4"/>
              </w:numPr>
              <w:autoSpaceDE/>
              <w:autoSpaceDN/>
              <w:adjustRightInd/>
            </w:pPr>
            <w:proofErr w:type="spellStart"/>
            <w:r w:rsidRPr="0054397B">
              <w:t>Antispam</w:t>
            </w:r>
            <w:proofErr w:type="spellEnd"/>
            <w:r w:rsidRPr="0054397B">
              <w:t>;</w:t>
            </w:r>
          </w:p>
          <w:p w14:paraId="60744342" w14:textId="77777777" w:rsidR="00767672" w:rsidRPr="0054397B" w:rsidRDefault="00767672" w:rsidP="009F0311">
            <w:pPr>
              <w:widowControl/>
              <w:numPr>
                <w:ilvl w:val="0"/>
                <w:numId w:val="4"/>
              </w:numPr>
              <w:autoSpaceDE/>
              <w:autoSpaceDN/>
              <w:adjustRightInd/>
            </w:pPr>
            <w:proofErr w:type="spellStart"/>
            <w:r w:rsidRPr="0054397B">
              <w:lastRenderedPageBreak/>
              <w:t>Web</w:t>
            </w:r>
            <w:proofErr w:type="spellEnd"/>
            <w:r w:rsidRPr="0054397B">
              <w:t xml:space="preserve"> filtravimas.</w:t>
            </w:r>
          </w:p>
          <w:p w14:paraId="67452C1E" w14:textId="77777777" w:rsidR="00767672" w:rsidRPr="0054397B" w:rsidRDefault="00767672" w:rsidP="009F0311">
            <w:pPr>
              <w:ind w:left="720"/>
            </w:pPr>
          </w:p>
          <w:p w14:paraId="63BA5F60" w14:textId="6017EE9B" w:rsidR="00767672" w:rsidRPr="0054397B" w:rsidRDefault="00767672" w:rsidP="009F0311">
            <w:r w:rsidRPr="0054397B">
              <w:t>Programinės įrangos palaikymas:</w:t>
            </w:r>
          </w:p>
          <w:p w14:paraId="7FE9D5F7" w14:textId="77777777" w:rsidR="00767672" w:rsidRPr="0054397B" w:rsidRDefault="00767672" w:rsidP="009F0311">
            <w:pPr>
              <w:widowControl/>
              <w:numPr>
                <w:ilvl w:val="0"/>
                <w:numId w:val="5"/>
              </w:numPr>
              <w:autoSpaceDE/>
              <w:autoSpaceDN/>
              <w:adjustRightInd/>
            </w:pPr>
            <w:r w:rsidRPr="0054397B">
              <w:t>teisė gauti klaidų pataisymus;</w:t>
            </w:r>
          </w:p>
          <w:p w14:paraId="48C25ABE" w14:textId="1E26C26E" w:rsidR="00767672" w:rsidRPr="0054397B" w:rsidRDefault="00767672" w:rsidP="009F0311">
            <w:pPr>
              <w:widowControl/>
              <w:numPr>
                <w:ilvl w:val="0"/>
                <w:numId w:val="5"/>
              </w:numPr>
              <w:autoSpaceDE/>
              <w:autoSpaceDN/>
              <w:adjustRightInd/>
            </w:pPr>
            <w:r w:rsidRPr="0054397B">
              <w:t>teisė gauti naujesnes programinės įrangos versijas.</w:t>
            </w:r>
          </w:p>
          <w:p w14:paraId="63200828" w14:textId="77777777" w:rsidR="00767672" w:rsidRPr="0054397B" w:rsidRDefault="00767672" w:rsidP="00767672">
            <w:pPr>
              <w:ind w:firstLine="384"/>
            </w:pPr>
          </w:p>
          <w:p w14:paraId="5EE5DE44" w14:textId="76095BE9" w:rsidR="00767672" w:rsidRPr="0054397B" w:rsidRDefault="00767672" w:rsidP="00767672">
            <w:pPr>
              <w:jc w:val="both"/>
            </w:pPr>
            <w:r w:rsidRPr="0054397B">
              <w:t>Teisė kreiptis į gamintoją iškilus vienai iš problemų:</w:t>
            </w:r>
          </w:p>
          <w:p w14:paraId="338CBA95" w14:textId="77777777" w:rsidR="00767672" w:rsidRPr="0054397B" w:rsidRDefault="00767672" w:rsidP="009F0311">
            <w:pPr>
              <w:widowControl/>
              <w:numPr>
                <w:ilvl w:val="0"/>
                <w:numId w:val="6"/>
              </w:numPr>
              <w:autoSpaceDE/>
              <w:autoSpaceDN/>
              <w:adjustRightInd/>
            </w:pPr>
            <w:r w:rsidRPr="0054397B">
              <w:t>produkto naudojimo;</w:t>
            </w:r>
          </w:p>
          <w:p w14:paraId="38DEC4D7" w14:textId="3BDB1162" w:rsidR="00767672" w:rsidRPr="0054397B" w:rsidRDefault="00767672" w:rsidP="009F0311">
            <w:pPr>
              <w:widowControl/>
              <w:numPr>
                <w:ilvl w:val="0"/>
                <w:numId w:val="6"/>
              </w:numPr>
              <w:autoSpaceDE/>
              <w:autoSpaceDN/>
              <w:adjustRightInd/>
            </w:pPr>
            <w:r w:rsidRPr="0054397B">
              <w:t>konfigūravimo ir problemų sprendimo klausimais.</w:t>
            </w:r>
          </w:p>
          <w:p w14:paraId="5532365C" w14:textId="77777777" w:rsidR="00767672" w:rsidRPr="0054397B" w:rsidRDefault="00767672" w:rsidP="00767672">
            <w:pPr>
              <w:ind w:firstLine="384"/>
            </w:pPr>
          </w:p>
          <w:p w14:paraId="025C417D" w14:textId="01BADD30" w:rsidR="00767672" w:rsidRPr="0054397B" w:rsidRDefault="00767672" w:rsidP="009F0311">
            <w:r w:rsidRPr="0054397B">
              <w:t>Paslaugų teikimo laikas ir būdas:</w:t>
            </w:r>
          </w:p>
          <w:p w14:paraId="284918A0" w14:textId="4E53B204" w:rsidR="00767672" w:rsidRPr="0054397B" w:rsidRDefault="00767672" w:rsidP="009F0311">
            <w:pPr>
              <w:widowControl/>
              <w:numPr>
                <w:ilvl w:val="0"/>
                <w:numId w:val="7"/>
              </w:numPr>
              <w:autoSpaceDE/>
              <w:autoSpaceDN/>
              <w:adjustRightInd/>
            </w:pPr>
            <w:r w:rsidRPr="0054397B">
              <w:t>darbo dienomis, darbo valandomis</w:t>
            </w:r>
            <w:r w:rsidRPr="0054397B">
              <w:rPr>
                <w:rStyle w:val="FootnoteReference"/>
              </w:rPr>
              <w:footnoteReference w:id="2"/>
            </w:r>
            <w:r w:rsidRPr="0054397B">
              <w:t>;</w:t>
            </w:r>
          </w:p>
          <w:p w14:paraId="17427F28" w14:textId="21E039B0" w:rsidR="00767672" w:rsidRPr="0054397B" w:rsidRDefault="00767672" w:rsidP="009F0311">
            <w:pPr>
              <w:widowControl/>
              <w:numPr>
                <w:ilvl w:val="0"/>
                <w:numId w:val="7"/>
              </w:numPr>
              <w:autoSpaceDE/>
              <w:autoSpaceDN/>
              <w:adjustRightInd/>
            </w:pPr>
            <w:r w:rsidRPr="0054397B">
              <w:t>internetu, elektroniniu paštu ar telefonu.</w:t>
            </w:r>
          </w:p>
          <w:p w14:paraId="6D14E185" w14:textId="77777777" w:rsidR="00767672" w:rsidRPr="0054397B" w:rsidRDefault="00767672" w:rsidP="009F0311">
            <w:pPr>
              <w:ind w:left="360"/>
            </w:pPr>
          </w:p>
          <w:p w14:paraId="5284EFDD" w14:textId="551C89CD" w:rsidR="00767672" w:rsidRPr="0054397B" w:rsidRDefault="00767672" w:rsidP="00767672">
            <w:pPr>
              <w:jc w:val="both"/>
            </w:pPr>
            <w:r w:rsidRPr="0054397B">
              <w:t>Prieiga prie gamintojo internetiniame puslapyje esančių techninių resursų ir programinės įrangos bibliotekos.</w:t>
            </w:r>
          </w:p>
        </w:tc>
        <w:tc>
          <w:tcPr>
            <w:tcW w:w="3969" w:type="dxa"/>
            <w:tcBorders>
              <w:top w:val="single" w:sz="6" w:space="0" w:color="auto"/>
              <w:left w:val="single" w:sz="6" w:space="0" w:color="auto"/>
              <w:bottom w:val="single" w:sz="6" w:space="0" w:color="auto"/>
              <w:right w:val="single" w:sz="6" w:space="0" w:color="auto"/>
            </w:tcBorders>
          </w:tcPr>
          <w:p w14:paraId="5284EFDE" w14:textId="77777777" w:rsidR="00767672" w:rsidRPr="0054397B" w:rsidRDefault="00767672" w:rsidP="009F0311"/>
        </w:tc>
      </w:tr>
    </w:tbl>
    <w:p w14:paraId="398AD6D3" w14:textId="77777777" w:rsidR="00767672" w:rsidRDefault="00767672" w:rsidP="0054397B">
      <w:pPr>
        <w:pStyle w:val="Style5"/>
        <w:widowControl/>
        <w:spacing w:line="240" w:lineRule="auto"/>
        <w:ind w:firstLine="567"/>
        <w:jc w:val="both"/>
        <w:rPr>
          <w:rStyle w:val="FontStyle12"/>
          <w:sz w:val="24"/>
          <w:szCs w:val="24"/>
        </w:rPr>
      </w:pPr>
    </w:p>
    <w:p w14:paraId="26E7252E" w14:textId="77777777" w:rsidR="00576FF7" w:rsidRPr="005A57A7" w:rsidRDefault="00576FF7" w:rsidP="005A57A7">
      <w:pPr>
        <w:pStyle w:val="Style5"/>
        <w:widowControl/>
        <w:ind w:firstLine="567"/>
        <w:jc w:val="center"/>
        <w:rPr>
          <w:rStyle w:val="FontStyle12"/>
          <w:b/>
          <w:bCs/>
          <w:sz w:val="24"/>
          <w:szCs w:val="24"/>
        </w:rPr>
      </w:pPr>
      <w:r w:rsidRPr="005A57A7">
        <w:rPr>
          <w:rStyle w:val="FontStyle12"/>
          <w:b/>
          <w:bCs/>
          <w:sz w:val="24"/>
          <w:szCs w:val="24"/>
        </w:rPr>
        <w:t>III.</w:t>
      </w:r>
      <w:r w:rsidRPr="005A57A7">
        <w:rPr>
          <w:rStyle w:val="FontStyle12"/>
          <w:b/>
          <w:bCs/>
          <w:sz w:val="24"/>
          <w:szCs w:val="24"/>
        </w:rPr>
        <w:tab/>
        <w:t>KITI REIKALAVIMAI PREKĖMS (NACIONALINIO SAUGUMO REIKALAVIMAI)</w:t>
      </w:r>
    </w:p>
    <w:p w14:paraId="0C8A2D28" w14:textId="77777777" w:rsidR="00576FF7" w:rsidRPr="00576FF7" w:rsidRDefault="00576FF7" w:rsidP="00576FF7">
      <w:pPr>
        <w:pStyle w:val="Style5"/>
        <w:widowControl/>
        <w:ind w:firstLine="567"/>
        <w:jc w:val="both"/>
        <w:rPr>
          <w:rStyle w:val="FontStyle12"/>
          <w:sz w:val="24"/>
          <w:szCs w:val="24"/>
        </w:rPr>
      </w:pPr>
    </w:p>
    <w:p w14:paraId="2BF30A09" w14:textId="177A4406" w:rsidR="00576FF7" w:rsidRPr="00576FF7" w:rsidRDefault="00576FF7" w:rsidP="00576FF7">
      <w:pPr>
        <w:pStyle w:val="Style5"/>
        <w:widowControl/>
        <w:ind w:firstLine="567"/>
        <w:jc w:val="both"/>
        <w:rPr>
          <w:rStyle w:val="FontStyle12"/>
          <w:sz w:val="24"/>
          <w:szCs w:val="24"/>
        </w:rPr>
      </w:pPr>
      <w:r>
        <w:rPr>
          <w:rStyle w:val="FontStyle12"/>
          <w:sz w:val="24"/>
          <w:szCs w:val="24"/>
        </w:rPr>
        <w:t>5</w:t>
      </w:r>
      <w:r w:rsidRPr="00576FF7">
        <w:rPr>
          <w:rStyle w:val="FontStyle12"/>
          <w:sz w:val="24"/>
          <w:szCs w:val="24"/>
        </w:rPr>
        <w:t>.</w:t>
      </w:r>
      <w:r w:rsidRPr="00576FF7">
        <w:rPr>
          <w:rStyle w:val="FontStyle12"/>
          <w:sz w:val="24"/>
          <w:szCs w:val="24"/>
        </w:rPr>
        <w:tab/>
        <w:t>Perkančioji organizacija siekia įsigyti prekes, kurios nekelia grėsmės nacionaliniam saugumui. Perkančioji organizacija yra įrašyta į Saugiojo tinklo naudotojų sąrašą bei yra esminis kibernetinio saugumo subjektas, todėl vadovaujantis VPĮ 37 straipsnio 9 dalimi, prekės turi atitikti žemiau nurodytus su nacionaliniu saugumu susijusius reikalavimus:</w:t>
      </w:r>
    </w:p>
    <w:p w14:paraId="25D4BF15" w14:textId="77777777" w:rsidR="00576FF7" w:rsidRPr="00576FF7" w:rsidRDefault="00576FF7" w:rsidP="00576FF7">
      <w:pPr>
        <w:pStyle w:val="Style5"/>
        <w:widowControl/>
        <w:ind w:firstLine="567"/>
        <w:jc w:val="both"/>
        <w:rPr>
          <w:rStyle w:val="FontStyle12"/>
          <w:sz w:val="24"/>
          <w:szCs w:val="24"/>
        </w:rPr>
      </w:pPr>
    </w:p>
    <w:p w14:paraId="6DB34ADD" w14:textId="77777777" w:rsidR="00576FF7" w:rsidRDefault="00576FF7" w:rsidP="00576FF7">
      <w:pPr>
        <w:pStyle w:val="Style5"/>
        <w:widowControl/>
        <w:ind w:firstLine="567"/>
        <w:jc w:val="both"/>
        <w:rPr>
          <w:rStyle w:val="FontStyle12"/>
          <w:sz w:val="24"/>
          <w:szCs w:val="24"/>
        </w:rPr>
      </w:pPr>
      <w:r w:rsidRPr="00576FF7">
        <w:rPr>
          <w:rStyle w:val="FontStyle12"/>
          <w:sz w:val="24"/>
          <w:szCs w:val="24"/>
        </w:rPr>
        <w:t>3 lentelė. Nacionalinio saugumo reikalavimai</w:t>
      </w:r>
    </w:p>
    <w:tbl>
      <w:tblPr>
        <w:tblW w:w="5210" w:type="pct"/>
        <w:jc w:val="center"/>
        <w:tblLayout w:type="fixed"/>
        <w:tblLook w:val="0000" w:firstRow="0" w:lastRow="0" w:firstColumn="0" w:lastColumn="0" w:noHBand="0" w:noVBand="0"/>
      </w:tblPr>
      <w:tblGrid>
        <w:gridCol w:w="988"/>
        <w:gridCol w:w="3181"/>
        <w:gridCol w:w="5862"/>
      </w:tblGrid>
      <w:tr w:rsidR="00576FF7" w:rsidRPr="00576FF7" w14:paraId="24E26E83" w14:textId="77777777" w:rsidTr="005A57A7">
        <w:trPr>
          <w:tblHeader/>
          <w:jc w:val="center"/>
        </w:trPr>
        <w:tc>
          <w:tcPr>
            <w:tcW w:w="988" w:type="dxa"/>
            <w:tcBorders>
              <w:top w:val="single" w:sz="4" w:space="0" w:color="000000"/>
              <w:left w:val="single" w:sz="4" w:space="0" w:color="000000"/>
              <w:bottom w:val="single" w:sz="4" w:space="0" w:color="000000"/>
            </w:tcBorders>
            <w:vAlign w:val="center"/>
          </w:tcPr>
          <w:p w14:paraId="412FA7EF" w14:textId="77777777" w:rsidR="00576FF7" w:rsidRPr="00576FF7" w:rsidRDefault="00576FF7" w:rsidP="00576FF7">
            <w:pPr>
              <w:widowControl/>
              <w:autoSpaceDE/>
              <w:autoSpaceDN/>
              <w:adjustRightInd/>
              <w:spacing w:after="160" w:line="259" w:lineRule="auto"/>
              <w:jc w:val="center"/>
              <w:rPr>
                <w:rFonts w:eastAsia="Calibri"/>
                <w:b/>
                <w:bCs/>
                <w:lang w:eastAsia="en-US"/>
              </w:rPr>
            </w:pPr>
            <w:r w:rsidRPr="00576FF7">
              <w:rPr>
                <w:rFonts w:eastAsia="Calibri"/>
                <w:b/>
                <w:bCs/>
                <w:lang w:eastAsia="en-US"/>
              </w:rPr>
              <w:t>Nr.</w:t>
            </w:r>
          </w:p>
        </w:tc>
        <w:tc>
          <w:tcPr>
            <w:tcW w:w="3181" w:type="dxa"/>
            <w:tcBorders>
              <w:top w:val="single" w:sz="4" w:space="0" w:color="000000"/>
              <w:left w:val="single" w:sz="4" w:space="0" w:color="000000"/>
              <w:bottom w:val="single" w:sz="4" w:space="0" w:color="000000"/>
            </w:tcBorders>
            <w:vAlign w:val="center"/>
          </w:tcPr>
          <w:p w14:paraId="5C4A404F" w14:textId="77777777" w:rsidR="00576FF7" w:rsidRPr="00576FF7" w:rsidRDefault="00576FF7" w:rsidP="00576FF7">
            <w:pPr>
              <w:widowControl/>
              <w:autoSpaceDE/>
              <w:autoSpaceDN/>
              <w:adjustRightInd/>
              <w:spacing w:after="160" w:line="259" w:lineRule="auto"/>
              <w:jc w:val="center"/>
              <w:rPr>
                <w:rFonts w:eastAsia="Calibri"/>
                <w:lang w:eastAsia="en-US"/>
              </w:rPr>
            </w:pPr>
            <w:r w:rsidRPr="00576FF7">
              <w:rPr>
                <w:rFonts w:eastAsia="Times New Roman"/>
                <w:b/>
                <w:bCs/>
                <w:lang w:eastAsia="en-US"/>
              </w:rPr>
              <w:t>Su nacionaliniu saugumu susijęs reikalavimas</w:t>
            </w:r>
          </w:p>
        </w:tc>
        <w:tc>
          <w:tcPr>
            <w:tcW w:w="5863" w:type="dxa"/>
            <w:tcBorders>
              <w:top w:val="single" w:sz="4" w:space="0" w:color="000000"/>
              <w:left w:val="single" w:sz="4" w:space="0" w:color="000000"/>
              <w:bottom w:val="single" w:sz="4" w:space="0" w:color="000000"/>
              <w:right w:val="single" w:sz="4" w:space="0" w:color="000000"/>
            </w:tcBorders>
            <w:vAlign w:val="center"/>
          </w:tcPr>
          <w:p w14:paraId="2791F14A" w14:textId="77777777" w:rsidR="00576FF7" w:rsidRPr="00576FF7" w:rsidRDefault="00576FF7" w:rsidP="00576FF7">
            <w:pPr>
              <w:widowControl/>
              <w:autoSpaceDE/>
              <w:autoSpaceDN/>
              <w:adjustRightInd/>
              <w:spacing w:after="160" w:line="259" w:lineRule="auto"/>
              <w:jc w:val="center"/>
              <w:rPr>
                <w:rFonts w:eastAsia="Calibri"/>
                <w:lang w:eastAsia="en-US"/>
              </w:rPr>
            </w:pPr>
            <w:r w:rsidRPr="00576FF7">
              <w:rPr>
                <w:rFonts w:eastAsia="Times New Roman"/>
                <w:b/>
                <w:bCs/>
                <w:lang w:eastAsia="en-US"/>
              </w:rPr>
              <w:t>Atitiktį reikalavimui pagrindžiantys dokumentai</w:t>
            </w:r>
            <w:r w:rsidRPr="00576FF7">
              <w:rPr>
                <w:rFonts w:ascii="Calibri" w:eastAsia="Calibri" w:hAnsi="Calibri" w:cs="Arial"/>
                <w:b/>
                <w:bCs/>
                <w:sz w:val="22"/>
                <w:vertAlign w:val="superscript"/>
                <w:lang w:eastAsia="en-US"/>
              </w:rPr>
              <w:footnoteReference w:id="3"/>
            </w:r>
          </w:p>
        </w:tc>
      </w:tr>
      <w:tr w:rsidR="00576FF7" w:rsidRPr="00576FF7" w14:paraId="43AF9B9B" w14:textId="77777777" w:rsidTr="005A57A7">
        <w:trPr>
          <w:jc w:val="center"/>
        </w:trPr>
        <w:tc>
          <w:tcPr>
            <w:tcW w:w="988" w:type="dxa"/>
            <w:tcBorders>
              <w:top w:val="single" w:sz="4" w:space="0" w:color="000000"/>
              <w:left w:val="single" w:sz="4" w:space="0" w:color="000000"/>
              <w:bottom w:val="single" w:sz="4" w:space="0" w:color="000000"/>
            </w:tcBorders>
          </w:tcPr>
          <w:p w14:paraId="1DB66E22" w14:textId="1A61A667" w:rsidR="00576FF7" w:rsidRPr="00576FF7" w:rsidRDefault="00576FF7" w:rsidP="005A57A7">
            <w:pPr>
              <w:widowControl/>
              <w:tabs>
                <w:tab w:val="left" w:pos="589"/>
                <w:tab w:val="left" w:pos="993"/>
              </w:tabs>
              <w:autoSpaceDE/>
              <w:autoSpaceDN/>
              <w:adjustRightInd/>
              <w:spacing w:after="160" w:line="259" w:lineRule="auto"/>
              <w:contextualSpacing/>
              <w:jc w:val="center"/>
              <w:rPr>
                <w:rFonts w:eastAsia="Times New Roman"/>
                <w:bCs/>
                <w:lang w:eastAsia="en-US"/>
              </w:rPr>
            </w:pPr>
            <w:r>
              <w:rPr>
                <w:rFonts w:eastAsia="Times New Roman"/>
                <w:bCs/>
                <w:lang w:eastAsia="en-US"/>
              </w:rPr>
              <w:t>5.1.</w:t>
            </w:r>
          </w:p>
        </w:tc>
        <w:tc>
          <w:tcPr>
            <w:tcW w:w="3181" w:type="dxa"/>
            <w:tcBorders>
              <w:top w:val="single" w:sz="4" w:space="0" w:color="000000"/>
              <w:left w:val="single" w:sz="4" w:space="0" w:color="000000"/>
              <w:bottom w:val="single" w:sz="4" w:space="0" w:color="000000"/>
            </w:tcBorders>
          </w:tcPr>
          <w:p w14:paraId="7AABE052" w14:textId="77777777" w:rsidR="00576FF7" w:rsidRPr="00576FF7" w:rsidRDefault="00576FF7" w:rsidP="00576FF7">
            <w:pPr>
              <w:widowControl/>
              <w:autoSpaceDE/>
              <w:autoSpaceDN/>
              <w:adjustRightInd/>
              <w:spacing w:after="160" w:line="259" w:lineRule="auto"/>
              <w:jc w:val="both"/>
              <w:rPr>
                <w:rFonts w:eastAsia="Calibri"/>
                <w:lang w:eastAsia="en-US"/>
              </w:rPr>
            </w:pPr>
            <w:r w:rsidRPr="00576FF7">
              <w:rPr>
                <w:rFonts w:eastAsia="Times New Roman"/>
                <w:b/>
                <w:bCs/>
                <w:lang w:eastAsia="en-US"/>
              </w:rPr>
              <w:t xml:space="preserve">Prekės (programinė įranga) turi nekelti grėsmės nacionaliniam saugumui. </w:t>
            </w:r>
            <w:r w:rsidRPr="00576FF7">
              <w:rPr>
                <w:rFonts w:eastAsia="Times New Roman"/>
                <w:lang w:eastAsia="en-US"/>
              </w:rPr>
              <w:t xml:space="preserve">Perkančioji organizacija laiko, kad prekės –programinė įranga </w:t>
            </w:r>
            <w:r w:rsidRPr="00576FF7">
              <w:rPr>
                <w:rFonts w:eastAsia="Times New Roman"/>
                <w:lang w:eastAsia="en-US"/>
              </w:rPr>
              <w:lastRenderedPageBreak/>
              <w:t>- kelia grėsmę nacionaliniam saugumui, kai prekių –programinės įrangos -  gamintojas ar jį kontroliuojantis asmuo</w:t>
            </w:r>
            <w:r w:rsidRPr="00576FF7">
              <w:rPr>
                <w:rFonts w:eastAsia="Times New Roman"/>
                <w:vertAlign w:val="superscript"/>
                <w:lang w:eastAsia="en-US"/>
              </w:rPr>
              <w:footnoteReference w:id="4"/>
            </w:r>
            <w:r w:rsidRPr="00576FF7">
              <w:rPr>
                <w:rFonts w:eastAsia="Times New Roman"/>
                <w:lang w:eastAsia="en-US"/>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576FF7">
              <w:rPr>
                <w:rFonts w:eastAsia="Times New Roman"/>
                <w:vertAlign w:val="superscript"/>
                <w:lang w:eastAsia="en-US"/>
              </w:rPr>
              <w:footnoteReference w:id="5"/>
            </w:r>
            <w:r w:rsidRPr="00576FF7">
              <w:rPr>
                <w:rFonts w:eastAsia="Times New Roman"/>
                <w:lang w:eastAsia="en-US"/>
              </w:rPr>
              <w:t>.</w:t>
            </w:r>
          </w:p>
        </w:tc>
        <w:tc>
          <w:tcPr>
            <w:tcW w:w="5863" w:type="dxa"/>
            <w:tcBorders>
              <w:top w:val="single" w:sz="4" w:space="0" w:color="000000"/>
              <w:left w:val="single" w:sz="4" w:space="0" w:color="000000"/>
              <w:bottom w:val="single" w:sz="4" w:space="0" w:color="000000"/>
              <w:right w:val="single" w:sz="4" w:space="0" w:color="000000"/>
            </w:tcBorders>
          </w:tcPr>
          <w:p w14:paraId="2EC99F0E" w14:textId="77777777" w:rsidR="00576FF7" w:rsidRPr="00576FF7" w:rsidRDefault="00576FF7" w:rsidP="00576FF7">
            <w:pPr>
              <w:widowControl/>
              <w:autoSpaceDE/>
              <w:autoSpaceDN/>
              <w:adjustRightInd/>
              <w:spacing w:after="160" w:line="259" w:lineRule="auto"/>
              <w:jc w:val="both"/>
              <w:rPr>
                <w:rFonts w:eastAsia="Times New Roman"/>
                <w:lang w:eastAsia="en-US"/>
              </w:rPr>
            </w:pPr>
            <w:r w:rsidRPr="00576FF7">
              <w:rPr>
                <w:rFonts w:eastAsia="Times New Roman"/>
                <w:lang w:eastAsia="en-US"/>
              </w:rPr>
              <w:lastRenderedPageBreak/>
              <w:t>Vadovaujantis LR Viešųjų pirkimų įstatymo 39 straipsnio 3 dalimi pateikiama:</w:t>
            </w:r>
          </w:p>
          <w:p w14:paraId="07E799E8" w14:textId="77777777" w:rsidR="00576FF7" w:rsidRPr="00576FF7" w:rsidRDefault="00576FF7" w:rsidP="00576FF7">
            <w:pPr>
              <w:widowControl/>
              <w:autoSpaceDE/>
              <w:autoSpaceDN/>
              <w:adjustRightInd/>
              <w:spacing w:after="160" w:line="259" w:lineRule="auto"/>
              <w:jc w:val="both"/>
              <w:rPr>
                <w:rFonts w:eastAsia="Times New Roman"/>
                <w:lang w:eastAsia="en-US"/>
              </w:rPr>
            </w:pPr>
            <w:r w:rsidRPr="00576FF7">
              <w:rPr>
                <w:rFonts w:eastAsia="Times New Roman"/>
                <w:lang w:eastAsia="en-US"/>
              </w:rPr>
              <w:lastRenderedPageBreak/>
              <w:t>1. Nacionalinio saugumo reikalavimų atitikties deklaracija, patvirtinta Viešųjų pirkimų tarnybos 2022 m. gruodžio 29 d. įsakymu Nr. 1S-233.</w:t>
            </w:r>
            <w:r w:rsidRPr="00576FF7">
              <w:rPr>
                <w:rFonts w:ascii="Calibri" w:eastAsia="Calibri" w:hAnsi="Calibri" w:cs="Arial"/>
                <w:sz w:val="22"/>
                <w:vertAlign w:val="superscript"/>
                <w:lang w:eastAsia="en-US"/>
              </w:rPr>
              <w:footnoteReference w:id="6"/>
            </w:r>
          </w:p>
          <w:p w14:paraId="5B080723" w14:textId="77777777" w:rsidR="00576FF7" w:rsidRPr="00576FF7" w:rsidRDefault="00576FF7" w:rsidP="00576FF7">
            <w:pPr>
              <w:widowControl/>
              <w:autoSpaceDE/>
              <w:autoSpaceDN/>
              <w:adjustRightInd/>
              <w:spacing w:after="160" w:line="259" w:lineRule="auto"/>
              <w:jc w:val="both"/>
              <w:rPr>
                <w:rFonts w:eastAsia="Times New Roman"/>
                <w:color w:val="00B050"/>
                <w:lang w:eastAsia="en-US"/>
              </w:rPr>
            </w:pPr>
            <w:r w:rsidRPr="00576FF7">
              <w:rPr>
                <w:rFonts w:eastAsia="Times New Roman"/>
                <w:lang w:eastAsia="en-US"/>
              </w:rPr>
              <w:t>Ekonomiškai naudingiausią pasiūlymą pateikusio tiekėjo (galimo pirkimo laimėtojo) prašoma pateikti vieną ar kelis šiuos dokumentus.</w:t>
            </w:r>
            <w:r w:rsidRPr="00576FF7">
              <w:rPr>
                <w:rFonts w:eastAsia="Times New Roman"/>
                <w:color w:val="00B050"/>
                <w:lang w:eastAsia="en-US"/>
              </w:rPr>
              <w:t xml:space="preserve"> </w:t>
            </w:r>
            <w:r w:rsidRPr="00576FF7">
              <w:rPr>
                <w:rFonts w:eastAsia="Times New Roman"/>
                <w:b/>
                <w:bCs/>
                <w:lang w:eastAsia="en-US"/>
              </w:rPr>
              <w:t>(SVARBU: teikiama tiek dokumentų, kiek reikalinga patvirtinti nurodytą informaciją)</w:t>
            </w:r>
            <w:r w:rsidRPr="00576FF7">
              <w:rPr>
                <w:rFonts w:eastAsia="Times New Roman"/>
                <w:lang w:eastAsia="en-US"/>
              </w:rPr>
              <w:t>:</w:t>
            </w:r>
          </w:p>
          <w:p w14:paraId="5E06A9D9" w14:textId="77777777" w:rsidR="00576FF7" w:rsidRPr="00576FF7" w:rsidRDefault="00576FF7" w:rsidP="00576FF7">
            <w:pPr>
              <w:widowControl/>
              <w:autoSpaceDE/>
              <w:autoSpaceDN/>
              <w:adjustRightInd/>
              <w:spacing w:after="160" w:line="240" w:lineRule="atLeast"/>
              <w:jc w:val="both"/>
              <w:rPr>
                <w:rFonts w:eastAsia="Times New Roman"/>
                <w:lang w:eastAsia="en-US"/>
              </w:rPr>
            </w:pPr>
            <w:r w:rsidRPr="00576FF7">
              <w:rPr>
                <w:rFonts w:eastAsia="Times New Roman"/>
                <w:color w:val="000000"/>
                <w:lang w:eastAsia="en-US"/>
              </w:rPr>
              <w:t xml:space="preserve">1) </w:t>
            </w:r>
            <w:r w:rsidRPr="00576FF7">
              <w:rPr>
                <w:rFonts w:eastAsia="Times New Roman"/>
                <w:lang w:eastAsia="en-US"/>
              </w:rPr>
              <w:t xml:space="preserve">jei prekių – programinės įrangos - gamintojas ar jį kontroliuojantis asmuo yra </w:t>
            </w:r>
            <w:r w:rsidRPr="00576FF7">
              <w:rPr>
                <w:rFonts w:eastAsia="Times New Roman"/>
                <w:b/>
                <w:bCs/>
                <w:lang w:eastAsia="en-US"/>
              </w:rPr>
              <w:t>juridinis asmuo</w:t>
            </w:r>
            <w:r w:rsidRPr="00576FF7">
              <w:rPr>
                <w:rFonts w:eastAsia="Times New Roman"/>
                <w:lang w:eastAsia="en-US"/>
              </w:rPr>
              <w:t>,</w:t>
            </w:r>
            <w:r w:rsidRPr="00576FF7">
              <w:rPr>
                <w:rFonts w:eastAsia="Calibri"/>
                <w:lang w:eastAsia="en-US"/>
              </w:rPr>
              <w:t xml:space="preserve"> </w:t>
            </w:r>
            <w:r w:rsidRPr="00576FF7">
              <w:rPr>
                <w:rFonts w:eastAsia="Times New Roman"/>
                <w:lang w:eastAsia="en-US"/>
              </w:rPr>
              <w:t xml:space="preserve">pateikiama juridinio asmens vadovo patvirtinta juridinio asmens steigimo dokumentų kopija, Juridinių asmenų registro išplėstinis išrašas su istorija,  </w:t>
            </w:r>
            <w:r w:rsidRPr="00576FF7">
              <w:rPr>
                <w:rFonts w:eastAsia="Calibri"/>
                <w:lang w:eastAsia="en-US"/>
              </w:rPr>
              <w:t>Juridinių asmenų dalyvių informacinės sistemos išrašas</w:t>
            </w:r>
            <w:r w:rsidRPr="00576FF7">
              <w:rPr>
                <w:rFonts w:eastAsia="Times New Roman"/>
                <w:lang w:eastAsia="en-US"/>
              </w:rPr>
              <w:t xml:space="preserve"> arba atitinkami valstybės narės ar trečiosios šalies dokumentai ar kiti perkančiajai organizacijai priimtini dokumentai.</w:t>
            </w:r>
          </w:p>
          <w:p w14:paraId="40AEC565" w14:textId="77777777" w:rsidR="00576FF7" w:rsidRPr="00576FF7" w:rsidRDefault="00576FF7" w:rsidP="00576FF7">
            <w:pPr>
              <w:widowControl/>
              <w:autoSpaceDE/>
              <w:autoSpaceDN/>
              <w:adjustRightInd/>
              <w:spacing w:after="160" w:line="240" w:lineRule="atLeast"/>
              <w:jc w:val="both"/>
              <w:rPr>
                <w:rFonts w:eastAsia="Times New Roman"/>
                <w:color w:val="000000"/>
                <w:lang w:eastAsia="en-US"/>
              </w:rPr>
            </w:pPr>
            <w:r w:rsidRPr="00576FF7">
              <w:rPr>
                <w:rFonts w:eastAsia="Times New Roman"/>
                <w:color w:val="000000"/>
                <w:lang w:eastAsia="en-US"/>
              </w:rPr>
              <w:t xml:space="preserve">2) jei prekių – programinės įrangos - gamintojas ar jį kontroliuojantis asmuo yra </w:t>
            </w:r>
            <w:r w:rsidRPr="00576FF7">
              <w:rPr>
                <w:rFonts w:eastAsia="Times New Roman"/>
                <w:b/>
                <w:bCs/>
                <w:color w:val="000000"/>
                <w:lang w:eastAsia="en-US"/>
              </w:rPr>
              <w:t>fizinis asmuo</w:t>
            </w:r>
            <w:r w:rsidRPr="00576FF7">
              <w:rPr>
                <w:rFonts w:eastAsia="Times New Roman"/>
                <w:color w:val="000000"/>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BD78C2F" w14:textId="77777777" w:rsidR="00576FF7" w:rsidRPr="00576FF7" w:rsidRDefault="00576FF7" w:rsidP="00576FF7">
            <w:pPr>
              <w:widowControl/>
              <w:autoSpaceDE/>
              <w:autoSpaceDN/>
              <w:adjustRightInd/>
              <w:spacing w:after="160"/>
              <w:jc w:val="both"/>
              <w:rPr>
                <w:rFonts w:eastAsia="Calibri"/>
                <w:b/>
                <w:bCs/>
                <w:lang w:eastAsia="en-US"/>
              </w:rPr>
            </w:pPr>
            <w:r w:rsidRPr="00576FF7">
              <w:rPr>
                <w:rFonts w:eastAsia="Calibri"/>
                <w:b/>
                <w:bCs/>
                <w:lang w:eastAsia="en-U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729AE67" w14:textId="77777777" w:rsidR="00576FF7" w:rsidRPr="00576FF7" w:rsidRDefault="00576FF7" w:rsidP="00576FF7">
            <w:pPr>
              <w:widowControl/>
              <w:autoSpaceDE/>
              <w:autoSpaceDN/>
              <w:adjustRightInd/>
              <w:spacing w:after="160" w:line="240" w:lineRule="atLeast"/>
              <w:jc w:val="both"/>
              <w:rPr>
                <w:rFonts w:eastAsia="Times New Roman"/>
                <w:color w:val="000000"/>
                <w:lang w:eastAsia="en-US"/>
              </w:rPr>
            </w:pPr>
            <w:r w:rsidRPr="00576FF7">
              <w:rPr>
                <w:rFonts w:eastAsia="Calibri"/>
                <w:i/>
                <w:iCs/>
                <w:color w:val="000000"/>
                <w:lang w:eastAsia="en-US"/>
              </w:rPr>
              <w:t xml:space="preserve">Pavyzdys: Jeigu perkančioji organizacija 2022-10-10 kreipėsi į tiekėją prašydama iki 2022-10-14 pateikti </w:t>
            </w:r>
            <w:r w:rsidRPr="00576FF7">
              <w:rPr>
                <w:rFonts w:eastAsia="Calibri"/>
                <w:i/>
                <w:iCs/>
                <w:color w:val="000000"/>
                <w:lang w:eastAsia="en-US"/>
              </w:rPr>
              <w:lastRenderedPageBreak/>
              <w:t>dokumentus, jie turi būti išduoti ne anksčiau kaip3 mėn., skaičiuojant atgal nuo 2022-10-14.</w:t>
            </w:r>
          </w:p>
          <w:p w14:paraId="4514A2A0" w14:textId="77777777" w:rsidR="00576FF7" w:rsidRPr="00576FF7" w:rsidRDefault="00576FF7" w:rsidP="00576FF7">
            <w:pPr>
              <w:widowControl/>
              <w:autoSpaceDE/>
              <w:autoSpaceDN/>
              <w:adjustRightInd/>
              <w:spacing w:after="160" w:line="240" w:lineRule="atLeast"/>
              <w:jc w:val="both"/>
              <w:rPr>
                <w:rFonts w:eastAsia="Calibri"/>
                <w:lang w:eastAsia="en-US"/>
              </w:rPr>
            </w:pPr>
            <w:r w:rsidRPr="00576FF7">
              <w:rPr>
                <w:rFonts w:eastAsia="Calibri"/>
                <w:b/>
                <w:i/>
                <w:iCs/>
                <w:lang w:eastAsia="en-US"/>
              </w:rPr>
              <w:t>Tiekėjas turi atitikti reikalavimus pasiūlymo pateikimo dienai ir išlaikyti reikalavimo / reikalavimų atitikimą visą Sutarties galiojimo laikotarpį.</w:t>
            </w:r>
          </w:p>
        </w:tc>
      </w:tr>
    </w:tbl>
    <w:p w14:paraId="6F3AF865" w14:textId="77777777" w:rsidR="00576FF7" w:rsidRDefault="00576FF7" w:rsidP="00576FF7">
      <w:pPr>
        <w:pStyle w:val="Style5"/>
        <w:widowControl/>
        <w:ind w:firstLine="567"/>
        <w:jc w:val="both"/>
        <w:rPr>
          <w:rStyle w:val="FontStyle12"/>
          <w:sz w:val="24"/>
          <w:szCs w:val="24"/>
        </w:rPr>
      </w:pPr>
    </w:p>
    <w:p w14:paraId="474D14E1" w14:textId="77777777" w:rsidR="00576FF7" w:rsidRPr="00576FF7" w:rsidRDefault="00576FF7" w:rsidP="00576FF7">
      <w:pPr>
        <w:pStyle w:val="Style5"/>
        <w:widowControl/>
        <w:ind w:firstLine="567"/>
        <w:jc w:val="both"/>
        <w:rPr>
          <w:rStyle w:val="FontStyle12"/>
          <w:sz w:val="24"/>
          <w:szCs w:val="24"/>
        </w:rPr>
      </w:pPr>
    </w:p>
    <w:p w14:paraId="25269BCE" w14:textId="55B02F28" w:rsidR="00576FF7" w:rsidRPr="00576FF7" w:rsidRDefault="00576FF7" w:rsidP="00576FF7">
      <w:pPr>
        <w:pStyle w:val="Style5"/>
        <w:widowControl/>
        <w:ind w:firstLine="567"/>
        <w:jc w:val="both"/>
        <w:rPr>
          <w:rStyle w:val="FontStyle12"/>
          <w:sz w:val="24"/>
          <w:szCs w:val="24"/>
        </w:rPr>
      </w:pPr>
      <w:r>
        <w:rPr>
          <w:rStyle w:val="FontStyle12"/>
          <w:sz w:val="24"/>
          <w:szCs w:val="24"/>
        </w:rPr>
        <w:t>5</w:t>
      </w:r>
      <w:r w:rsidRPr="00576FF7">
        <w:rPr>
          <w:rStyle w:val="FontStyle12"/>
          <w:sz w:val="24"/>
          <w:szCs w:val="24"/>
        </w:rPr>
        <w:t>.2.</w:t>
      </w:r>
      <w:r w:rsidRPr="00576FF7">
        <w:rPr>
          <w:rStyle w:val="FontStyle12"/>
          <w:sz w:val="24"/>
          <w:szCs w:val="24"/>
        </w:rPr>
        <w:tab/>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5533EDE6" w14:textId="0F8846B5" w:rsidR="00576FF7" w:rsidRPr="00576FF7" w:rsidRDefault="00576FF7" w:rsidP="00576FF7">
      <w:pPr>
        <w:pStyle w:val="Style5"/>
        <w:widowControl/>
        <w:ind w:firstLine="567"/>
        <w:jc w:val="both"/>
        <w:rPr>
          <w:rStyle w:val="FontStyle12"/>
          <w:sz w:val="24"/>
          <w:szCs w:val="24"/>
        </w:rPr>
      </w:pPr>
      <w:r>
        <w:rPr>
          <w:rStyle w:val="FontStyle12"/>
          <w:sz w:val="24"/>
          <w:szCs w:val="24"/>
        </w:rPr>
        <w:t>5</w:t>
      </w:r>
      <w:r w:rsidRPr="00576FF7">
        <w:rPr>
          <w:rStyle w:val="FontStyle12"/>
          <w:sz w:val="24"/>
          <w:szCs w:val="24"/>
        </w:rPr>
        <w:t>.3.</w:t>
      </w:r>
      <w:r w:rsidRPr="00576FF7">
        <w:rPr>
          <w:rStyle w:val="FontStyle12"/>
          <w:sz w:val="24"/>
          <w:szCs w:val="24"/>
        </w:rPr>
        <w:tab/>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443A7602" w14:textId="2B645BF4" w:rsidR="00576FF7" w:rsidRPr="00576FF7" w:rsidRDefault="00576FF7" w:rsidP="00576FF7">
      <w:pPr>
        <w:pStyle w:val="Style5"/>
        <w:widowControl/>
        <w:ind w:firstLine="567"/>
        <w:jc w:val="both"/>
        <w:rPr>
          <w:rStyle w:val="FontStyle12"/>
          <w:sz w:val="24"/>
          <w:szCs w:val="24"/>
        </w:rPr>
      </w:pPr>
      <w:r>
        <w:rPr>
          <w:rStyle w:val="FontStyle12"/>
          <w:sz w:val="24"/>
          <w:szCs w:val="24"/>
        </w:rPr>
        <w:t>5</w:t>
      </w:r>
      <w:r w:rsidRPr="00576FF7">
        <w:rPr>
          <w:rStyle w:val="FontStyle12"/>
          <w:sz w:val="24"/>
          <w:szCs w:val="24"/>
        </w:rPr>
        <w:t>.4.</w:t>
      </w:r>
      <w:r w:rsidRPr="00576FF7">
        <w:rPr>
          <w:rStyle w:val="FontStyle12"/>
          <w:sz w:val="24"/>
          <w:szCs w:val="24"/>
        </w:rPr>
        <w:tab/>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CE0252" w14:textId="77777777" w:rsidR="00576FF7" w:rsidRPr="00576FF7" w:rsidRDefault="00576FF7" w:rsidP="00576FF7">
      <w:pPr>
        <w:pStyle w:val="Style5"/>
        <w:widowControl/>
        <w:ind w:firstLine="567"/>
        <w:jc w:val="both"/>
        <w:rPr>
          <w:rStyle w:val="FontStyle12"/>
          <w:sz w:val="24"/>
          <w:szCs w:val="24"/>
        </w:rPr>
      </w:pPr>
    </w:p>
    <w:p w14:paraId="273BC43B" w14:textId="77777777" w:rsidR="00576FF7" w:rsidRPr="005A57A7" w:rsidRDefault="00576FF7" w:rsidP="005A57A7">
      <w:pPr>
        <w:pStyle w:val="Style5"/>
        <w:widowControl/>
        <w:ind w:firstLine="567"/>
        <w:jc w:val="center"/>
        <w:rPr>
          <w:rStyle w:val="FontStyle12"/>
          <w:b/>
          <w:bCs/>
          <w:sz w:val="24"/>
          <w:szCs w:val="24"/>
        </w:rPr>
      </w:pPr>
      <w:r w:rsidRPr="005A57A7">
        <w:rPr>
          <w:rStyle w:val="FontStyle12"/>
          <w:b/>
          <w:bCs/>
          <w:sz w:val="24"/>
          <w:szCs w:val="24"/>
        </w:rPr>
        <w:t>IV.</w:t>
      </w:r>
      <w:r w:rsidRPr="005A57A7">
        <w:rPr>
          <w:rStyle w:val="FontStyle12"/>
          <w:b/>
          <w:bCs/>
          <w:sz w:val="24"/>
          <w:szCs w:val="24"/>
        </w:rPr>
        <w:tab/>
        <w:t>ŽALIEJI REIKALAVIMAI</w:t>
      </w:r>
    </w:p>
    <w:p w14:paraId="3AE3C701" w14:textId="77777777" w:rsidR="00576FF7" w:rsidRPr="00576FF7" w:rsidRDefault="00576FF7" w:rsidP="00576FF7">
      <w:pPr>
        <w:pStyle w:val="Style5"/>
        <w:widowControl/>
        <w:ind w:firstLine="567"/>
        <w:jc w:val="both"/>
        <w:rPr>
          <w:rStyle w:val="FontStyle12"/>
          <w:sz w:val="24"/>
          <w:szCs w:val="24"/>
        </w:rPr>
      </w:pPr>
    </w:p>
    <w:p w14:paraId="39232302" w14:textId="5BD612F6" w:rsidR="00576FF7" w:rsidRPr="00576FF7" w:rsidRDefault="00576FF7" w:rsidP="00D75344">
      <w:pPr>
        <w:pStyle w:val="Style5"/>
        <w:widowControl/>
        <w:ind w:firstLine="567"/>
        <w:jc w:val="both"/>
        <w:rPr>
          <w:rStyle w:val="FontStyle12"/>
          <w:sz w:val="24"/>
          <w:szCs w:val="24"/>
        </w:rPr>
      </w:pPr>
      <w:r>
        <w:rPr>
          <w:rStyle w:val="FontStyle12"/>
          <w:sz w:val="24"/>
          <w:szCs w:val="24"/>
        </w:rPr>
        <w:t>6</w:t>
      </w:r>
      <w:r w:rsidRPr="00576FF7">
        <w:rPr>
          <w:rStyle w:val="FontStyle12"/>
          <w:sz w:val="24"/>
          <w:szCs w:val="24"/>
        </w:rPr>
        <w:t>.</w:t>
      </w:r>
      <w:r w:rsidRPr="00576FF7">
        <w:rPr>
          <w:rStyle w:val="FontStyle12"/>
          <w:sz w:val="24"/>
          <w:szCs w:val="24"/>
        </w:rPr>
        <w:tab/>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1402D40D" w14:textId="0643E92C" w:rsidR="00576FF7" w:rsidRPr="00576FF7" w:rsidRDefault="00576FF7" w:rsidP="00576FF7">
      <w:pPr>
        <w:pStyle w:val="Style5"/>
        <w:widowControl/>
        <w:ind w:firstLine="567"/>
        <w:jc w:val="both"/>
        <w:rPr>
          <w:rStyle w:val="FontStyle12"/>
          <w:sz w:val="24"/>
          <w:szCs w:val="24"/>
        </w:rPr>
      </w:pPr>
      <w:r>
        <w:rPr>
          <w:rStyle w:val="FontStyle12"/>
          <w:sz w:val="24"/>
          <w:szCs w:val="24"/>
        </w:rPr>
        <w:t>6</w:t>
      </w:r>
      <w:r w:rsidRPr="00576FF7">
        <w:rPr>
          <w:rStyle w:val="FontStyle12"/>
          <w:sz w:val="24"/>
          <w:szCs w:val="24"/>
        </w:rPr>
        <w:t>.1.</w:t>
      </w:r>
      <w:r w:rsidRPr="00576FF7">
        <w:rPr>
          <w:rStyle w:val="FontStyle12"/>
          <w:sz w:val="24"/>
          <w:szCs w:val="24"/>
        </w:rPr>
        <w:tab/>
        <w:t>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B8DC5C6" w14:textId="5DBE2B53" w:rsidR="00576FF7" w:rsidRPr="00576FF7" w:rsidRDefault="00576FF7" w:rsidP="00576FF7">
      <w:pPr>
        <w:pStyle w:val="Style5"/>
        <w:widowControl/>
        <w:ind w:firstLine="567"/>
        <w:jc w:val="both"/>
        <w:rPr>
          <w:rStyle w:val="FontStyle12"/>
          <w:sz w:val="24"/>
          <w:szCs w:val="24"/>
        </w:rPr>
      </w:pPr>
      <w:r>
        <w:rPr>
          <w:rStyle w:val="FontStyle12"/>
          <w:sz w:val="24"/>
          <w:szCs w:val="24"/>
        </w:rPr>
        <w:t>6</w:t>
      </w:r>
      <w:r w:rsidRPr="00576FF7">
        <w:rPr>
          <w:rStyle w:val="FontStyle12"/>
          <w:sz w:val="24"/>
          <w:szCs w:val="24"/>
        </w:rPr>
        <w:t>.2.</w:t>
      </w:r>
      <w:r w:rsidRPr="00576FF7">
        <w:rPr>
          <w:rStyle w:val="FontStyle12"/>
          <w:sz w:val="24"/>
          <w:szCs w:val="24"/>
        </w:rPr>
        <w:ta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18E9089C" w14:textId="77777777" w:rsidR="00576FF7" w:rsidRPr="00576FF7" w:rsidRDefault="00576FF7" w:rsidP="00576FF7">
      <w:pPr>
        <w:pStyle w:val="Style5"/>
        <w:widowControl/>
        <w:ind w:firstLine="567"/>
        <w:jc w:val="both"/>
        <w:rPr>
          <w:rStyle w:val="FontStyle12"/>
          <w:sz w:val="24"/>
          <w:szCs w:val="24"/>
        </w:rPr>
      </w:pPr>
    </w:p>
    <w:p w14:paraId="783B8E06" w14:textId="0D754AE0" w:rsidR="00767672" w:rsidRPr="0054397B" w:rsidRDefault="00767672" w:rsidP="0054397B">
      <w:pPr>
        <w:pStyle w:val="Style5"/>
        <w:widowControl/>
        <w:spacing w:before="58" w:line="240" w:lineRule="auto"/>
        <w:ind w:firstLine="0"/>
        <w:jc w:val="center"/>
        <w:rPr>
          <w:rStyle w:val="FontStyle12"/>
          <w:sz w:val="24"/>
          <w:szCs w:val="24"/>
          <w:u w:val="single"/>
        </w:rPr>
      </w:pPr>
      <w:r w:rsidRPr="0054397B">
        <w:rPr>
          <w:rStyle w:val="FontStyle12"/>
          <w:sz w:val="24"/>
          <w:szCs w:val="24"/>
        </w:rPr>
        <w:t>___________</w:t>
      </w:r>
    </w:p>
    <w:sectPr w:rsidR="00767672" w:rsidRPr="0054397B" w:rsidSect="006D52AC">
      <w:headerReference w:type="default" r:id="rId8"/>
      <w:footerReference w:type="first" r:id="rId9"/>
      <w:type w:val="continuous"/>
      <w:pgSz w:w="11905" w:h="16837"/>
      <w:pgMar w:top="1134" w:right="567" w:bottom="113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98A2" w14:textId="77777777" w:rsidR="00FF71E4" w:rsidRDefault="00FF71E4">
      <w:r>
        <w:separator/>
      </w:r>
    </w:p>
  </w:endnote>
  <w:endnote w:type="continuationSeparator" w:id="0">
    <w:p w14:paraId="235AF0AE" w14:textId="77777777" w:rsidR="00FF71E4" w:rsidRDefault="00FF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B2B4" w14:textId="77777777" w:rsidR="0054397B" w:rsidRDefault="0054397B" w:rsidP="005439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EF09" w14:textId="77777777" w:rsidR="00FF71E4" w:rsidRDefault="00FF71E4">
      <w:r>
        <w:separator/>
      </w:r>
    </w:p>
  </w:footnote>
  <w:footnote w:type="continuationSeparator" w:id="0">
    <w:p w14:paraId="444EC70E" w14:textId="77777777" w:rsidR="00FF71E4" w:rsidRDefault="00FF71E4">
      <w:r>
        <w:continuationSeparator/>
      </w:r>
    </w:p>
  </w:footnote>
  <w:footnote w:id="1">
    <w:p w14:paraId="27BE4BC7" w14:textId="389960C2" w:rsidR="008D5AE2" w:rsidRPr="00C21A10" w:rsidRDefault="008D5AE2" w:rsidP="008D5AE2">
      <w:pPr>
        <w:pStyle w:val="FootnoteText"/>
        <w:jc w:val="both"/>
      </w:pPr>
      <w:r>
        <w:rPr>
          <w:rStyle w:val="FootnoteReference"/>
        </w:rPr>
        <w:footnoteRef/>
      </w:r>
      <w:r>
        <w:t xml:space="preserve"> </w:t>
      </w:r>
      <w:r w:rsidRPr="00C21A10">
        <w:t>Vadovaujantis Lietuvos Respublikos viešųjų pirkimų įstatymo 86 straipsnio 5 dalimi, sudaromoje pirkimo sutartyje turi būti nustatomas ne ilgesnis kaip 3 metų nuo sutarties įsigaliojimo</w:t>
      </w:r>
      <w:r w:rsidRPr="00C21A10">
        <w:rPr>
          <w:b/>
          <w:bCs/>
        </w:rPr>
        <w:t> </w:t>
      </w:r>
      <w:r w:rsidRPr="00C21A10">
        <w:t xml:space="preserve">prekių tiekimo, paslaugų teikimo, darbų atlikimo laikotarpis, išskyrus pagrįstus atvejus, kai atsižvelgiant į perkamo objekto ypatybes ir siekiant racionalaus lėšų panaudojimo būtina pailginti šį laikotarpį. Tokie atvejai gali apimti pirkimo sutartis dėl: &lt;...&gt; </w:t>
      </w:r>
      <w:r w:rsidRPr="00C21A10">
        <w:rPr>
          <w:b/>
          <w:bCs/>
        </w:rPr>
        <w:t>3) prekių nuomos, finansinės nuomos (lizingo), pirkimo išsimokėtinai;“ Licencijų nuoma yra prekių nuomos pirkimas. Tiekėjai rinkos tyrimo metu indikavo, kad pa</w:t>
      </w:r>
      <w:r w:rsidR="0039587C">
        <w:rPr>
          <w:b/>
          <w:bCs/>
        </w:rPr>
        <w:t>p</w:t>
      </w:r>
      <w:r w:rsidRPr="00C21A10">
        <w:rPr>
          <w:b/>
          <w:bCs/>
        </w:rPr>
        <w:t>rastai šių licencijų nuoma perkama 12 mėn. arba 24 mėn. arba 36 mėn. laikotarpiui. Perkančioji organizacija siekiant racionalaus lėšų panaudojimo, licencijų nuomos laikotarpį nuo pirmos licencijų aktyvavimo dienos pasirinko 36 mėn. Kadangi sudarius ir įsigaliojus sutarčiai, dar yra numatyti parengiamieji darbai</w:t>
      </w:r>
      <w:r w:rsidR="00EB3C10">
        <w:rPr>
          <w:b/>
          <w:bCs/>
        </w:rPr>
        <w:t xml:space="preserve">: </w:t>
      </w:r>
      <w:r w:rsidRPr="00C21A10">
        <w:rPr>
          <w:b/>
          <w:bCs/>
        </w:rPr>
        <w:t>užsakymo pateikimas</w:t>
      </w:r>
      <w:r w:rsidR="00EB3C10">
        <w:rPr>
          <w:b/>
          <w:bCs/>
        </w:rPr>
        <w:t xml:space="preserve">, </w:t>
      </w:r>
      <w:r w:rsidR="00761466">
        <w:rPr>
          <w:b/>
          <w:bCs/>
        </w:rPr>
        <w:t>licencijų pateikimas</w:t>
      </w:r>
      <w:r w:rsidRPr="00C21A10">
        <w:rPr>
          <w:b/>
          <w:bCs/>
        </w:rPr>
        <w:t xml:space="preserve"> ir licencijų aktyvavimas, kurie įsiskaičiuoja į bendrą terminą – vadovaujamasi Viešųjų pirkimų įstatymo 86 straipsnio 5 dalies 3 punktu.</w:t>
      </w:r>
    </w:p>
    <w:p w14:paraId="1F8CEE6F" w14:textId="4A6DDFE4" w:rsidR="008D5AE2" w:rsidRDefault="008D5AE2">
      <w:pPr>
        <w:pStyle w:val="FootnoteText"/>
      </w:pPr>
    </w:p>
  </w:footnote>
  <w:footnote w:id="2">
    <w:p w14:paraId="7BE11A97" w14:textId="4F45483D" w:rsidR="00767672" w:rsidRDefault="00767672">
      <w:pPr>
        <w:pStyle w:val="FootnoteText"/>
      </w:pPr>
      <w:r>
        <w:rPr>
          <w:rStyle w:val="FootnoteReference"/>
        </w:rPr>
        <w:footnoteRef/>
      </w:r>
      <w:r>
        <w:t xml:space="preserve"> </w:t>
      </w:r>
      <w:r>
        <w:t>Pagal poreikį Perkančiosios organizacijos darbo laiku (I-IV 8.00-17.00 val., V 8.00-15.45 val.).</w:t>
      </w:r>
    </w:p>
  </w:footnote>
  <w:footnote w:id="3">
    <w:p w14:paraId="42F16E16" w14:textId="77777777" w:rsidR="00576FF7" w:rsidRPr="00FB5FF5" w:rsidRDefault="00576FF7" w:rsidP="00576FF7">
      <w:pPr>
        <w:pStyle w:val="FootnoteText"/>
        <w:jc w:val="both"/>
        <w:rPr>
          <w:color w:val="FF0000"/>
          <w:lang w:eastAsia="en-GB"/>
        </w:rPr>
      </w:pPr>
      <w:r>
        <w:rPr>
          <w:rStyle w:val="FootnoteReference"/>
        </w:rPr>
        <w:footnoteRef/>
      </w:r>
      <w:r>
        <w:t xml:space="preserve"> </w:t>
      </w:r>
      <w:r w:rsidRPr="00FB5FF5">
        <w:rPr>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w:t>
      </w:r>
      <w:r w:rsidRPr="0013172A">
        <w:rPr>
          <w:color w:val="FF0000"/>
          <w:lang w:eastAsia="en-GB"/>
        </w:rPr>
        <w:t xml:space="preserve"> </w:t>
      </w:r>
      <w:r w:rsidRPr="00FB5FF5">
        <w:rPr>
          <w:color w:val="FF0000"/>
          <w:lang w:eastAsia="en-GB"/>
        </w:rPr>
        <w:t>trečiosios šalies dokumentus, kadangi šis išrašas arba atitinkamas dokumentas detaliai pateikia informaciją apie tiekėjo atitiktį Viešojo pirkimo sąlygų keliamiems su nacionaliniu saugumu susijusiems reikalavimams.</w:t>
      </w:r>
    </w:p>
  </w:footnote>
  <w:footnote w:id="4">
    <w:p w14:paraId="43192798" w14:textId="77777777" w:rsidR="00576FF7" w:rsidRPr="00FB5FF5" w:rsidRDefault="00576FF7" w:rsidP="00576FF7">
      <w:pPr>
        <w:pStyle w:val="FootnoteText"/>
        <w:jc w:val="both"/>
      </w:pPr>
      <w:r w:rsidRPr="00FB5FF5">
        <w:rPr>
          <w:rStyle w:val="FootnoteReference"/>
        </w:rPr>
        <w:footnoteRef/>
      </w:r>
      <w:r w:rsidRPr="00FB5FF5">
        <w:t xml:space="preserve"> </w:t>
      </w:r>
      <w:r w:rsidRPr="00FB5FF5">
        <w:t xml:space="preserve">Kontroliuojančio asmens sąvoka apibrėžta VPĮ </w:t>
      </w:r>
      <w:r w:rsidRPr="00DF22D5">
        <w:t xml:space="preserve">2 </w:t>
      </w:r>
      <w:r w:rsidRPr="00FB5FF5">
        <w:t>straipsnio 15</w:t>
      </w:r>
      <w:r w:rsidRPr="00FB5FF5">
        <w:rPr>
          <w:vertAlign w:val="superscript"/>
        </w:rPr>
        <w:t>1</w:t>
      </w:r>
      <w:r w:rsidRPr="00FB5FF5">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
    <w:p w14:paraId="3710D7BF" w14:textId="77777777" w:rsidR="00576FF7" w:rsidRPr="00FB5FF5" w:rsidRDefault="00576FF7" w:rsidP="00576FF7">
      <w:pPr>
        <w:pStyle w:val="FootnoteText"/>
        <w:jc w:val="both"/>
      </w:pPr>
      <w:r w:rsidRPr="00FB5FF5">
        <w:rPr>
          <w:rStyle w:val="FootnoteReference"/>
        </w:rPr>
        <w:footnoteRef/>
      </w:r>
      <w:r w:rsidRPr="00FB5FF5">
        <w:t xml:space="preserve"> </w:t>
      </w:r>
      <w:r w:rsidRPr="00FB5FF5">
        <w:t xml:space="preserve">Su valstybių ar teritorijų sąrašu galite susipažinti čia </w:t>
      </w:r>
      <w:hyperlink r:id="rId1" w:history="1">
        <w:r w:rsidRPr="00FB5FF5">
          <w:rPr>
            <w:rStyle w:val="Hyperlink1"/>
            <w:bCs/>
          </w:rPr>
          <w:t>https://e-seimas.lrs.lt/portal/legalAct/lt/TAD/1a061730b0c711ecaf79c2120caf5094/asr</w:t>
        </w:r>
      </w:hyperlink>
      <w:r w:rsidRPr="00FB5FF5">
        <w:rPr>
          <w:rStyle w:val="Hyperlink1"/>
          <w:bCs/>
        </w:rPr>
        <w:t xml:space="preserve"> </w:t>
      </w:r>
    </w:p>
  </w:footnote>
  <w:footnote w:id="6">
    <w:p w14:paraId="1C3198F3" w14:textId="77777777" w:rsidR="00576FF7" w:rsidRPr="00FB5FF5" w:rsidRDefault="00576FF7" w:rsidP="00576FF7">
      <w:pPr>
        <w:pStyle w:val="FootnoteText"/>
        <w:jc w:val="both"/>
      </w:pPr>
      <w:r w:rsidRPr="00FB5FF5">
        <w:rPr>
          <w:rStyle w:val="FootnoteReference"/>
        </w:rPr>
        <w:footnoteRef/>
      </w:r>
      <w:r w:rsidRPr="00FB5FF5">
        <w:t xml:space="preserve"> </w:t>
      </w:r>
      <w:bookmarkStart w:id="0" w:name="_Hlk124763265"/>
      <w:r w:rsidRPr="00FB5FF5">
        <w:t>Tiekėjui kartu su pasiūlymu nepridėjus šios deklaracijos – Perkančioji organizacija nustato taisyklę, kad šis dokumentas galės būti tikslinamas.</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121742"/>
      <w:docPartObj>
        <w:docPartGallery w:val="Page Numbers (Top of Page)"/>
        <w:docPartUnique/>
      </w:docPartObj>
    </w:sdtPr>
    <w:sdtEndPr>
      <w:rPr>
        <w:noProof/>
      </w:rPr>
    </w:sdtEndPr>
    <w:sdtContent>
      <w:p w14:paraId="5284F024" w14:textId="46436674" w:rsidR="00E66567" w:rsidRDefault="00E66567" w:rsidP="0054397B">
        <w:pPr>
          <w:pStyle w:val="Header"/>
          <w:jc w:val="center"/>
        </w:pPr>
        <w:r>
          <w:fldChar w:fldCharType="begin"/>
        </w:r>
        <w:r>
          <w:instrText xml:space="preserve"> PAGE   \* MERGEFORMAT </w:instrText>
        </w:r>
        <w:r>
          <w:fldChar w:fldCharType="separate"/>
        </w:r>
        <w:r w:rsidR="009F031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F67"/>
    <w:multiLevelType w:val="multilevel"/>
    <w:tmpl w:val="F03A810A"/>
    <w:lvl w:ilvl="0">
      <w:start w:val="1"/>
      <w:numFmt w:val="decimal"/>
      <w:lvlText w:val="%1."/>
      <w:lvlJc w:val="left"/>
      <w:pPr>
        <w:ind w:left="420" w:hanging="420"/>
      </w:pPr>
      <w:rPr>
        <w:rFonts w:hint="default"/>
      </w:rPr>
    </w:lvl>
    <w:lvl w:ilvl="1">
      <w:start w:val="1"/>
      <w:numFmt w:val="decimal"/>
      <w:lvlText w:val="%1.%2."/>
      <w:lvlJc w:val="left"/>
      <w:pPr>
        <w:ind w:left="1255" w:hanging="420"/>
      </w:pPr>
      <w:rPr>
        <w:rFonts w:hint="default"/>
      </w:rPr>
    </w:lvl>
    <w:lvl w:ilvl="2">
      <w:start w:val="1"/>
      <w:numFmt w:val="decimal"/>
      <w:lvlText w:val="%1.%2.%3."/>
      <w:lvlJc w:val="left"/>
      <w:pPr>
        <w:ind w:left="2390" w:hanging="720"/>
      </w:pPr>
      <w:rPr>
        <w:rFonts w:hint="default"/>
      </w:rPr>
    </w:lvl>
    <w:lvl w:ilvl="3">
      <w:start w:val="1"/>
      <w:numFmt w:val="decimal"/>
      <w:lvlText w:val="%1.%2.%3.%4."/>
      <w:lvlJc w:val="left"/>
      <w:pPr>
        <w:ind w:left="3225" w:hanging="72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255" w:hanging="108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285" w:hanging="1440"/>
      </w:pPr>
      <w:rPr>
        <w:rFonts w:hint="default"/>
      </w:rPr>
    </w:lvl>
    <w:lvl w:ilvl="8">
      <w:start w:val="1"/>
      <w:numFmt w:val="decimal"/>
      <w:lvlText w:val="%1.%2.%3.%4.%5.%6.%7.%8.%9."/>
      <w:lvlJc w:val="left"/>
      <w:pPr>
        <w:ind w:left="8480" w:hanging="1800"/>
      </w:pPr>
      <w:rPr>
        <w:rFonts w:hint="default"/>
      </w:rPr>
    </w:lvl>
  </w:abstractNum>
  <w:abstractNum w:abstractNumId="1" w15:restartNumberingAfterBreak="0">
    <w:nsid w:val="246E5286"/>
    <w:multiLevelType w:val="hybridMultilevel"/>
    <w:tmpl w:val="5456E9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60F35CB"/>
    <w:multiLevelType w:val="hybridMultilevel"/>
    <w:tmpl w:val="9EC42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A7599"/>
    <w:multiLevelType w:val="multilevel"/>
    <w:tmpl w:val="311A7599"/>
    <w:lvl w:ilvl="0">
      <w:start w:val="1"/>
      <w:numFmt w:val="decimal"/>
      <w:lvlText w:val="%1."/>
      <w:lvlJc w:val="left"/>
      <w:pPr>
        <w:ind w:left="1556" w:hanging="1130"/>
      </w:pPr>
      <w:rPr>
        <w:rFonts w:eastAsia="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916360"/>
    <w:multiLevelType w:val="hybridMultilevel"/>
    <w:tmpl w:val="49720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A207665"/>
    <w:multiLevelType w:val="hybridMultilevel"/>
    <w:tmpl w:val="9C1C71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C342D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BF1272"/>
    <w:multiLevelType w:val="hybridMultilevel"/>
    <w:tmpl w:val="CA5836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25118368">
    <w:abstractNumId w:val="3"/>
  </w:num>
  <w:num w:numId="2" w16cid:durableId="279652919">
    <w:abstractNumId w:val="0"/>
  </w:num>
  <w:num w:numId="3" w16cid:durableId="1753772000">
    <w:abstractNumId w:val="2"/>
  </w:num>
  <w:num w:numId="4" w16cid:durableId="707989899">
    <w:abstractNumId w:val="5"/>
  </w:num>
  <w:num w:numId="5" w16cid:durableId="1852647398">
    <w:abstractNumId w:val="6"/>
  </w:num>
  <w:num w:numId="6" w16cid:durableId="299969304">
    <w:abstractNumId w:val="1"/>
  </w:num>
  <w:num w:numId="7" w16cid:durableId="1740639411">
    <w:abstractNumId w:val="8"/>
  </w:num>
  <w:num w:numId="8" w16cid:durableId="665405967">
    <w:abstractNumId w:val="4"/>
  </w:num>
  <w:num w:numId="9" w16cid:durableId="1852065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7D"/>
    <w:rsid w:val="0001349A"/>
    <w:rsid w:val="0001718C"/>
    <w:rsid w:val="000206D0"/>
    <w:rsid w:val="00077400"/>
    <w:rsid w:val="00090DDE"/>
    <w:rsid w:val="000A15D2"/>
    <w:rsid w:val="000B1FFD"/>
    <w:rsid w:val="00112524"/>
    <w:rsid w:val="00115A10"/>
    <w:rsid w:val="00120B9D"/>
    <w:rsid w:val="00136608"/>
    <w:rsid w:val="001441E7"/>
    <w:rsid w:val="00145EF2"/>
    <w:rsid w:val="001638CB"/>
    <w:rsid w:val="00187512"/>
    <w:rsid w:val="001A049D"/>
    <w:rsid w:val="001A31B0"/>
    <w:rsid w:val="001A41EF"/>
    <w:rsid w:val="001B3FB4"/>
    <w:rsid w:val="001B6A34"/>
    <w:rsid w:val="001C2A4F"/>
    <w:rsid w:val="001C340F"/>
    <w:rsid w:val="001E219B"/>
    <w:rsid w:val="001F75CE"/>
    <w:rsid w:val="00203BC9"/>
    <w:rsid w:val="00211953"/>
    <w:rsid w:val="00221D83"/>
    <w:rsid w:val="00231ED1"/>
    <w:rsid w:val="002424BA"/>
    <w:rsid w:val="00252881"/>
    <w:rsid w:val="0026106B"/>
    <w:rsid w:val="00274DA0"/>
    <w:rsid w:val="002E5214"/>
    <w:rsid w:val="00304105"/>
    <w:rsid w:val="00310BD9"/>
    <w:rsid w:val="00326C1D"/>
    <w:rsid w:val="003327F3"/>
    <w:rsid w:val="00351508"/>
    <w:rsid w:val="003602E3"/>
    <w:rsid w:val="0037072F"/>
    <w:rsid w:val="0039587C"/>
    <w:rsid w:val="003A7E1E"/>
    <w:rsid w:val="003B6E2E"/>
    <w:rsid w:val="003E1E1C"/>
    <w:rsid w:val="003F2385"/>
    <w:rsid w:val="0044455E"/>
    <w:rsid w:val="0046449F"/>
    <w:rsid w:val="00475806"/>
    <w:rsid w:val="004A795C"/>
    <w:rsid w:val="004C212A"/>
    <w:rsid w:val="004E0B66"/>
    <w:rsid w:val="00514FB1"/>
    <w:rsid w:val="00517EA8"/>
    <w:rsid w:val="00521099"/>
    <w:rsid w:val="00534387"/>
    <w:rsid w:val="0054397B"/>
    <w:rsid w:val="00566F30"/>
    <w:rsid w:val="00576FF7"/>
    <w:rsid w:val="00580E4C"/>
    <w:rsid w:val="005A57A7"/>
    <w:rsid w:val="005B5F78"/>
    <w:rsid w:val="006001A1"/>
    <w:rsid w:val="00602009"/>
    <w:rsid w:val="006069E9"/>
    <w:rsid w:val="00613487"/>
    <w:rsid w:val="00624CEB"/>
    <w:rsid w:val="006266A7"/>
    <w:rsid w:val="00642B8E"/>
    <w:rsid w:val="006D3FF9"/>
    <w:rsid w:val="006D52AC"/>
    <w:rsid w:val="006D7240"/>
    <w:rsid w:val="006F6456"/>
    <w:rsid w:val="00712633"/>
    <w:rsid w:val="00716D18"/>
    <w:rsid w:val="00726536"/>
    <w:rsid w:val="00734823"/>
    <w:rsid w:val="00761466"/>
    <w:rsid w:val="007661EE"/>
    <w:rsid w:val="00766DB5"/>
    <w:rsid w:val="00767672"/>
    <w:rsid w:val="007A1F4E"/>
    <w:rsid w:val="007D53ED"/>
    <w:rsid w:val="007F4F9B"/>
    <w:rsid w:val="007F61F5"/>
    <w:rsid w:val="0080441E"/>
    <w:rsid w:val="008436B3"/>
    <w:rsid w:val="00881B83"/>
    <w:rsid w:val="008D5AE2"/>
    <w:rsid w:val="00940C70"/>
    <w:rsid w:val="009823DA"/>
    <w:rsid w:val="0098367D"/>
    <w:rsid w:val="009A5C80"/>
    <w:rsid w:val="009B7075"/>
    <w:rsid w:val="009B70A6"/>
    <w:rsid w:val="009C3655"/>
    <w:rsid w:val="009D4FB1"/>
    <w:rsid w:val="009E3D67"/>
    <w:rsid w:val="009F0311"/>
    <w:rsid w:val="009F0EA0"/>
    <w:rsid w:val="00A67450"/>
    <w:rsid w:val="00AA039C"/>
    <w:rsid w:val="00AA0F8D"/>
    <w:rsid w:val="00B14C3E"/>
    <w:rsid w:val="00B45CEF"/>
    <w:rsid w:val="00B861A1"/>
    <w:rsid w:val="00B95F3A"/>
    <w:rsid w:val="00BA6739"/>
    <w:rsid w:val="00BC17A5"/>
    <w:rsid w:val="00BD7E2F"/>
    <w:rsid w:val="00BE3BE9"/>
    <w:rsid w:val="00BE54FD"/>
    <w:rsid w:val="00BF444C"/>
    <w:rsid w:val="00C205FE"/>
    <w:rsid w:val="00C3325F"/>
    <w:rsid w:val="00C62BB0"/>
    <w:rsid w:val="00C7735A"/>
    <w:rsid w:val="00C800B4"/>
    <w:rsid w:val="00CA5E26"/>
    <w:rsid w:val="00CA7517"/>
    <w:rsid w:val="00CB2FF7"/>
    <w:rsid w:val="00CB335E"/>
    <w:rsid w:val="00CB33BB"/>
    <w:rsid w:val="00CC6C09"/>
    <w:rsid w:val="00CE4EC9"/>
    <w:rsid w:val="00CF11FB"/>
    <w:rsid w:val="00D01BD1"/>
    <w:rsid w:val="00D71B7D"/>
    <w:rsid w:val="00D75344"/>
    <w:rsid w:val="00D8760F"/>
    <w:rsid w:val="00DB6D21"/>
    <w:rsid w:val="00DC207F"/>
    <w:rsid w:val="00E20382"/>
    <w:rsid w:val="00E30C87"/>
    <w:rsid w:val="00E61C3A"/>
    <w:rsid w:val="00E66567"/>
    <w:rsid w:val="00E82202"/>
    <w:rsid w:val="00E941CA"/>
    <w:rsid w:val="00EB3C10"/>
    <w:rsid w:val="00EC7143"/>
    <w:rsid w:val="00F05E8D"/>
    <w:rsid w:val="00F2490E"/>
    <w:rsid w:val="00F46F9C"/>
    <w:rsid w:val="00F6345D"/>
    <w:rsid w:val="00FA0944"/>
    <w:rsid w:val="00FF37D2"/>
    <w:rsid w:val="00FF6CAA"/>
    <w:rsid w:val="00FF7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4EFD1"/>
  <w14:defaultImageDpi w14:val="96"/>
  <w15:docId w15:val="{D82C4CB1-F685-4EA5-A8E2-36693EF7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64" w:lineRule="exact"/>
      <w:ind w:firstLine="307"/>
    </w:pPr>
  </w:style>
  <w:style w:type="paragraph" w:customStyle="1" w:styleId="Style2">
    <w:name w:val="Style2"/>
    <w:basedOn w:val="Normal"/>
    <w:uiPriority w:val="99"/>
  </w:style>
  <w:style w:type="paragraph" w:customStyle="1" w:styleId="Style3">
    <w:name w:val="Style3"/>
    <w:basedOn w:val="Normal"/>
    <w:uiPriority w:val="99"/>
    <w:pPr>
      <w:spacing w:line="270" w:lineRule="exact"/>
      <w:ind w:firstLine="682"/>
      <w:jc w:val="both"/>
    </w:pPr>
  </w:style>
  <w:style w:type="paragraph" w:customStyle="1" w:styleId="Style4">
    <w:name w:val="Style4"/>
    <w:basedOn w:val="Normal"/>
    <w:uiPriority w:val="99"/>
  </w:style>
  <w:style w:type="paragraph" w:customStyle="1" w:styleId="Style5">
    <w:name w:val="Style5"/>
    <w:basedOn w:val="Normal"/>
    <w:uiPriority w:val="99"/>
    <w:pPr>
      <w:spacing w:line="269" w:lineRule="exact"/>
      <w:ind w:firstLine="835"/>
    </w:pPr>
  </w:style>
  <w:style w:type="paragraph" w:customStyle="1" w:styleId="Style6">
    <w:name w:val="Style6"/>
    <w:basedOn w:val="Normal"/>
    <w:uiPriority w:val="99"/>
  </w:style>
  <w:style w:type="paragraph" w:customStyle="1" w:styleId="Style7">
    <w:name w:val="Style7"/>
    <w:basedOn w:val="Normal"/>
    <w:uiPriority w:val="99"/>
    <w:pPr>
      <w:spacing w:line="259" w:lineRule="exact"/>
    </w:pPr>
  </w:style>
  <w:style w:type="paragraph" w:customStyle="1" w:styleId="Style8">
    <w:name w:val="Style8"/>
    <w:basedOn w:val="Normal"/>
    <w:uiPriority w:val="99"/>
    <w:pPr>
      <w:spacing w:line="259" w:lineRule="exact"/>
    </w:pPr>
  </w:style>
  <w:style w:type="character" w:customStyle="1" w:styleId="FontStyle11">
    <w:name w:val="Font Style11"/>
    <w:basedOn w:val="DefaultParagraphFont"/>
    <w:uiPriority w:val="99"/>
    <w:rPr>
      <w:rFonts w:ascii="Times New Roman" w:hAnsi="Times New Roman" w:cs="Times New Roman"/>
      <w:b/>
      <w:bCs/>
      <w:sz w:val="20"/>
      <w:szCs w:val="20"/>
    </w:rPr>
  </w:style>
  <w:style w:type="character" w:customStyle="1" w:styleId="FontStyle12">
    <w:name w:val="Font Style12"/>
    <w:basedOn w:val="DefaultParagraphFont"/>
    <w:uiPriority w:val="99"/>
    <w:rPr>
      <w:rFonts w:ascii="Times New Roman" w:hAnsi="Times New Roman" w:cs="Times New Roman"/>
      <w:sz w:val="20"/>
      <w:szCs w:val="20"/>
    </w:rPr>
  </w:style>
  <w:style w:type="character" w:customStyle="1" w:styleId="FontStyle13">
    <w:name w:val="Font Style13"/>
    <w:basedOn w:val="DefaultParagraphFont"/>
    <w:uiPriority w:val="99"/>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Paragraph Red,Buletai,lp1,Bullet 1,Use Case List Paragraph,List Paragraph111,Paragraph,List Paragraph211"/>
    <w:basedOn w:val="Normal"/>
    <w:link w:val="ListParagraphChar"/>
    <w:uiPriority w:val="34"/>
    <w:qFormat/>
    <w:rsid w:val="00766DB5"/>
    <w:pPr>
      <w:widowControl/>
      <w:autoSpaceDE/>
      <w:autoSpaceDN/>
      <w:adjustRightInd/>
      <w:ind w:left="720" w:firstLine="357"/>
      <w:contextualSpacing/>
    </w:pPr>
    <w:rPr>
      <w:rFonts w:ascii="Arial" w:eastAsiaTheme="minorHAnsi" w:hAnsi="Arial" w:cstheme="minorBidi"/>
      <w:sz w:val="22"/>
      <w:szCs w:val="22"/>
      <w:lang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Paragraph Red Char,Buletai Char,lp1 Char,Bullet 1 Char,Paragraph Char"/>
    <w:basedOn w:val="DefaultParagraphFont"/>
    <w:link w:val="ListParagraph"/>
    <w:uiPriority w:val="34"/>
    <w:qFormat/>
    <w:locked/>
    <w:rsid w:val="00766DB5"/>
    <w:rPr>
      <w:rFonts w:ascii="Arial" w:eastAsiaTheme="minorHAnsi" w:hAnsi="Arial"/>
      <w:lang w:eastAsia="en-US"/>
    </w:rPr>
  </w:style>
  <w:style w:type="paragraph" w:styleId="BalloonText">
    <w:name w:val="Balloon Text"/>
    <w:basedOn w:val="Normal"/>
    <w:link w:val="BalloonTextChar"/>
    <w:uiPriority w:val="99"/>
    <w:semiHidden/>
    <w:unhideWhenUsed/>
    <w:rsid w:val="00BD7E2F"/>
    <w:rPr>
      <w:rFonts w:ascii="Tahoma" w:hAnsi="Tahoma" w:cs="Tahoma"/>
      <w:sz w:val="16"/>
      <w:szCs w:val="16"/>
    </w:rPr>
  </w:style>
  <w:style w:type="character" w:customStyle="1" w:styleId="BalloonTextChar">
    <w:name w:val="Balloon Text Char"/>
    <w:basedOn w:val="DefaultParagraphFont"/>
    <w:link w:val="BalloonText"/>
    <w:uiPriority w:val="99"/>
    <w:semiHidden/>
    <w:rsid w:val="00BD7E2F"/>
    <w:rPr>
      <w:rFonts w:ascii="Tahoma" w:hAnsi="Tahoma" w:cs="Tahoma"/>
      <w:sz w:val="16"/>
      <w:szCs w:val="16"/>
    </w:rPr>
  </w:style>
  <w:style w:type="paragraph" w:styleId="Header">
    <w:name w:val="header"/>
    <w:basedOn w:val="Normal"/>
    <w:link w:val="HeaderChar"/>
    <w:uiPriority w:val="99"/>
    <w:unhideWhenUsed/>
    <w:rsid w:val="00E66567"/>
    <w:pPr>
      <w:tabs>
        <w:tab w:val="center" w:pos="4819"/>
        <w:tab w:val="right" w:pos="9638"/>
      </w:tabs>
    </w:pPr>
  </w:style>
  <w:style w:type="character" w:customStyle="1" w:styleId="HeaderChar">
    <w:name w:val="Header Char"/>
    <w:basedOn w:val="DefaultParagraphFont"/>
    <w:link w:val="Header"/>
    <w:uiPriority w:val="99"/>
    <w:rsid w:val="00E66567"/>
    <w:rPr>
      <w:rFonts w:hAnsi="Times New Roman" w:cs="Times New Roman"/>
      <w:sz w:val="24"/>
      <w:szCs w:val="24"/>
    </w:rPr>
  </w:style>
  <w:style w:type="paragraph" w:styleId="Footer">
    <w:name w:val="footer"/>
    <w:basedOn w:val="Normal"/>
    <w:link w:val="FooterChar"/>
    <w:uiPriority w:val="99"/>
    <w:unhideWhenUsed/>
    <w:rsid w:val="00E66567"/>
    <w:pPr>
      <w:tabs>
        <w:tab w:val="center" w:pos="4819"/>
        <w:tab w:val="right" w:pos="9638"/>
      </w:tabs>
    </w:pPr>
  </w:style>
  <w:style w:type="character" w:customStyle="1" w:styleId="FooterChar">
    <w:name w:val="Footer Char"/>
    <w:basedOn w:val="DefaultParagraphFont"/>
    <w:link w:val="Footer"/>
    <w:uiPriority w:val="99"/>
    <w:rsid w:val="00E66567"/>
    <w:rPr>
      <w:rFonts w:hAnsi="Times New Roman" w:cs="Times New Roman"/>
      <w:sz w:val="24"/>
      <w:szCs w:val="24"/>
    </w:rPr>
  </w:style>
  <w:style w:type="character" w:styleId="CommentReference">
    <w:name w:val="annotation reference"/>
    <w:basedOn w:val="DefaultParagraphFont"/>
    <w:uiPriority w:val="99"/>
    <w:semiHidden/>
    <w:unhideWhenUsed/>
    <w:rsid w:val="0044455E"/>
    <w:rPr>
      <w:sz w:val="16"/>
      <w:szCs w:val="16"/>
    </w:rPr>
  </w:style>
  <w:style w:type="paragraph" w:styleId="CommentText">
    <w:name w:val="annotation text"/>
    <w:basedOn w:val="Normal"/>
    <w:link w:val="CommentTextChar"/>
    <w:uiPriority w:val="99"/>
    <w:unhideWhenUsed/>
    <w:rsid w:val="0044455E"/>
    <w:rPr>
      <w:sz w:val="20"/>
      <w:szCs w:val="20"/>
    </w:rPr>
  </w:style>
  <w:style w:type="character" w:customStyle="1" w:styleId="CommentTextChar">
    <w:name w:val="Comment Text Char"/>
    <w:basedOn w:val="DefaultParagraphFont"/>
    <w:link w:val="CommentText"/>
    <w:uiPriority w:val="99"/>
    <w:rsid w:val="0044455E"/>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55E"/>
    <w:rPr>
      <w:b/>
      <w:bCs/>
    </w:rPr>
  </w:style>
  <w:style w:type="character" w:customStyle="1" w:styleId="CommentSubjectChar">
    <w:name w:val="Comment Subject Char"/>
    <w:basedOn w:val="CommentTextChar"/>
    <w:link w:val="CommentSubject"/>
    <w:uiPriority w:val="99"/>
    <w:semiHidden/>
    <w:rsid w:val="0044455E"/>
    <w:rPr>
      <w:rFonts w:hAnsi="Times New Roman" w:cs="Times New Roman"/>
      <w:b/>
      <w:bCs/>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F61F5"/>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F61F5"/>
    <w:rPr>
      <w:rFonts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F61F5"/>
    <w:rPr>
      <w:vertAlign w:val="superscript"/>
    </w:rPr>
  </w:style>
  <w:style w:type="paragraph" w:styleId="Revision">
    <w:name w:val="Revision"/>
    <w:hidden/>
    <w:uiPriority w:val="99"/>
    <w:semiHidden/>
    <w:rsid w:val="00DB6D21"/>
    <w:pPr>
      <w:spacing w:after="0" w:line="240" w:lineRule="auto"/>
    </w:pPr>
    <w:rPr>
      <w:rFonts w:hAnsi="Times New Roman" w:cs="Times New Roman"/>
      <w:sz w:val="24"/>
      <w:szCs w:val="24"/>
    </w:rPr>
  </w:style>
  <w:style w:type="character" w:customStyle="1" w:styleId="Hyperlink1">
    <w:name w:val="Hyperlink1"/>
    <w:basedOn w:val="DefaultParagraphFont"/>
    <w:uiPriority w:val="99"/>
    <w:unhideWhenUsed/>
    <w:rsid w:val="00576FF7"/>
    <w:rPr>
      <w:color w:val="0563C1"/>
      <w:u w:val="single"/>
    </w:rPr>
  </w:style>
  <w:style w:type="character" w:styleId="Hyperlink">
    <w:name w:val="Hyperlink"/>
    <w:basedOn w:val="DefaultParagraphFont"/>
    <w:uiPriority w:val="99"/>
    <w:semiHidden/>
    <w:unhideWhenUsed/>
    <w:rsid w:val="00576FF7"/>
    <w:rPr>
      <w:color w:val="0563C1" w:themeColor="hyperlink"/>
      <w:u w:val="single"/>
    </w:rPr>
  </w:style>
  <w:style w:type="paragraph" w:styleId="EndnoteText">
    <w:name w:val="endnote text"/>
    <w:basedOn w:val="Normal"/>
    <w:link w:val="EndnoteTextChar"/>
    <w:uiPriority w:val="99"/>
    <w:semiHidden/>
    <w:unhideWhenUsed/>
    <w:rsid w:val="008D5AE2"/>
    <w:rPr>
      <w:sz w:val="20"/>
      <w:szCs w:val="20"/>
    </w:rPr>
  </w:style>
  <w:style w:type="character" w:customStyle="1" w:styleId="EndnoteTextChar">
    <w:name w:val="Endnote Text Char"/>
    <w:basedOn w:val="DefaultParagraphFont"/>
    <w:link w:val="EndnoteText"/>
    <w:uiPriority w:val="99"/>
    <w:semiHidden/>
    <w:rsid w:val="008D5AE2"/>
    <w:rPr>
      <w:rFonts w:hAnsi="Times New Roman" w:cs="Times New Roman"/>
      <w:sz w:val="20"/>
      <w:szCs w:val="20"/>
    </w:rPr>
  </w:style>
  <w:style w:type="character" w:styleId="EndnoteReference">
    <w:name w:val="endnote reference"/>
    <w:basedOn w:val="DefaultParagraphFont"/>
    <w:uiPriority w:val="99"/>
    <w:semiHidden/>
    <w:unhideWhenUsed/>
    <w:rsid w:val="008D5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5668">
      <w:bodyDiv w:val="1"/>
      <w:marLeft w:val="0"/>
      <w:marRight w:val="0"/>
      <w:marTop w:val="0"/>
      <w:marBottom w:val="0"/>
      <w:divBdr>
        <w:top w:val="none" w:sz="0" w:space="0" w:color="auto"/>
        <w:left w:val="none" w:sz="0" w:space="0" w:color="auto"/>
        <w:bottom w:val="none" w:sz="0" w:space="0" w:color="auto"/>
        <w:right w:val="none" w:sz="0" w:space="0" w:color="auto"/>
      </w:divBdr>
      <w:divsChild>
        <w:div w:id="1094786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B313-7FA1-4CE1-A89D-01A05BA6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5348</Words>
  <Characters>3049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Čerepokienė</dc:creator>
  <cp:lastModifiedBy>Ilona Kobzar</cp:lastModifiedBy>
  <cp:revision>19</cp:revision>
  <cp:lastPrinted>2017-02-01T07:12:00Z</cp:lastPrinted>
  <dcterms:created xsi:type="dcterms:W3CDTF">2026-01-21T09:24:00Z</dcterms:created>
  <dcterms:modified xsi:type="dcterms:W3CDTF">2026-01-22T13:13:00Z</dcterms:modified>
</cp:coreProperties>
</file>