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8E773" w14:textId="7BB0F930" w:rsidR="00113EC3" w:rsidRDefault="00E64C60" w:rsidP="00035258">
      <w:pPr>
        <w:ind w:firstLine="709"/>
        <w:jc w:val="both"/>
        <w:rPr>
          <w:bCs/>
          <w:sz w:val="24"/>
          <w:szCs w:val="24"/>
        </w:rPr>
      </w:pPr>
      <w:r w:rsidRPr="007601EF">
        <w:rPr>
          <w:sz w:val="24"/>
          <w:szCs w:val="24"/>
        </w:rPr>
        <w:t>Užimtumo tarnyb</w:t>
      </w:r>
      <w:r w:rsidR="00663E03">
        <w:rPr>
          <w:sz w:val="24"/>
          <w:szCs w:val="24"/>
        </w:rPr>
        <w:t>a</w:t>
      </w:r>
      <w:r w:rsidRPr="007601EF">
        <w:rPr>
          <w:sz w:val="24"/>
          <w:szCs w:val="24"/>
        </w:rPr>
        <w:t xml:space="preserve"> prie Lietuvos Respublikos socialinės apsaugos ir darbo ministerijos</w:t>
      </w:r>
      <w:r w:rsidR="0086584F">
        <w:rPr>
          <w:sz w:val="24"/>
          <w:szCs w:val="24"/>
        </w:rPr>
        <w:t xml:space="preserve"> (toliau – </w:t>
      </w:r>
      <w:r w:rsidR="00046585" w:rsidRPr="00B17E74">
        <w:rPr>
          <w:sz w:val="24"/>
          <w:szCs w:val="24"/>
        </w:rPr>
        <w:t>P</w:t>
      </w:r>
      <w:r w:rsidR="0086584F" w:rsidRPr="00B17E74">
        <w:rPr>
          <w:sz w:val="24"/>
          <w:szCs w:val="24"/>
        </w:rPr>
        <w:t>erkančioji organizacija)</w:t>
      </w:r>
      <w:r w:rsidRPr="00B17E74">
        <w:rPr>
          <w:sz w:val="24"/>
          <w:szCs w:val="24"/>
        </w:rPr>
        <w:t xml:space="preserve"> vykdo pirkimą „</w:t>
      </w:r>
      <w:r w:rsidR="00A83B7E" w:rsidRPr="00B17E74">
        <w:rPr>
          <w:sz w:val="24"/>
          <w:szCs w:val="24"/>
          <w:lang w:eastAsia="en-US"/>
        </w:rPr>
        <w:t>K</w:t>
      </w:r>
      <w:r w:rsidR="00A83B7E" w:rsidRPr="00B17E74">
        <w:rPr>
          <w:color w:val="000000"/>
          <w:sz w:val="24"/>
          <w:szCs w:val="24"/>
        </w:rPr>
        <w:t>omunikacinio renginio organizavimo paslaugos</w:t>
      </w:r>
      <w:r w:rsidRPr="00B17E74">
        <w:rPr>
          <w:sz w:val="24"/>
          <w:szCs w:val="24"/>
        </w:rPr>
        <w:t xml:space="preserve">“ Nr. </w:t>
      </w:r>
      <w:r w:rsidR="006733F0" w:rsidRPr="00B17E74">
        <w:rPr>
          <w:sz w:val="24"/>
          <w:szCs w:val="24"/>
        </w:rPr>
        <w:t>5083565</w:t>
      </w:r>
      <w:r w:rsidR="006733F0" w:rsidRPr="006733F0">
        <w:rPr>
          <w:b/>
          <w:bCs/>
          <w:sz w:val="24"/>
          <w:szCs w:val="24"/>
        </w:rPr>
        <w:t xml:space="preserve"> </w:t>
      </w:r>
      <w:r w:rsidRPr="00A419D3">
        <w:rPr>
          <w:bCs/>
          <w:sz w:val="24"/>
          <w:szCs w:val="24"/>
        </w:rPr>
        <w:t xml:space="preserve">(toliau – </w:t>
      </w:r>
      <w:r w:rsidR="00BD0FCE">
        <w:rPr>
          <w:bCs/>
          <w:sz w:val="24"/>
          <w:szCs w:val="24"/>
        </w:rPr>
        <w:t>P</w:t>
      </w:r>
      <w:r w:rsidRPr="00A419D3">
        <w:rPr>
          <w:bCs/>
          <w:sz w:val="24"/>
          <w:szCs w:val="24"/>
        </w:rPr>
        <w:t xml:space="preserve">irkimas), kurį atlieka </w:t>
      </w:r>
      <w:r w:rsidRPr="00A419D3">
        <w:rPr>
          <w:sz w:val="24"/>
          <w:szCs w:val="24"/>
        </w:rPr>
        <w:t>Užimtumo tarnybos prie Lietuvos Respublikos socialinės apsaugos ir darbo ministerijos nuolatinė viešųjų pirkimų komisija (toliau – Komisija).</w:t>
      </w:r>
    </w:p>
    <w:p w14:paraId="53C4EF15" w14:textId="59D90AA4" w:rsidR="00935500" w:rsidRPr="00113EC3" w:rsidRDefault="00935500" w:rsidP="00035258">
      <w:pPr>
        <w:ind w:firstLine="709"/>
        <w:jc w:val="both"/>
        <w:rPr>
          <w:bCs/>
          <w:sz w:val="24"/>
          <w:szCs w:val="24"/>
        </w:rPr>
      </w:pPr>
      <w:r w:rsidRPr="00984825">
        <w:rPr>
          <w:sz w:val="24"/>
          <w:szCs w:val="24"/>
        </w:rPr>
        <w:t>Pirkime Centrinės viešųjų pirkimų informacinės sistemos</w:t>
      </w:r>
      <w:r w:rsidR="00B17E74">
        <w:rPr>
          <w:sz w:val="24"/>
          <w:szCs w:val="24"/>
        </w:rPr>
        <w:t xml:space="preserve"> (toliau – CVP IS)</w:t>
      </w:r>
      <w:r w:rsidRPr="00984825">
        <w:rPr>
          <w:sz w:val="24"/>
          <w:szCs w:val="24"/>
        </w:rPr>
        <w:t xml:space="preserve"> susirašinėjimo priemonėmis buvo gaut</w:t>
      </w:r>
      <w:r w:rsidR="006733F0">
        <w:rPr>
          <w:sz w:val="24"/>
          <w:szCs w:val="24"/>
        </w:rPr>
        <w:t>as</w:t>
      </w:r>
      <w:r w:rsidRPr="00984825">
        <w:rPr>
          <w:sz w:val="24"/>
          <w:szCs w:val="24"/>
        </w:rPr>
        <w:t xml:space="preserve"> tiekėj</w:t>
      </w:r>
      <w:r w:rsidR="006733F0">
        <w:rPr>
          <w:sz w:val="24"/>
          <w:szCs w:val="24"/>
        </w:rPr>
        <w:t>o</w:t>
      </w:r>
      <w:r>
        <w:rPr>
          <w:sz w:val="24"/>
          <w:szCs w:val="24"/>
        </w:rPr>
        <w:t xml:space="preserve"> </w:t>
      </w:r>
      <w:r w:rsidRPr="00984825">
        <w:rPr>
          <w:sz w:val="24"/>
          <w:szCs w:val="24"/>
        </w:rPr>
        <w:t>prašyma</w:t>
      </w:r>
      <w:r w:rsidR="006733F0">
        <w:rPr>
          <w:sz w:val="24"/>
          <w:szCs w:val="24"/>
        </w:rPr>
        <w:t>s</w:t>
      </w:r>
      <w:r w:rsidRPr="00984825">
        <w:rPr>
          <w:sz w:val="24"/>
          <w:szCs w:val="24"/>
        </w:rPr>
        <w:t xml:space="preserve"> paaiškinti pirkimo sąlygas</w:t>
      </w:r>
      <w:r>
        <w:rPr>
          <w:sz w:val="24"/>
          <w:szCs w:val="24"/>
        </w:rPr>
        <w:t xml:space="preserve"> bei teikiam</w:t>
      </w:r>
      <w:r w:rsidR="007C4F7B">
        <w:rPr>
          <w:sz w:val="24"/>
          <w:szCs w:val="24"/>
        </w:rPr>
        <w:t>as</w:t>
      </w:r>
      <w:r>
        <w:rPr>
          <w:sz w:val="24"/>
          <w:szCs w:val="24"/>
        </w:rPr>
        <w:t xml:space="preserve"> atsakyma</w:t>
      </w:r>
      <w:r w:rsidR="007C4F7B">
        <w:rPr>
          <w:sz w:val="24"/>
          <w:szCs w:val="24"/>
        </w:rPr>
        <w:t>s</w:t>
      </w:r>
      <w:r>
        <w:rPr>
          <w:sz w:val="24"/>
          <w:szCs w:val="24"/>
        </w:rPr>
        <w:t xml:space="preserve"> į pateikt</w:t>
      </w:r>
      <w:r w:rsidR="006733F0">
        <w:rPr>
          <w:sz w:val="24"/>
          <w:szCs w:val="24"/>
        </w:rPr>
        <w:t>ą</w:t>
      </w:r>
      <w:r>
        <w:rPr>
          <w:sz w:val="24"/>
          <w:szCs w:val="24"/>
        </w:rPr>
        <w:t xml:space="preserve"> klausim</w:t>
      </w:r>
      <w:r w:rsidR="006733F0">
        <w:rPr>
          <w:sz w:val="24"/>
          <w:szCs w:val="24"/>
        </w:rPr>
        <w:t>ą</w:t>
      </w:r>
      <w:r w:rsidRPr="00984825">
        <w:rPr>
          <w:sz w:val="24"/>
          <w:szCs w:val="24"/>
        </w:rPr>
        <w:t xml:space="preserve">: </w:t>
      </w:r>
    </w:p>
    <w:p w14:paraId="4514CD13" w14:textId="77777777" w:rsidR="00935500" w:rsidRDefault="00935500" w:rsidP="00035258">
      <w:pPr>
        <w:ind w:firstLine="709"/>
        <w:jc w:val="both"/>
        <w:rPr>
          <w:color w:val="000000"/>
          <w:sz w:val="24"/>
          <w:szCs w:val="24"/>
        </w:rPr>
      </w:pPr>
    </w:p>
    <w:p w14:paraId="4A0C2094" w14:textId="777EC81B" w:rsidR="00935500" w:rsidRDefault="006733F0" w:rsidP="00035258">
      <w:pPr>
        <w:ind w:firstLine="709"/>
        <w:jc w:val="both"/>
        <w:rPr>
          <w:b/>
          <w:bCs/>
          <w:color w:val="000000"/>
          <w:sz w:val="24"/>
          <w:szCs w:val="24"/>
        </w:rPr>
      </w:pPr>
      <w:r>
        <w:rPr>
          <w:b/>
          <w:bCs/>
          <w:color w:val="000000"/>
          <w:sz w:val="24"/>
          <w:szCs w:val="24"/>
        </w:rPr>
        <w:t>K</w:t>
      </w:r>
      <w:r w:rsidR="00935500" w:rsidRPr="00FC5824">
        <w:rPr>
          <w:b/>
          <w:bCs/>
          <w:color w:val="000000"/>
          <w:sz w:val="24"/>
          <w:szCs w:val="24"/>
        </w:rPr>
        <w:t>lausimas:</w:t>
      </w:r>
    </w:p>
    <w:p w14:paraId="500D5209" w14:textId="77777777" w:rsidR="007C4F7B" w:rsidRDefault="00731EC8" w:rsidP="00731EC8">
      <w:pPr>
        <w:ind w:firstLine="720"/>
        <w:jc w:val="both"/>
        <w:rPr>
          <w:i/>
          <w:iCs/>
          <w:sz w:val="24"/>
          <w:szCs w:val="24"/>
        </w:rPr>
      </w:pPr>
      <w:r>
        <w:rPr>
          <w:i/>
          <w:iCs/>
          <w:sz w:val="24"/>
          <w:szCs w:val="24"/>
        </w:rPr>
        <w:t>„</w:t>
      </w:r>
      <w:r w:rsidRPr="004533F2">
        <w:rPr>
          <w:i/>
          <w:iCs/>
          <w:sz w:val="24"/>
          <w:szCs w:val="24"/>
        </w:rPr>
        <w:t>Susipažinus su Jūsų pateiktais atsakymais ir patikslinimais į pateiktus klausimus, atkreipiame dėmesį, kad dalis techninėje užduotyje ir ekonominio vertinimo kriterijų reikalavimų vis dar išlieka ne iki galo aiškūs praktinio pasiūlymo rengimo požiūriu. O tai yra labai svarbu, nes būtent pagal ekonominio vertinimo kriterijus Perkančioji organizacija ir vertins tiekėjų pateiktus aprašymus ir skirs balus.</w:t>
      </w:r>
    </w:p>
    <w:p w14:paraId="1D35954E" w14:textId="42BFB847" w:rsidR="00731EC8" w:rsidRPr="00E471A6" w:rsidRDefault="00731EC8" w:rsidP="00731EC8">
      <w:pPr>
        <w:ind w:firstLine="720"/>
        <w:jc w:val="both"/>
        <w:rPr>
          <w:i/>
          <w:iCs/>
          <w:sz w:val="24"/>
          <w:szCs w:val="24"/>
        </w:rPr>
      </w:pPr>
      <w:r w:rsidRPr="004533F2">
        <w:rPr>
          <w:i/>
          <w:iCs/>
          <w:sz w:val="24"/>
          <w:szCs w:val="24"/>
        </w:rPr>
        <w:t>Šie reikalavimai negali būti dviprasmiški arba tokie neaiškūs, kad tiekėjai negalėtų suprasti kokias technologijas ar rezultatus turėtų pristatyti renginio metu, nes pagal tai Perkančioji organizacija skirs balus ir jeigu egzistuoja tokia situacija, kažkoks tiekėjas žino ką jam reikia pasiūlyti ir ką aprašyti rengiamame apraše, tokiu atveju tokie klaidinantys aprašymai iškraipo sąžiningą konkurenciją ir galimai sudaro kažkam turėti pranašumą ekonominio vertinimo metu.</w:t>
      </w:r>
    </w:p>
    <w:p w14:paraId="2BAD86C3" w14:textId="77777777" w:rsidR="00731EC8" w:rsidRPr="00E471A6" w:rsidRDefault="00731EC8" w:rsidP="00731EC8">
      <w:pPr>
        <w:ind w:firstLine="720"/>
        <w:jc w:val="both"/>
        <w:rPr>
          <w:i/>
          <w:iCs/>
          <w:sz w:val="24"/>
          <w:szCs w:val="24"/>
        </w:rPr>
      </w:pPr>
      <w:r w:rsidRPr="004533F2">
        <w:rPr>
          <w:i/>
          <w:iCs/>
          <w:sz w:val="24"/>
          <w:szCs w:val="24"/>
        </w:rPr>
        <w:t>Atsižvelgdami į tai, kad visi tiekėjai turėtų vienodas galimybes suprasti ir suorganizuoti Perkančiajai organizacijai tokį pasiūlymą kokio ji galimai tikisi, prašome paaiškinti ir patikslinti šiuos pirkimo dokumentuose esančius neaiškiai aprašytus reikalavimus.</w:t>
      </w:r>
    </w:p>
    <w:p w14:paraId="5F8D6E08" w14:textId="77777777" w:rsidR="007C4F7B" w:rsidRDefault="00731EC8" w:rsidP="00731EC8">
      <w:pPr>
        <w:ind w:firstLine="720"/>
        <w:jc w:val="both"/>
        <w:rPr>
          <w:i/>
          <w:iCs/>
          <w:sz w:val="24"/>
          <w:szCs w:val="24"/>
        </w:rPr>
      </w:pPr>
      <w:r w:rsidRPr="004533F2">
        <w:rPr>
          <w:i/>
          <w:iCs/>
          <w:sz w:val="24"/>
          <w:szCs w:val="24"/>
        </w:rPr>
        <w:t>Jūsų atsakyme nurodoma, kad pasiūlyme turi būti aprašyta kūrybinių dirbtuvių ir interaktyvios ekspozicijos sprendinių logika, metodika, dalyvio patirties scenarijus bei technologinių priemonių (VR / AR, DI, skaitmeninių demonstracijų ir pan.) taikymo principai. Kita vertus, taip pat pažymima, kad koncepcijoje nėra reikalavimo identifikuoti ar detaliai aprašyti konkrečius projekto metu sukurtus technologinius produktus, įrankius ar sprendinius, nes jie nėra iš anksto apibrėžti ir gali kisti projekto eigoje. Todėl prašome aiškiai ir abejose vietose įvardinti, kad pateikiamoje renginio koncepcijoje nėra reikalavimo identifikuoti ar detaliai aprašyti konkrečius projekto metu sukurtus technologinius produktus, įrankius ar sprendinius.</w:t>
      </w:r>
    </w:p>
    <w:p w14:paraId="3B17ADDF" w14:textId="692F8851" w:rsidR="00731EC8" w:rsidRPr="00E471A6" w:rsidRDefault="00731EC8" w:rsidP="00731EC8">
      <w:pPr>
        <w:ind w:firstLine="720"/>
        <w:jc w:val="both"/>
        <w:rPr>
          <w:i/>
          <w:iCs/>
          <w:sz w:val="24"/>
          <w:szCs w:val="24"/>
        </w:rPr>
      </w:pPr>
      <w:r w:rsidRPr="004533F2">
        <w:rPr>
          <w:i/>
          <w:iCs/>
          <w:sz w:val="24"/>
          <w:szCs w:val="24"/>
        </w:rPr>
        <w:t>Taip pat Jūsų laiško pabaigoje nurodoma, kad koncepcijoje turi būti aprašyta, kaip projekto temos ir prioritetai bus pristatomi kūrybinių dirbtuvių ir interaktyvios ekspozicijos metu. Ši nuostata sukelia neaiškumų ir prieštarauja prieš tai išdėstytam sakiniui – renginio koncepcijoje prašoma numatyti kūrybinius ir interaktyvius sprendinius, tačiau neaišku, kiek konkretūs jie turėtų būti, kai pats pristatomas turinys (įrankiai, metodai, sprendimai) nėra apibrėžtas ir negali būti identifikuojamas ir kitoje vietoje nurodyta, kad koncepcijoje nėra reikalavimo identifikuoti ar detaliai aprašyti konkrečius projekto metu sukurtus technologinius produktus, įrankius ar sprendinius. Prašome visose vietose suvienodinti nuostatas.</w:t>
      </w:r>
    </w:p>
    <w:p w14:paraId="16762559" w14:textId="77777777" w:rsidR="00731EC8" w:rsidRPr="00E471A6" w:rsidRDefault="00731EC8" w:rsidP="00731EC8">
      <w:pPr>
        <w:ind w:firstLine="720"/>
        <w:jc w:val="both"/>
        <w:rPr>
          <w:i/>
          <w:iCs/>
          <w:sz w:val="24"/>
          <w:szCs w:val="24"/>
        </w:rPr>
      </w:pPr>
      <w:r w:rsidRPr="004533F2">
        <w:rPr>
          <w:i/>
          <w:iCs/>
          <w:sz w:val="24"/>
          <w:szCs w:val="24"/>
        </w:rPr>
        <w:t>Dėl šios priežasties ir esančių dviprasmybių, išlieka sudėtinga suprasti, kaip giliai ir kokiu detalumo lygiu turėtų būti kuriami ir aprašomi kūrybinių dirbtuvių bei interaktyvios ekspozicijos sprendiniai, kad jie būtų laikomi pakankamai pagrįstais Perkančiosios organizacijos vertinimo komisijai, įgyvendinamais ir atitinkančiais vertinimo kriterijus, tačiau tuo pačiu nebūtų laikomi pertekliniu ar netiksliu projekto metu sukurtų rezultatų interpretavimu. Šiuo atveju neturint informacijos apie projekto metu sukurtus rezultatus, tiekėjas pats turės nuspręsti kokios priemonės gali būti įdomios renginio dalyviams ir jas pasiūlyti naudoti renginio metu. Todėl tiekėjo pozicija gali nesutapti su Perkančiosios organizacijos manoma pozicija ir tokia koncepcija gali būti įvertinta prasčiau.</w:t>
      </w:r>
    </w:p>
    <w:p w14:paraId="4D8378EF" w14:textId="77777777" w:rsidR="00731EC8" w:rsidRPr="00E471A6" w:rsidRDefault="00731EC8" w:rsidP="00731EC8">
      <w:pPr>
        <w:ind w:firstLine="720"/>
        <w:jc w:val="both"/>
        <w:rPr>
          <w:i/>
          <w:iCs/>
          <w:sz w:val="24"/>
          <w:szCs w:val="24"/>
        </w:rPr>
      </w:pPr>
      <w:r w:rsidRPr="004533F2">
        <w:rPr>
          <w:i/>
          <w:iCs/>
          <w:sz w:val="24"/>
          <w:szCs w:val="24"/>
        </w:rPr>
        <w:t>Atsižvelgiant į tai kas išdėstyta, prašome Jūsų:</w:t>
      </w:r>
      <w:r w:rsidRPr="004533F2">
        <w:rPr>
          <w:i/>
          <w:iCs/>
          <w:sz w:val="24"/>
          <w:szCs w:val="24"/>
        </w:rPr>
        <w:br/>
        <w:t>• Pateikti papildomą paaiškinimą, koks koncepcijos konkretumo lygis laikytinas pakankamu?</w:t>
      </w:r>
      <w:r w:rsidRPr="004533F2">
        <w:rPr>
          <w:i/>
          <w:iCs/>
          <w:sz w:val="24"/>
          <w:szCs w:val="24"/>
        </w:rPr>
        <w:br/>
        <w:t xml:space="preserve">• Pateikti bent 1 pavyzdį, kuris parodytų, kaip Perkančioji organizacija tikisi matyti kūrybinių dirbtuvių ir interaktyvios ekspozicijos sprendinių pristatymą, kai konkretūs projekto produktai nėra </w:t>
      </w:r>
      <w:r w:rsidRPr="004533F2">
        <w:rPr>
          <w:i/>
          <w:iCs/>
          <w:sz w:val="24"/>
          <w:szCs w:val="24"/>
        </w:rPr>
        <w:lastRenderedPageBreak/>
        <w:t>apibrėžti, kad tiekėjas galėtų suprasti kokio lygio tikimasi ir pagal tokio ar aukštesnio sudėtingumo variantą pateikti aprašytą renginio koncepciją.</w:t>
      </w:r>
    </w:p>
    <w:p w14:paraId="47C34C1B" w14:textId="77777777" w:rsidR="00731EC8" w:rsidRPr="00E471A6" w:rsidRDefault="00731EC8" w:rsidP="00731EC8">
      <w:pPr>
        <w:ind w:firstLine="720"/>
        <w:jc w:val="both"/>
        <w:rPr>
          <w:i/>
          <w:iCs/>
          <w:sz w:val="24"/>
          <w:szCs w:val="24"/>
        </w:rPr>
      </w:pPr>
      <w:r w:rsidRPr="004533F2">
        <w:rPr>
          <w:i/>
          <w:iCs/>
          <w:sz w:val="24"/>
          <w:szCs w:val="24"/>
        </w:rPr>
        <w:t>Toks išaiškinimas padėtų visiems tiekėjams vienodai ir teisingai interpretuoti pirkimo sąlygas, ekonominio vertinimo kriterijus, parengti pasiūlymus, atitinkančius Perkančiosios organizacijos lūkesčius ir išvengti subjektyvios diskriminacijos vertinimo etape.</w:t>
      </w:r>
    </w:p>
    <w:p w14:paraId="2A4B7523" w14:textId="77777777" w:rsidR="00731EC8" w:rsidRPr="004533F2" w:rsidRDefault="00731EC8" w:rsidP="00731EC8">
      <w:pPr>
        <w:ind w:firstLine="720"/>
        <w:jc w:val="both"/>
        <w:rPr>
          <w:i/>
          <w:iCs/>
          <w:sz w:val="24"/>
          <w:szCs w:val="24"/>
        </w:rPr>
      </w:pPr>
      <w:r w:rsidRPr="004533F2">
        <w:rPr>
          <w:i/>
          <w:iCs/>
          <w:sz w:val="24"/>
          <w:szCs w:val="24"/>
        </w:rPr>
        <w:t>Atitinkamai prašome nukelti ir pasiūlymų pateikimo terminą, kadangi gavus atsakymus nebeliks laiko parengti tinkamai aprašymą, nes šiuo metu pateikimo terminas nustatytas sausio 19 d.“</w:t>
      </w:r>
    </w:p>
    <w:p w14:paraId="78C918B8" w14:textId="77777777" w:rsidR="00035258" w:rsidRDefault="00035258" w:rsidP="00035258">
      <w:pPr>
        <w:ind w:firstLine="709"/>
        <w:jc w:val="both"/>
        <w:rPr>
          <w:b/>
          <w:bCs/>
          <w:color w:val="000000" w:themeColor="text1"/>
          <w:sz w:val="24"/>
          <w:szCs w:val="24"/>
        </w:rPr>
      </w:pPr>
    </w:p>
    <w:p w14:paraId="55C63ED5" w14:textId="77777777" w:rsidR="00035258" w:rsidRPr="00AB0A97" w:rsidRDefault="00035258" w:rsidP="00035258">
      <w:pPr>
        <w:ind w:firstLine="709"/>
        <w:jc w:val="both"/>
        <w:rPr>
          <w:b/>
          <w:bCs/>
          <w:color w:val="000000" w:themeColor="text1"/>
          <w:sz w:val="24"/>
          <w:szCs w:val="24"/>
        </w:rPr>
      </w:pPr>
      <w:r w:rsidRPr="00AB0A97">
        <w:rPr>
          <w:b/>
          <w:bCs/>
          <w:color w:val="000000" w:themeColor="text1"/>
          <w:sz w:val="24"/>
          <w:szCs w:val="24"/>
        </w:rPr>
        <w:t>Atsakymas:</w:t>
      </w:r>
    </w:p>
    <w:p w14:paraId="3A1AD941" w14:textId="77777777" w:rsidR="00E554C4" w:rsidRPr="007F79AB" w:rsidRDefault="00E554C4" w:rsidP="00E554C4">
      <w:pPr>
        <w:ind w:firstLine="720"/>
        <w:jc w:val="both"/>
        <w:rPr>
          <w:sz w:val="24"/>
          <w:szCs w:val="24"/>
        </w:rPr>
      </w:pPr>
      <w:r w:rsidRPr="007F79AB">
        <w:rPr>
          <w:sz w:val="24"/>
          <w:szCs w:val="24"/>
        </w:rPr>
        <w:t xml:space="preserve">Perkančioji organizacija paaiškina, kad </w:t>
      </w:r>
      <w:r>
        <w:rPr>
          <w:sz w:val="24"/>
          <w:szCs w:val="24"/>
        </w:rPr>
        <w:t>P</w:t>
      </w:r>
      <w:r w:rsidRPr="007F79AB">
        <w:rPr>
          <w:sz w:val="24"/>
          <w:szCs w:val="24"/>
        </w:rPr>
        <w:t xml:space="preserve">irkimo dokumentai </w:t>
      </w:r>
      <w:r w:rsidRPr="007F79AB">
        <w:rPr>
          <w:b/>
          <w:bCs/>
          <w:sz w:val="24"/>
          <w:szCs w:val="24"/>
        </w:rPr>
        <w:t>nenustato reikalavimo</w:t>
      </w:r>
      <w:r w:rsidRPr="007F79AB">
        <w:rPr>
          <w:sz w:val="24"/>
          <w:szCs w:val="24"/>
        </w:rPr>
        <w:t> </w:t>
      </w:r>
      <w:r>
        <w:rPr>
          <w:sz w:val="24"/>
          <w:szCs w:val="24"/>
        </w:rPr>
        <w:t>r</w:t>
      </w:r>
      <w:r w:rsidRPr="007F79AB">
        <w:rPr>
          <w:sz w:val="24"/>
          <w:szCs w:val="24"/>
        </w:rPr>
        <w:t>enginio koncepcijoje identifikuoti ar detaliai aprašyti konkrečius Projekto metu sukurtus ar adaptuotus metodus, įrankius ar technologijas. Ši nuostata taikoma vienodai visose Techninės specifikacijos ir Ekonominio naudingumo vertinimo metodikos vietose.</w:t>
      </w:r>
    </w:p>
    <w:p w14:paraId="330D60D7" w14:textId="77777777" w:rsidR="00E554C4" w:rsidRPr="007F79AB" w:rsidRDefault="00E554C4" w:rsidP="00E554C4">
      <w:pPr>
        <w:ind w:firstLine="720"/>
        <w:jc w:val="both"/>
        <w:rPr>
          <w:sz w:val="24"/>
          <w:szCs w:val="24"/>
        </w:rPr>
      </w:pPr>
      <w:r w:rsidRPr="007F79AB">
        <w:rPr>
          <w:sz w:val="24"/>
          <w:szCs w:val="24"/>
        </w:rPr>
        <w:t xml:space="preserve">Techninės specifikacijos 10 punkte nustatyti reikalavimai reiškia, kad pasiūlyme turi būti aprašyta </w:t>
      </w:r>
      <w:r w:rsidRPr="007F79AB">
        <w:rPr>
          <w:b/>
          <w:bCs/>
          <w:sz w:val="24"/>
          <w:szCs w:val="24"/>
        </w:rPr>
        <w:t>interaktyvių veiklų koncepcija, jų struktūra, dalyvio veiksmai ir technologijų taikymo būdai</w:t>
      </w:r>
      <w:r w:rsidRPr="007F79AB">
        <w:rPr>
          <w:sz w:val="24"/>
          <w:szCs w:val="24"/>
        </w:rPr>
        <w:t xml:space="preserve">, parodant </w:t>
      </w:r>
      <w:r w:rsidRPr="007F79AB">
        <w:rPr>
          <w:b/>
          <w:bCs/>
          <w:sz w:val="24"/>
          <w:szCs w:val="24"/>
        </w:rPr>
        <w:t>Projekto temų ir krypčių</w:t>
      </w:r>
      <w:r w:rsidRPr="007F79AB">
        <w:rPr>
          <w:sz w:val="24"/>
          <w:szCs w:val="24"/>
        </w:rPr>
        <w:t xml:space="preserve"> (skaitmenizacija, žalioji transformacija, kompetencijų raida) pristatymą. Technologijos aprašomos </w:t>
      </w:r>
      <w:r w:rsidRPr="007F79AB">
        <w:rPr>
          <w:b/>
          <w:bCs/>
          <w:sz w:val="24"/>
          <w:szCs w:val="24"/>
        </w:rPr>
        <w:t>kaip dalyvių įsitraukimo priemonė</w:t>
      </w:r>
      <w:r w:rsidRPr="007F79AB">
        <w:rPr>
          <w:sz w:val="24"/>
          <w:szCs w:val="24"/>
        </w:rPr>
        <w:t>, o ne kaip konkretūs Projekto metu sukurti objektai.</w:t>
      </w:r>
    </w:p>
    <w:p w14:paraId="2348E3DC" w14:textId="77777777" w:rsidR="00E554C4" w:rsidRPr="007F79AB" w:rsidRDefault="00E554C4" w:rsidP="00E554C4">
      <w:pPr>
        <w:ind w:firstLine="720"/>
        <w:jc w:val="both"/>
        <w:rPr>
          <w:sz w:val="24"/>
          <w:szCs w:val="24"/>
        </w:rPr>
      </w:pPr>
      <w:r w:rsidRPr="007F79AB">
        <w:rPr>
          <w:sz w:val="24"/>
          <w:szCs w:val="24"/>
        </w:rPr>
        <w:t xml:space="preserve">Koncepcijos konkretumo lygis laikytinas pakankamu, kai pateiktas aprašymas leidžia pagal Ekonominio naudingumo vertinimo metodiką įvertinti siūlomų sprendinių </w:t>
      </w:r>
      <w:r w:rsidRPr="007F79AB">
        <w:rPr>
          <w:b/>
          <w:bCs/>
          <w:sz w:val="24"/>
          <w:szCs w:val="24"/>
        </w:rPr>
        <w:t>aiškumą, nuoseklumą ir įgyvendinamumą</w:t>
      </w:r>
      <w:r w:rsidRPr="007F79AB">
        <w:rPr>
          <w:sz w:val="24"/>
          <w:szCs w:val="24"/>
        </w:rPr>
        <w:t xml:space="preserve">, </w:t>
      </w:r>
      <w:r w:rsidRPr="007F79AB">
        <w:rPr>
          <w:b/>
          <w:bCs/>
          <w:sz w:val="24"/>
          <w:szCs w:val="24"/>
        </w:rPr>
        <w:t>nevertinant to</w:t>
      </w:r>
      <w:r w:rsidRPr="007F79AB">
        <w:rPr>
          <w:sz w:val="24"/>
          <w:szCs w:val="24"/>
        </w:rPr>
        <w:t>, ar tiekėjas identifikavo konkrečius Projekto metu taikomus ar adaptuotus metodus, įrankius ar technologijas.</w:t>
      </w:r>
    </w:p>
    <w:p w14:paraId="3E5A3AE6" w14:textId="05FC0A99" w:rsidR="00E554C4" w:rsidRDefault="00E554C4" w:rsidP="00E554C4">
      <w:pPr>
        <w:ind w:firstLine="720"/>
        <w:jc w:val="both"/>
        <w:rPr>
          <w:sz w:val="24"/>
          <w:szCs w:val="24"/>
        </w:rPr>
      </w:pPr>
      <w:r w:rsidRPr="007F79AB">
        <w:rPr>
          <w:sz w:val="24"/>
          <w:szCs w:val="24"/>
        </w:rPr>
        <w:t xml:space="preserve">Atsižvelgiant į kūrybinį ir koncepcinį vertinimo pobūdį, </w:t>
      </w:r>
      <w:r>
        <w:rPr>
          <w:sz w:val="24"/>
          <w:szCs w:val="24"/>
        </w:rPr>
        <w:t>P</w:t>
      </w:r>
      <w:r w:rsidRPr="007F79AB">
        <w:rPr>
          <w:sz w:val="24"/>
          <w:szCs w:val="24"/>
        </w:rPr>
        <w:t xml:space="preserve">erkančioji organizacija neteikia pavyzdinių sprendinių ar koncepcijų, siekdama užtikrinti lygias tiekėjų galimybes. Pateikti paaiškinimai nekeičia </w:t>
      </w:r>
      <w:r w:rsidR="00BD0FCE">
        <w:rPr>
          <w:sz w:val="24"/>
          <w:szCs w:val="24"/>
        </w:rPr>
        <w:t>P</w:t>
      </w:r>
      <w:r w:rsidRPr="007F79AB">
        <w:rPr>
          <w:sz w:val="24"/>
          <w:szCs w:val="24"/>
        </w:rPr>
        <w:t>irkimo dokumentų sąlygų.</w:t>
      </w:r>
    </w:p>
    <w:p w14:paraId="26926A70" w14:textId="77777777" w:rsidR="00E554C4" w:rsidRDefault="00E554C4" w:rsidP="00E554C4">
      <w:pPr>
        <w:ind w:firstLine="720"/>
        <w:jc w:val="both"/>
        <w:rPr>
          <w:sz w:val="24"/>
          <w:szCs w:val="24"/>
        </w:rPr>
      </w:pPr>
    </w:p>
    <w:p w14:paraId="5A0A1F35" w14:textId="77777777" w:rsidR="00E554C4" w:rsidRPr="003C3822" w:rsidRDefault="00E554C4" w:rsidP="00E554C4">
      <w:pPr>
        <w:ind w:firstLine="720"/>
        <w:jc w:val="both"/>
        <w:rPr>
          <w:sz w:val="24"/>
          <w:szCs w:val="24"/>
        </w:rPr>
      </w:pPr>
      <w:r w:rsidRPr="005A5728">
        <w:rPr>
          <w:color w:val="000000"/>
          <w:sz w:val="24"/>
          <w:szCs w:val="24"/>
        </w:rPr>
        <w:t>Atsižvelgiant į tai, kad Perkančioji organizacija paaiškina Pirkimo sąlygas, vadovaujantis Bendrųjų pirkimo sąlygų 13.2.1 punktu, nukeliamas pasiūlymų pateikimo terminas. Informacija apie patikslintą pasiūlymų pateikimo terminą pateikiama CVP IS.</w:t>
      </w:r>
    </w:p>
    <w:p w14:paraId="515C09E5" w14:textId="77777777" w:rsidR="00E554C4" w:rsidRPr="0048700B" w:rsidRDefault="00E554C4" w:rsidP="00E554C4">
      <w:pPr>
        <w:jc w:val="both"/>
        <w:rPr>
          <w:color w:val="000000"/>
          <w:sz w:val="24"/>
          <w:szCs w:val="24"/>
        </w:rPr>
      </w:pPr>
    </w:p>
    <w:p w14:paraId="0AF3725F" w14:textId="77777777" w:rsidR="006733F0" w:rsidRPr="00FC5824" w:rsidRDefault="006733F0" w:rsidP="00035258">
      <w:pPr>
        <w:ind w:firstLine="709"/>
        <w:jc w:val="both"/>
        <w:rPr>
          <w:b/>
          <w:bCs/>
          <w:color w:val="000000"/>
          <w:sz w:val="24"/>
          <w:szCs w:val="24"/>
        </w:rPr>
      </w:pPr>
    </w:p>
    <w:p w14:paraId="3BA336B6" w14:textId="77777777" w:rsidR="00CD1286" w:rsidRPr="00663E03" w:rsidRDefault="00CD1286" w:rsidP="00822DE6">
      <w:pPr>
        <w:spacing w:line="276" w:lineRule="auto"/>
        <w:ind w:firstLine="720"/>
        <w:jc w:val="both"/>
        <w:rPr>
          <w:bCs/>
          <w:sz w:val="24"/>
          <w:szCs w:val="24"/>
          <w:lang w:eastAsia="en-US"/>
        </w:rPr>
      </w:pPr>
    </w:p>
    <w:p w14:paraId="3BA336B7" w14:textId="77777777" w:rsidR="00023053" w:rsidRPr="00663E03" w:rsidRDefault="00023053" w:rsidP="00822DE6">
      <w:pPr>
        <w:jc w:val="both"/>
        <w:rPr>
          <w:sz w:val="24"/>
          <w:szCs w:val="24"/>
        </w:rPr>
      </w:pPr>
      <w:r w:rsidRPr="00663E03">
        <w:rPr>
          <w:sz w:val="24"/>
          <w:szCs w:val="24"/>
        </w:rPr>
        <w:t>Pagarbiai,</w:t>
      </w:r>
    </w:p>
    <w:p w14:paraId="3BA336B8" w14:textId="7396F619" w:rsidR="00023053" w:rsidRPr="00663E03" w:rsidRDefault="00663E03" w:rsidP="00822DE6">
      <w:pPr>
        <w:jc w:val="both"/>
        <w:rPr>
          <w:sz w:val="24"/>
          <w:szCs w:val="24"/>
        </w:rPr>
      </w:pPr>
      <w:r w:rsidRPr="00663E03">
        <w:rPr>
          <w:sz w:val="24"/>
          <w:szCs w:val="24"/>
        </w:rPr>
        <w:t>Vitalija Jevaišaitė</w:t>
      </w:r>
    </w:p>
    <w:p w14:paraId="3BA336B9" w14:textId="7BB2BD0D" w:rsidR="00023053" w:rsidRPr="00663E03" w:rsidRDefault="0017700C" w:rsidP="00822DE6">
      <w:pPr>
        <w:jc w:val="both"/>
        <w:rPr>
          <w:sz w:val="24"/>
          <w:szCs w:val="24"/>
        </w:rPr>
      </w:pPr>
      <w:r w:rsidRPr="00663E03">
        <w:rPr>
          <w:sz w:val="24"/>
          <w:szCs w:val="24"/>
        </w:rPr>
        <w:t xml:space="preserve">Viešųjų pirkimų skyriaus </w:t>
      </w:r>
      <w:r w:rsidR="00663E03" w:rsidRPr="00663E03">
        <w:rPr>
          <w:sz w:val="24"/>
          <w:szCs w:val="24"/>
        </w:rPr>
        <w:t>vyr. specialistė</w:t>
      </w:r>
    </w:p>
    <w:p w14:paraId="3BA336BA" w14:textId="692BC1B7" w:rsidR="00023053" w:rsidRPr="00663E03" w:rsidRDefault="00023053" w:rsidP="00822DE6">
      <w:pPr>
        <w:keepNext/>
        <w:jc w:val="both"/>
        <w:outlineLvl w:val="3"/>
        <w:rPr>
          <w:sz w:val="24"/>
          <w:szCs w:val="24"/>
        </w:rPr>
      </w:pPr>
      <w:r w:rsidRPr="00663E03">
        <w:rPr>
          <w:sz w:val="24"/>
          <w:szCs w:val="24"/>
        </w:rPr>
        <w:t xml:space="preserve">Tel. </w:t>
      </w:r>
      <w:r w:rsidR="00663E03" w:rsidRPr="00663E03">
        <w:rPr>
          <w:sz w:val="24"/>
          <w:szCs w:val="24"/>
        </w:rPr>
        <w:t>+370 700 78326</w:t>
      </w:r>
      <w:r w:rsidRPr="00663E03">
        <w:rPr>
          <w:sz w:val="24"/>
          <w:szCs w:val="24"/>
        </w:rPr>
        <w:t xml:space="preserve">, el. p. </w:t>
      </w:r>
      <w:r w:rsidR="00663E03" w:rsidRPr="00663E03">
        <w:rPr>
          <w:sz w:val="24"/>
          <w:szCs w:val="24"/>
        </w:rPr>
        <w:t>vitalija.jevaisaite</w:t>
      </w:r>
      <w:r w:rsidR="00663E03" w:rsidRPr="00663E03">
        <w:rPr>
          <w:sz w:val="24"/>
          <w:szCs w:val="24"/>
          <w:lang w:val="en-US"/>
        </w:rPr>
        <w:t>@</w:t>
      </w:r>
      <w:r w:rsidR="00663E03" w:rsidRPr="00663E03">
        <w:rPr>
          <w:sz w:val="24"/>
          <w:szCs w:val="24"/>
        </w:rPr>
        <w:t>uzt.lt</w:t>
      </w:r>
    </w:p>
    <w:sectPr w:rsidR="00023053" w:rsidRPr="00663E03" w:rsidSect="00046585">
      <w:headerReference w:type="default" r:id="rId10"/>
      <w:pgSz w:w="11906" w:h="16838"/>
      <w:pgMar w:top="153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30507" w14:textId="77777777" w:rsidR="002A7F18" w:rsidRDefault="002A7F18" w:rsidP="00E64C60">
      <w:r>
        <w:separator/>
      </w:r>
    </w:p>
  </w:endnote>
  <w:endnote w:type="continuationSeparator" w:id="0">
    <w:p w14:paraId="7FE57388" w14:textId="77777777" w:rsidR="002A7F18" w:rsidRDefault="002A7F18" w:rsidP="00E64C60">
      <w:r>
        <w:continuationSeparator/>
      </w:r>
    </w:p>
  </w:endnote>
  <w:endnote w:type="continuationNotice" w:id="1">
    <w:p w14:paraId="09961064" w14:textId="77777777" w:rsidR="002A7F18" w:rsidRDefault="002A7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DB8C3" w14:textId="77777777" w:rsidR="002A7F18" w:rsidRDefault="002A7F18" w:rsidP="00E64C60">
      <w:r>
        <w:separator/>
      </w:r>
    </w:p>
  </w:footnote>
  <w:footnote w:type="continuationSeparator" w:id="0">
    <w:p w14:paraId="471AB75E" w14:textId="77777777" w:rsidR="002A7F18" w:rsidRDefault="002A7F18" w:rsidP="00E64C60">
      <w:r>
        <w:continuationSeparator/>
      </w:r>
    </w:p>
  </w:footnote>
  <w:footnote w:type="continuationNotice" w:id="1">
    <w:p w14:paraId="07767583" w14:textId="77777777" w:rsidR="002A7F18" w:rsidRDefault="002A7F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36BF" w14:textId="77777777" w:rsidR="00E64C60" w:rsidRPr="00E64C60" w:rsidRDefault="00E64C60" w:rsidP="00E64C60">
    <w:pPr>
      <w:pStyle w:val="Antrats"/>
      <w:jc w:val="right"/>
      <w:rPr>
        <w:sz w:val="24"/>
        <w:szCs w:val="24"/>
      </w:rPr>
    </w:pPr>
    <w:r w:rsidRPr="00E64C60">
      <w:rPr>
        <w:sz w:val="24"/>
        <w:szCs w:val="24"/>
      </w:rPr>
      <w:t>Protokolo išrašas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44B2"/>
    <w:multiLevelType w:val="multilevel"/>
    <w:tmpl w:val="3612A6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9480536"/>
    <w:multiLevelType w:val="hybridMultilevel"/>
    <w:tmpl w:val="0898E8B2"/>
    <w:lvl w:ilvl="0" w:tplc="09C08878">
      <w:start w:val="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4B372A7"/>
    <w:multiLevelType w:val="hybridMultilevel"/>
    <w:tmpl w:val="406612A2"/>
    <w:lvl w:ilvl="0" w:tplc="511AA9E8">
      <w:start w:val="1"/>
      <w:numFmt w:val="decimal"/>
      <w:lvlText w:val="%1."/>
      <w:lvlJc w:val="left"/>
      <w:pPr>
        <w:ind w:left="720" w:hanging="360"/>
      </w:pPr>
      <w:rPr>
        <w:rFonts w:ascii="Times New Roman" w:hAnsi="Times New Roman" w:cs="Times New Roman" w:hint="default"/>
        <w:b/>
        <w:bCs/>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018625F"/>
    <w:multiLevelType w:val="hybridMultilevel"/>
    <w:tmpl w:val="EC66C42E"/>
    <w:lvl w:ilvl="0" w:tplc="5148A288">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F882970"/>
    <w:multiLevelType w:val="hybridMultilevel"/>
    <w:tmpl w:val="0660065E"/>
    <w:lvl w:ilvl="0" w:tplc="2ABCDDD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71A17991"/>
    <w:multiLevelType w:val="multilevel"/>
    <w:tmpl w:val="026E71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1D5231"/>
    <w:multiLevelType w:val="multilevel"/>
    <w:tmpl w:val="DD30079E"/>
    <w:lvl w:ilvl="0">
      <w:start w:val="1"/>
      <w:numFmt w:val="decimal"/>
      <w:lvlText w:val="%1."/>
      <w:lvlJc w:val="left"/>
      <w:pPr>
        <w:ind w:left="1200" w:hanging="360"/>
      </w:pPr>
      <w:rPr>
        <w:b/>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16cid:durableId="7865077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284341">
    <w:abstractNumId w:val="6"/>
  </w:num>
  <w:num w:numId="3" w16cid:durableId="1336110822">
    <w:abstractNumId w:val="2"/>
  </w:num>
  <w:num w:numId="4" w16cid:durableId="2039506820">
    <w:abstractNumId w:val="1"/>
  </w:num>
  <w:num w:numId="5" w16cid:durableId="1047606896">
    <w:abstractNumId w:val="3"/>
  </w:num>
  <w:num w:numId="6" w16cid:durableId="2041470704">
    <w:abstractNumId w:val="5"/>
  </w:num>
  <w:num w:numId="7" w16cid:durableId="363792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E8"/>
    <w:rsid w:val="00023053"/>
    <w:rsid w:val="00035258"/>
    <w:rsid w:val="00046585"/>
    <w:rsid w:val="000870F3"/>
    <w:rsid w:val="000A4C55"/>
    <w:rsid w:val="000E602E"/>
    <w:rsid w:val="00113EC3"/>
    <w:rsid w:val="00164598"/>
    <w:rsid w:val="0017700C"/>
    <w:rsid w:val="00185949"/>
    <w:rsid w:val="001911CB"/>
    <w:rsid w:val="001A14E8"/>
    <w:rsid w:val="001A5000"/>
    <w:rsid w:val="001D07AF"/>
    <w:rsid w:val="00203BE5"/>
    <w:rsid w:val="002557E6"/>
    <w:rsid w:val="00271D4F"/>
    <w:rsid w:val="002A7F18"/>
    <w:rsid w:val="00315446"/>
    <w:rsid w:val="003A7543"/>
    <w:rsid w:val="0042760B"/>
    <w:rsid w:val="004623A0"/>
    <w:rsid w:val="00462E4B"/>
    <w:rsid w:val="00491403"/>
    <w:rsid w:val="004B0340"/>
    <w:rsid w:val="004B7771"/>
    <w:rsid w:val="005002E8"/>
    <w:rsid w:val="005037D3"/>
    <w:rsid w:val="00590BA5"/>
    <w:rsid w:val="005C323F"/>
    <w:rsid w:val="005D628C"/>
    <w:rsid w:val="00621EA3"/>
    <w:rsid w:val="00663E03"/>
    <w:rsid w:val="006733F0"/>
    <w:rsid w:val="006860ED"/>
    <w:rsid w:val="006F5929"/>
    <w:rsid w:val="0072693C"/>
    <w:rsid w:val="00731EC8"/>
    <w:rsid w:val="007B0709"/>
    <w:rsid w:val="007C4F7B"/>
    <w:rsid w:val="007F332E"/>
    <w:rsid w:val="00822DE6"/>
    <w:rsid w:val="00823E19"/>
    <w:rsid w:val="00835E3B"/>
    <w:rsid w:val="008624B5"/>
    <w:rsid w:val="0086584F"/>
    <w:rsid w:val="008B6C38"/>
    <w:rsid w:val="008F6F1D"/>
    <w:rsid w:val="00935500"/>
    <w:rsid w:val="00A23FD8"/>
    <w:rsid w:val="00A83B7E"/>
    <w:rsid w:val="00AB1E3F"/>
    <w:rsid w:val="00B13D78"/>
    <w:rsid w:val="00B17E74"/>
    <w:rsid w:val="00B30730"/>
    <w:rsid w:val="00B8594E"/>
    <w:rsid w:val="00BB0332"/>
    <w:rsid w:val="00BB400F"/>
    <w:rsid w:val="00BC5B1B"/>
    <w:rsid w:val="00BD0FCE"/>
    <w:rsid w:val="00C033E0"/>
    <w:rsid w:val="00C44E6B"/>
    <w:rsid w:val="00CA50F1"/>
    <w:rsid w:val="00CB3386"/>
    <w:rsid w:val="00CC330C"/>
    <w:rsid w:val="00CD1286"/>
    <w:rsid w:val="00D36DD4"/>
    <w:rsid w:val="00D60CD9"/>
    <w:rsid w:val="00DA661C"/>
    <w:rsid w:val="00DC2665"/>
    <w:rsid w:val="00DD6277"/>
    <w:rsid w:val="00DF57C4"/>
    <w:rsid w:val="00E31232"/>
    <w:rsid w:val="00E518B1"/>
    <w:rsid w:val="00E554C4"/>
    <w:rsid w:val="00E64C60"/>
    <w:rsid w:val="00EF61EE"/>
    <w:rsid w:val="00F32469"/>
    <w:rsid w:val="00F87270"/>
    <w:rsid w:val="00FF17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33685"/>
  <w15:chartTrackingRefBased/>
  <w15:docId w15:val="{23CC6A0C-3F61-4C27-BE03-A2C35A9BF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14E8"/>
    <w:pPr>
      <w:spacing w:after="0" w:line="240" w:lineRule="auto"/>
    </w:pPr>
    <w:rPr>
      <w:rFonts w:ascii="Times New Roman" w:eastAsia="Times New Roman" w:hAnsi="Times New Roman" w:cs="Times New Roman"/>
      <w:sz w:val="20"/>
      <w:szCs w:val="20"/>
      <w:lang w:eastAsia="lt-LT"/>
    </w:rPr>
  </w:style>
  <w:style w:type="paragraph" w:styleId="Antrat2">
    <w:name w:val="heading 2"/>
    <w:basedOn w:val="prastasis"/>
    <w:next w:val="prastasis"/>
    <w:link w:val="Antrat2Diagrama"/>
    <w:uiPriority w:val="9"/>
    <w:semiHidden/>
    <w:unhideWhenUsed/>
    <w:qFormat/>
    <w:rsid w:val="001A14E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basedOn w:val="prastasis"/>
    <w:next w:val="prastasis"/>
    <w:link w:val="Antrat4Diagrama"/>
    <w:uiPriority w:val="9"/>
    <w:semiHidden/>
    <w:unhideWhenUsed/>
    <w:qFormat/>
    <w:rsid w:val="001A14E8"/>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semiHidden/>
    <w:unhideWhenUsed/>
    <w:qFormat/>
    <w:rsid w:val="001A14E8"/>
    <w:pPr>
      <w:keepNext/>
      <w:jc w:val="center"/>
      <w:outlineLvl w:val="4"/>
    </w:pPr>
    <w:rPr>
      <w:cap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1A14E8"/>
    <w:rPr>
      <w:rFonts w:ascii="Times New Roman" w:eastAsia="Times New Roman" w:hAnsi="Times New Roman" w:cs="Times New Roman"/>
      <w:caps/>
      <w:sz w:val="24"/>
      <w:szCs w:val="20"/>
      <w:lang w:eastAsia="lt-LT"/>
    </w:rPr>
  </w:style>
  <w:style w:type="character" w:styleId="Hipersaitas">
    <w:name w:val="Hyperlink"/>
    <w:uiPriority w:val="99"/>
    <w:unhideWhenUsed/>
    <w:rsid w:val="001A14E8"/>
    <w:rPr>
      <w:color w:val="0000FF"/>
      <w:u w:val="single"/>
    </w:rPr>
  </w:style>
  <w:style w:type="character" w:customStyle="1" w:styleId="SraopastraipaDiagrama">
    <w:name w:val="Sąrašo pastraipa Diagrama"/>
    <w:aliases w:val="Bullet EY Diagrama,Numbering Diagrama,List Paragraph21 Diagrama,List Paragraph Red Diagrama,List Paragraph1 Diagrama,Red list paragraph Diagrama,Buletai Diagrama,lp1 Diagrama,Bullet 1 Diagrama,Use Case List Paragraph Diagrama"/>
    <w:link w:val="Sraopastraipa"/>
    <w:uiPriority w:val="34"/>
    <w:qFormat/>
    <w:locked/>
    <w:rsid w:val="001A14E8"/>
    <w:rPr>
      <w:rFonts w:ascii="Times New Roman" w:eastAsia="Times New Roman" w:hAnsi="Times New Roman" w:cs="Times New Roman"/>
      <w:sz w:val="20"/>
      <w:szCs w:val="20"/>
      <w:lang w:eastAsia="lt-LT"/>
    </w:rPr>
  </w:style>
  <w:style w:type="paragraph" w:styleId="Sraopastraipa">
    <w:name w:val="List Paragraph"/>
    <w:aliases w:val="Bullet EY,Numbering,List Paragraph21,List Paragraph Red,List Paragraph1,Red list paragraph,Buletai,lp1,Bullet 1,Use Case List Paragraph,ERP-List Paragraph,List Paragraph11,List Paragraph111,Paragraph,Sąraљo pastraipa.Bullet,Lentele"/>
    <w:basedOn w:val="prastasis"/>
    <w:link w:val="SraopastraipaDiagrama"/>
    <w:uiPriority w:val="34"/>
    <w:qFormat/>
    <w:rsid w:val="001A14E8"/>
    <w:pPr>
      <w:ind w:left="720"/>
      <w:contextualSpacing/>
    </w:pPr>
  </w:style>
  <w:style w:type="character" w:customStyle="1" w:styleId="Antrat2Diagrama">
    <w:name w:val="Antraštė 2 Diagrama"/>
    <w:basedOn w:val="Numatytasispastraiposriftas"/>
    <w:link w:val="Antrat2"/>
    <w:uiPriority w:val="9"/>
    <w:semiHidden/>
    <w:rsid w:val="001A14E8"/>
    <w:rPr>
      <w:rFonts w:asciiTheme="majorHAnsi" w:eastAsiaTheme="majorEastAsia" w:hAnsiTheme="majorHAnsi" w:cstheme="majorBidi"/>
      <w:color w:val="2F5496" w:themeColor="accent1" w:themeShade="BF"/>
      <w:sz w:val="26"/>
      <w:szCs w:val="26"/>
      <w:lang w:eastAsia="lt-LT"/>
    </w:rPr>
  </w:style>
  <w:style w:type="character" w:customStyle="1" w:styleId="Antrat4Diagrama">
    <w:name w:val="Antraštė 4 Diagrama"/>
    <w:basedOn w:val="Numatytasispastraiposriftas"/>
    <w:link w:val="Antrat4"/>
    <w:uiPriority w:val="9"/>
    <w:semiHidden/>
    <w:rsid w:val="001A14E8"/>
    <w:rPr>
      <w:rFonts w:asciiTheme="majorHAnsi" w:eastAsiaTheme="majorEastAsia" w:hAnsiTheme="majorHAnsi" w:cstheme="majorBidi"/>
      <w:i/>
      <w:iCs/>
      <w:color w:val="2F5496" w:themeColor="accent1" w:themeShade="BF"/>
      <w:sz w:val="20"/>
      <w:szCs w:val="20"/>
      <w:lang w:eastAsia="lt-LT"/>
    </w:rPr>
  </w:style>
  <w:style w:type="paragraph" w:styleId="Antrats">
    <w:name w:val="header"/>
    <w:basedOn w:val="prastasis"/>
    <w:link w:val="AntratsDiagrama"/>
    <w:rsid w:val="001A14E8"/>
    <w:pPr>
      <w:tabs>
        <w:tab w:val="center" w:pos="4320"/>
        <w:tab w:val="right" w:pos="8640"/>
      </w:tabs>
    </w:pPr>
  </w:style>
  <w:style w:type="character" w:customStyle="1" w:styleId="AntratsDiagrama">
    <w:name w:val="Antraštės Diagrama"/>
    <w:basedOn w:val="Numatytasispastraiposriftas"/>
    <w:link w:val="Antrats"/>
    <w:rsid w:val="001A14E8"/>
    <w:rPr>
      <w:rFonts w:ascii="Times New Roman" w:eastAsia="Times New Roman" w:hAnsi="Times New Roman" w:cs="Times New Roman"/>
      <w:sz w:val="20"/>
      <w:szCs w:val="20"/>
      <w:lang w:eastAsia="lt-LT"/>
    </w:rPr>
  </w:style>
  <w:style w:type="paragraph" w:styleId="prastasiniatinklio">
    <w:name w:val="Normal (Web)"/>
    <w:basedOn w:val="prastasis"/>
    <w:uiPriority w:val="99"/>
    <w:unhideWhenUsed/>
    <w:rsid w:val="001A14E8"/>
    <w:pPr>
      <w:spacing w:after="150"/>
    </w:pPr>
    <w:rPr>
      <w:sz w:val="24"/>
      <w:szCs w:val="24"/>
    </w:rPr>
  </w:style>
  <w:style w:type="character" w:customStyle="1" w:styleId="Neapdorotaspaminjimas1">
    <w:name w:val="Neapdorotas paminėjimas1"/>
    <w:basedOn w:val="Numatytasispastraiposriftas"/>
    <w:uiPriority w:val="99"/>
    <w:semiHidden/>
    <w:unhideWhenUsed/>
    <w:rsid w:val="008B6C38"/>
    <w:rPr>
      <w:color w:val="605E5C"/>
      <w:shd w:val="clear" w:color="auto" w:fill="E1DFDD"/>
    </w:rPr>
  </w:style>
  <w:style w:type="character" w:customStyle="1" w:styleId="tblhead11">
    <w:name w:val="tblhead11"/>
    <w:basedOn w:val="Numatytasispastraiposriftas"/>
    <w:rsid w:val="005C323F"/>
    <w:rPr>
      <w:rFonts w:ascii="inherit" w:hAnsi="inherit" w:hint="default"/>
      <w:b/>
      <w:bCs/>
      <w:sz w:val="26"/>
      <w:szCs w:val="26"/>
    </w:rPr>
  </w:style>
  <w:style w:type="character" w:customStyle="1" w:styleId="baec5a81-e4d6-4674-97f3-e9220f0136c1">
    <w:name w:val="baec5a81-e4d6-4674-97f3-e9220f0136c1"/>
    <w:basedOn w:val="Numatytasispastraiposriftas"/>
    <w:rsid w:val="005C323F"/>
  </w:style>
  <w:style w:type="paragraph" w:customStyle="1" w:styleId="paragraph">
    <w:name w:val="paragraph"/>
    <w:basedOn w:val="prastasis"/>
    <w:rsid w:val="00AB1E3F"/>
    <w:pPr>
      <w:suppressAutoHyphens/>
      <w:autoSpaceDN w:val="0"/>
      <w:spacing w:before="100" w:after="100"/>
      <w:textAlignment w:val="baseline"/>
    </w:pPr>
    <w:rPr>
      <w:sz w:val="24"/>
      <w:szCs w:val="24"/>
    </w:rPr>
  </w:style>
  <w:style w:type="character" w:customStyle="1" w:styleId="normaltextrun">
    <w:name w:val="normaltextrun"/>
    <w:basedOn w:val="Numatytasispastraiposriftas"/>
    <w:rsid w:val="00AB1E3F"/>
  </w:style>
  <w:style w:type="character" w:customStyle="1" w:styleId="eop">
    <w:name w:val="eop"/>
    <w:basedOn w:val="Numatytasispastraiposriftas"/>
    <w:rsid w:val="00AB1E3F"/>
  </w:style>
  <w:style w:type="character" w:styleId="Grietas">
    <w:name w:val="Strong"/>
    <w:basedOn w:val="Numatytasispastraiposriftas"/>
    <w:uiPriority w:val="22"/>
    <w:qFormat/>
    <w:rsid w:val="00E64C60"/>
    <w:rPr>
      <w:b/>
      <w:bCs/>
    </w:rPr>
  </w:style>
  <w:style w:type="paragraph" w:styleId="Porat">
    <w:name w:val="footer"/>
    <w:basedOn w:val="prastasis"/>
    <w:link w:val="PoratDiagrama"/>
    <w:uiPriority w:val="99"/>
    <w:unhideWhenUsed/>
    <w:rsid w:val="00E64C60"/>
    <w:pPr>
      <w:tabs>
        <w:tab w:val="center" w:pos="4819"/>
        <w:tab w:val="right" w:pos="9638"/>
      </w:tabs>
    </w:pPr>
  </w:style>
  <w:style w:type="character" w:customStyle="1" w:styleId="PoratDiagrama">
    <w:name w:val="Poraštė Diagrama"/>
    <w:basedOn w:val="Numatytasispastraiposriftas"/>
    <w:link w:val="Porat"/>
    <w:uiPriority w:val="99"/>
    <w:rsid w:val="00E64C60"/>
    <w:rPr>
      <w:rFonts w:ascii="Times New Roman" w:eastAsia="Times New Roman" w:hAnsi="Times New Roman" w:cs="Times New Roman"/>
      <w:sz w:val="20"/>
      <w:szCs w:val="20"/>
      <w:lang w:eastAsia="lt-LT"/>
    </w:rPr>
  </w:style>
  <w:style w:type="paragraph" w:customStyle="1" w:styleId="xmsonormal">
    <w:name w:val="x_msonormal"/>
    <w:basedOn w:val="prastasis"/>
    <w:rsid w:val="00035258"/>
    <w:rPr>
      <w:rFonts w:ascii="Aptos" w:eastAsiaTheme="minorHAnsi" w:hAnsi="Aptos" w:cs="Apto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477258">
      <w:bodyDiv w:val="1"/>
      <w:marLeft w:val="0"/>
      <w:marRight w:val="0"/>
      <w:marTop w:val="0"/>
      <w:marBottom w:val="0"/>
      <w:divBdr>
        <w:top w:val="none" w:sz="0" w:space="0" w:color="auto"/>
        <w:left w:val="none" w:sz="0" w:space="0" w:color="auto"/>
        <w:bottom w:val="none" w:sz="0" w:space="0" w:color="auto"/>
        <w:right w:val="none" w:sz="0" w:space="0" w:color="auto"/>
      </w:divBdr>
    </w:div>
    <w:div w:id="140865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CA40FC5DCEC2B4EA82498E11E404D41" ma:contentTypeVersion="19" ma:contentTypeDescription="Kurkite naują dokumentą." ma:contentTypeScope="" ma:versionID="046c975f597c3a80dac81ea1ed744b1e">
  <xsd:schema xmlns:xsd="http://www.w3.org/2001/XMLSchema" xmlns:xs="http://www.w3.org/2001/XMLSchema" xmlns:p="http://schemas.microsoft.com/office/2006/metadata/properties" xmlns:ns1="http://schemas.microsoft.com/sharepoint/v3" xmlns:ns2="6bd0db6b-fea7-424b-9408-2b913561cf11" xmlns:ns3="0c0909dc-c1aa-41cf-8052-93173a1f0a6a" targetNamespace="http://schemas.microsoft.com/office/2006/metadata/properties" ma:root="true" ma:fieldsID="e9cdefa8aa5ca5a8c19a6ddadfcdfafc" ns1:_="" ns2:_="" ns3:_="">
    <xsd:import namespace="http://schemas.microsoft.com/sharepoint/v3"/>
    <xsd:import namespace="6bd0db6b-fea7-424b-9408-2b913561cf11"/>
    <xsd:import namespace="0c0909dc-c1aa-41cf-8052-93173a1f0a6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Bendrosios atitikties strategijos ypatybės" ma:hidden="true" ma:internalName="_ip_UnifiedCompliancePolicyProperties">
      <xsd:simpleType>
        <xsd:restriction base="dms:Note"/>
      </xsd:simpleType>
    </xsd:element>
    <xsd:element name="_ip_UnifiedCompliancePolicyUIAction" ma:index="11"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db6b-fea7-424b-9408-2b913561c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b4d3471d-eaa1-4b99-a173-1cddcdf6a8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0909dc-c1aa-41cf-8052-93173a1f0a6a" elementFormDefault="qualified">
    <xsd:import namespace="http://schemas.microsoft.com/office/2006/documentManagement/types"/>
    <xsd:import namespace="http://schemas.microsoft.com/office/infopath/2007/PartnerControls"/>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3e291401-c887-4d14-b84b-666203be14a5}" ma:internalName="TaxCatchAll" ma:showField="CatchAllData" ma:web="0c0909dc-c1aa-41cf-8052-93173a1f0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bd0db6b-fea7-424b-9408-2b913561cf11">
      <Terms xmlns="http://schemas.microsoft.com/office/infopath/2007/PartnerControls"/>
    </lcf76f155ced4ddcb4097134ff3c332f>
    <TaxCatchAll xmlns="0c0909dc-c1aa-41cf-8052-93173a1f0a6a" xsi:nil="true"/>
    <SharedWithUsers xmlns="0c0909dc-c1aa-41cf-8052-93173a1f0a6a">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D76E89-0812-40BB-BEB7-4340191F7D95}"/>
</file>

<file path=customXml/itemProps2.xml><?xml version="1.0" encoding="utf-8"?>
<ds:datastoreItem xmlns:ds="http://schemas.openxmlformats.org/officeDocument/2006/customXml" ds:itemID="{0D44F879-3536-4C59-A838-85EC3FB87AAB}">
  <ds:schemaRefs>
    <ds:schemaRef ds:uri="http://schemas.microsoft.com/office/2006/metadata/properties"/>
    <ds:schemaRef ds:uri="http://schemas.microsoft.com/office/infopath/2007/PartnerControls"/>
    <ds:schemaRef ds:uri="http://schemas.microsoft.com/sharepoint/v3"/>
    <ds:schemaRef ds:uri="6bd0db6b-fea7-424b-9408-2b913561cf11"/>
    <ds:schemaRef ds:uri="0c0909dc-c1aa-41cf-8052-93173a1f0a6a"/>
  </ds:schemaRefs>
</ds:datastoreItem>
</file>

<file path=customXml/itemProps3.xml><?xml version="1.0" encoding="utf-8"?>
<ds:datastoreItem xmlns:ds="http://schemas.openxmlformats.org/officeDocument/2006/customXml" ds:itemID="{7E3EC8D8-652B-4598-B603-E8E794C35EFA}">
  <ds:schemaRefs>
    <ds:schemaRef ds:uri="http://schemas.microsoft.com/sharepoint/v3/contenttype/forms"/>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28</TotalTime>
  <Pages>2</Pages>
  <Words>4212</Words>
  <Characters>2402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Kankevičius</dc:creator>
  <cp:keywords/>
  <dc:description/>
  <cp:lastModifiedBy>Vitalija Jevaišaitė</cp:lastModifiedBy>
  <cp:revision>34</cp:revision>
  <dcterms:created xsi:type="dcterms:W3CDTF">2023-08-24T05:42:00Z</dcterms:created>
  <dcterms:modified xsi:type="dcterms:W3CDTF">2026-01-22T19:13:00Z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0x0101001CA40FC5DCEC2B4EA82498E11E404D41</vt:lpwstr>
  </property>
  <property fmtid="{D5CDD505-2E9C-101B-9397-08002B2CF9AE}" pid="3" name="Order">
    <vt:r8>24900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