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Pr>
          <w:b/>
          <w:bCs/>
          <w:sz w:val="22"/>
          <w:szCs w:val="22"/>
        </w:rPr>
        <w:t>Medicinos pagalbos priemonė</w:t>
      </w:r>
      <w:r w:rsidRPr="00F445DE">
        <w:rPr>
          <w:b/>
          <w:bCs/>
          <w:sz w:val="22"/>
          <w:szCs w:val="22"/>
        </w:rPr>
        <w:t>s</w:t>
      </w:r>
      <w:r w:rsidRPr="00F445DE">
        <w:rPr>
          <w:b/>
          <w:sz w:val="22"/>
          <w:szCs w:val="22"/>
        </w:rPr>
        <w:t xml:space="preserve"> </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 xml:space="preserve">ipsnio nuostatomis CVP IS </w:t>
      </w:r>
      <w:r w:rsidR="00B91BAE" w:rsidRPr="00B91BAE">
        <w:rPr>
          <w:iCs/>
          <w:sz w:val="22"/>
          <w:szCs w:val="22"/>
        </w:rPr>
        <w:t>2025-11-28</w:t>
      </w:r>
      <w:r w:rsidR="00B91BAE">
        <w:rPr>
          <w:iCs/>
          <w:sz w:val="22"/>
          <w:szCs w:val="22"/>
        </w:rPr>
        <w:t xml:space="preserve"> </w:t>
      </w:r>
      <w:r w:rsidRPr="00217DB5">
        <w:rPr>
          <w:iCs/>
          <w:sz w:val="22"/>
          <w:szCs w:val="22"/>
        </w:rPr>
        <w:t xml:space="preserve">buvo viešai skelbta išankstinė rinkos konsultacija „Rinkos konsultacija dėl medicinos pagalbos priemonių pirkimo“ Nr. </w:t>
      </w:r>
      <w:r w:rsidR="00B91BAE" w:rsidRPr="00B91BAE">
        <w:rPr>
          <w:iCs/>
          <w:sz w:val="22"/>
          <w:szCs w:val="22"/>
        </w:rPr>
        <w:t>5651776</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91463D">
        <w:rPr>
          <w:rFonts w:eastAsia="Calibri"/>
          <w:b/>
          <w:sz w:val="22"/>
          <w:szCs w:val="22"/>
          <w:lang w:eastAsia="lt-LT"/>
        </w:rPr>
        <w:t>19 pirkimo dalių</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A4733C"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4733C"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4733C"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A4733C"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w:t>
            </w:r>
            <w:r w:rsidRPr="00C54A7B">
              <w:rPr>
                <w:rFonts w:ascii="Times New Roman" w:hAnsi="Times New Roman" w:cs="Times New Roman"/>
              </w:rPr>
              <w:lastRenderedPageBreak/>
              <w:t>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lastRenderedPageBreak/>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A4733C"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034BA1">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7E201F">
        <w:rPr>
          <w:rFonts w:cs="Times New Roman"/>
          <w:b/>
          <w:iCs/>
          <w:color w:val="548DD4" w:themeColor="text2" w:themeTint="99"/>
          <w:sz w:val="22"/>
          <w:szCs w:val="22"/>
        </w:rPr>
        <w:t xml:space="preserve">m. </w:t>
      </w:r>
      <w:r w:rsidR="00034BA1">
        <w:rPr>
          <w:rFonts w:cs="Times New Roman"/>
          <w:b/>
          <w:iCs/>
          <w:color w:val="548DD4" w:themeColor="text2" w:themeTint="99"/>
          <w:sz w:val="22"/>
          <w:szCs w:val="22"/>
        </w:rPr>
        <w:t>vasario</w:t>
      </w:r>
      <w:r w:rsidR="00425FA0">
        <w:rPr>
          <w:rFonts w:cs="Times New Roman"/>
          <w:b/>
          <w:iCs/>
          <w:color w:val="548DD4" w:themeColor="text2" w:themeTint="99"/>
          <w:sz w:val="22"/>
          <w:szCs w:val="22"/>
        </w:rPr>
        <w:t xml:space="preserve"> </w:t>
      </w:r>
      <w:r w:rsidR="00034BA1">
        <w:rPr>
          <w:rFonts w:cs="Times New Roman"/>
          <w:b/>
          <w:iCs/>
          <w:color w:val="548DD4" w:themeColor="text2" w:themeTint="99"/>
          <w:sz w:val="22"/>
          <w:szCs w:val="22"/>
        </w:rPr>
        <w:t>2</w:t>
      </w:r>
      <w:r w:rsidR="00A4733C">
        <w:rPr>
          <w:rFonts w:cs="Times New Roman"/>
          <w:b/>
          <w:iCs/>
          <w:color w:val="548DD4" w:themeColor="text2" w:themeTint="99"/>
          <w:sz w:val="22"/>
          <w:szCs w:val="22"/>
        </w:rPr>
        <w:t>5</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034BA1">
        <w:rPr>
          <w:b/>
          <w:iCs/>
          <w:color w:val="548DD4" w:themeColor="text2" w:themeTint="99"/>
          <w:sz w:val="22"/>
          <w:szCs w:val="22"/>
        </w:rPr>
        <w:t>6</w:t>
      </w:r>
      <w:r w:rsidR="009A3013" w:rsidRPr="000706F8">
        <w:rPr>
          <w:b/>
          <w:iCs/>
          <w:color w:val="548DD4" w:themeColor="text2" w:themeTint="99"/>
          <w:sz w:val="22"/>
          <w:szCs w:val="22"/>
        </w:rPr>
        <w:t xml:space="preserve"> m. </w:t>
      </w:r>
      <w:r w:rsidR="00034BA1">
        <w:rPr>
          <w:b/>
          <w:iCs/>
          <w:color w:val="548DD4" w:themeColor="text2" w:themeTint="99"/>
          <w:sz w:val="22"/>
          <w:szCs w:val="22"/>
        </w:rPr>
        <w:t>vasario</w:t>
      </w:r>
      <w:r w:rsidR="00973B0C">
        <w:rPr>
          <w:b/>
          <w:iCs/>
          <w:color w:val="548DD4" w:themeColor="text2" w:themeTint="99"/>
          <w:sz w:val="22"/>
          <w:szCs w:val="22"/>
        </w:rPr>
        <w:t xml:space="preserve"> </w:t>
      </w:r>
      <w:r w:rsidR="00FF3C05">
        <w:rPr>
          <w:b/>
          <w:iCs/>
          <w:color w:val="548DD4" w:themeColor="text2" w:themeTint="99"/>
          <w:sz w:val="22"/>
          <w:szCs w:val="22"/>
        </w:rPr>
        <w:t>2</w:t>
      </w:r>
      <w:r w:rsidR="00A4733C">
        <w:rPr>
          <w:b/>
          <w:iCs/>
          <w:color w:val="548DD4" w:themeColor="text2" w:themeTint="99"/>
          <w:sz w:val="22"/>
          <w:szCs w:val="22"/>
        </w:rPr>
        <w:t>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034BA1">
        <w:rPr>
          <w:b/>
          <w:iCs/>
          <w:color w:val="548DD4" w:themeColor="text2" w:themeTint="99"/>
          <w:sz w:val="22"/>
          <w:szCs w:val="22"/>
          <w:u w:val="single"/>
        </w:rPr>
        <w:t>6</w:t>
      </w:r>
      <w:r w:rsidRPr="000706F8">
        <w:rPr>
          <w:b/>
          <w:iCs/>
          <w:color w:val="548DD4" w:themeColor="text2" w:themeTint="99"/>
          <w:sz w:val="22"/>
          <w:szCs w:val="22"/>
          <w:u w:val="single"/>
        </w:rPr>
        <w:t xml:space="preserve"> m.</w:t>
      </w:r>
      <w:r w:rsidR="00034BA1">
        <w:rPr>
          <w:b/>
          <w:iCs/>
          <w:color w:val="548DD4" w:themeColor="text2" w:themeTint="99"/>
          <w:sz w:val="22"/>
          <w:szCs w:val="22"/>
          <w:u w:val="single"/>
        </w:rPr>
        <w:t xml:space="preserve"> vasario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FF3C05">
        <w:rPr>
          <w:b/>
          <w:iCs/>
          <w:color w:val="548DD4" w:themeColor="text2" w:themeTint="99"/>
          <w:sz w:val="22"/>
          <w:szCs w:val="22"/>
          <w:u w:val="single"/>
        </w:rPr>
        <w:t>2</w:t>
      </w:r>
      <w:r w:rsidR="00A4733C">
        <w:rPr>
          <w:b/>
          <w:iCs/>
          <w:color w:val="548DD4" w:themeColor="text2" w:themeTint="99"/>
          <w:sz w:val="22"/>
          <w:szCs w:val="22"/>
          <w:u w:val="single"/>
        </w:rPr>
        <w:t>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bookmarkStart w:id="1" w:name="_GoBack"/>
      <w:bookmarkEnd w:id="1"/>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2C7AFB" w:rsidRDefault="002C7AFB" w:rsidP="002C7AF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 xml:space="preserve">pateiktą lentelę „Excel“ formatu, nurodydamas prekės brūkšninį kodą, katalogo (REF) kodą ir </w:t>
      </w:r>
      <w:r w:rsidRPr="000F6DC9">
        <w:rPr>
          <w:color w:val="000000"/>
          <w:sz w:val="22"/>
          <w:szCs w:val="22"/>
          <w:lang w:eastAsia="lt-LT"/>
        </w:rPr>
        <w:lastRenderedPageBreak/>
        <w:t>gamintoją. Implantuojamoms medicinos priemonėms papildomai turi būti pateiktas CE sertifikatą išdavusios notifikuotosios įstaigos kodas bei informacija, kokiu būdu prekė apskaitoma – partijomis ar serijomis.</w:t>
      </w:r>
    </w:p>
    <w:p w:rsidR="002C7AFB" w:rsidRDefault="002C7AFB"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4BA1"/>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C7AF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1463D"/>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3C"/>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1BAE"/>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45DE"/>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DC90F4-D93A-4323-B2B9-42CAB69E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18</Pages>
  <Words>39800</Words>
  <Characters>22686</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112</cp:revision>
  <cp:lastPrinted>2019-12-02T08:33:00Z</cp:lastPrinted>
  <dcterms:created xsi:type="dcterms:W3CDTF">2023-02-01T12:53:00Z</dcterms:created>
  <dcterms:modified xsi:type="dcterms:W3CDTF">2026-01-22T23:12:00Z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