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FA2B" w14:textId="77777777" w:rsidR="003F438C" w:rsidRDefault="003F438C">
      <w:pPr>
        <w:pStyle w:val="Standard"/>
      </w:pPr>
    </w:p>
    <w:tbl>
      <w:tblPr>
        <w:tblW w:w="9483" w:type="dxa"/>
        <w:tblInd w:w="-103" w:type="dxa"/>
        <w:tblLayout w:type="fixed"/>
        <w:tblCellMar>
          <w:left w:w="10" w:type="dxa"/>
          <w:right w:w="10" w:type="dxa"/>
        </w:tblCellMar>
        <w:tblLook w:val="04A0" w:firstRow="1" w:lastRow="0" w:firstColumn="1" w:lastColumn="0" w:noHBand="0" w:noVBand="1"/>
      </w:tblPr>
      <w:tblGrid>
        <w:gridCol w:w="836"/>
        <w:gridCol w:w="3118"/>
        <w:gridCol w:w="5529"/>
      </w:tblGrid>
      <w:tr w:rsidR="003F438C" w14:paraId="44ED3FB7" w14:textId="77777777">
        <w:tc>
          <w:tcPr>
            <w:tcW w:w="83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0BA81DC3" w14:textId="77777777" w:rsidR="003F438C" w:rsidRDefault="00626FCC">
            <w:pPr>
              <w:pStyle w:val="Standard"/>
              <w:jc w:val="both"/>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Eil. Nr.</w:t>
            </w:r>
          </w:p>
        </w:tc>
        <w:tc>
          <w:tcPr>
            <w:tcW w:w="311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4B8A8905" w14:textId="77777777" w:rsidR="003F438C" w:rsidRDefault="00626FCC">
            <w:pPr>
              <w:pStyle w:val="Standard"/>
              <w:jc w:val="both"/>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Parametras</w:t>
            </w:r>
          </w:p>
        </w:tc>
        <w:tc>
          <w:tcPr>
            <w:tcW w:w="552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1CB77416" w14:textId="77777777" w:rsidR="003F438C" w:rsidRDefault="00626FCC">
            <w:pPr>
              <w:pStyle w:val="Standard"/>
              <w:jc w:val="both"/>
              <w:rPr>
                <w:rFonts w:ascii="Times New Roman" w:eastAsia="Times New Roman" w:hAnsi="Times New Roman" w:cs="Times New Roman"/>
                <w:b/>
                <w:szCs w:val="20"/>
                <w:lang w:eastAsia="lt-LT"/>
              </w:rPr>
            </w:pPr>
            <w:r>
              <w:rPr>
                <w:rFonts w:ascii="Times New Roman" w:eastAsia="Times New Roman" w:hAnsi="Times New Roman" w:cs="Times New Roman"/>
                <w:b/>
                <w:szCs w:val="20"/>
                <w:lang w:eastAsia="lt-LT"/>
              </w:rPr>
              <w:t>Minimali reikšmė</w:t>
            </w:r>
          </w:p>
        </w:tc>
      </w:tr>
      <w:tr w:rsidR="003F438C" w14:paraId="3B6EEEE0" w14:textId="77777777">
        <w:tc>
          <w:tcPr>
            <w:tcW w:w="9483"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5CB23382" w14:textId="77777777" w:rsidR="003F438C" w:rsidRDefault="00626FCC">
            <w:pPr>
              <w:pStyle w:val="Standard"/>
              <w:jc w:val="center"/>
            </w:pPr>
            <w:r>
              <w:rPr>
                <w:rFonts w:ascii="Times New Roman" w:eastAsia="Times New Roman" w:hAnsi="Times New Roman" w:cs="Times New Roman"/>
                <w:szCs w:val="20"/>
                <w:lang w:eastAsia="lt-LT"/>
              </w:rPr>
              <w:t>Tarnybinės stotys</w:t>
            </w:r>
          </w:p>
        </w:tc>
      </w:tr>
      <w:tr w:rsidR="003F438C" w14:paraId="62B3F945" w14:textId="77777777">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CEC963" w14:textId="77777777" w:rsidR="003F438C" w:rsidRPr="0084269E" w:rsidRDefault="003F438C">
            <w:pPr>
              <w:pStyle w:val="ListParagraph"/>
              <w:numPr>
                <w:ilvl w:val="0"/>
                <w:numId w:val="2"/>
              </w:numPr>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10B5C6" w14:textId="77777777" w:rsidR="003F438C" w:rsidRPr="0084269E" w:rsidRDefault="00626FCC">
            <w:pPr>
              <w:pStyle w:val="Standard"/>
              <w:rPr>
                <w:rFonts w:ascii="Times New Roman" w:eastAsia="Times New Roman" w:hAnsi="Times New Roman" w:cs="Times New Roman"/>
                <w:lang w:eastAsia="lt-LT"/>
              </w:rPr>
            </w:pPr>
            <w:r w:rsidRPr="0084269E">
              <w:rPr>
                <w:rFonts w:ascii="Times New Roman" w:eastAsia="Times New Roman" w:hAnsi="Times New Roman" w:cs="Times New Roman"/>
                <w:lang w:eastAsia="lt-LT"/>
              </w:rPr>
              <w:t>Tarnybinių stočių kiekis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1A72D5" w14:textId="77777777" w:rsidR="003F438C" w:rsidRPr="0084269E" w:rsidRDefault="00626FCC">
            <w:pPr>
              <w:pStyle w:val="Standard"/>
              <w:rPr>
                <w:rFonts w:ascii="Times New Roman" w:eastAsia="Times New Roman" w:hAnsi="Times New Roman" w:cs="Times New Roman"/>
                <w:lang w:eastAsia="lt-LT"/>
              </w:rPr>
            </w:pPr>
            <w:r w:rsidRPr="0084269E">
              <w:rPr>
                <w:rFonts w:ascii="Times New Roman" w:eastAsia="Times New Roman" w:hAnsi="Times New Roman" w:cs="Times New Roman"/>
                <w:lang w:eastAsia="lt-LT"/>
              </w:rPr>
              <w:t>5 vnt.</w:t>
            </w:r>
          </w:p>
        </w:tc>
      </w:tr>
      <w:tr w:rsidR="003F438C" w14:paraId="5310A9BD" w14:textId="77777777">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6EA622" w14:textId="77777777" w:rsidR="003F438C" w:rsidRPr="0084269E" w:rsidRDefault="003F438C">
            <w:pPr>
              <w:pStyle w:val="ListParagraph"/>
              <w:numPr>
                <w:ilvl w:val="0"/>
                <w:numId w:val="1"/>
              </w:numPr>
              <w:jc w:val="center"/>
              <w:rPr>
                <w:rFonts w:ascii="Times New Roman" w:eastAsia="Times New Roman" w:hAnsi="Times New Roman"/>
                <w:szCs w:val="24"/>
                <w:lang w:val="lt-LT" w:eastAsia="lt-LT"/>
              </w:rPr>
            </w:pPr>
            <w:bookmarkStart w:id="0" w:name="_Hlk181713708"/>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8E82692"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Tarnybinių stočių tipas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D1C55B4" w14:textId="0E88B6D2" w:rsidR="003F438C" w:rsidRPr="0084269E" w:rsidRDefault="00626FCC">
            <w:pPr>
              <w:pStyle w:val="Standard"/>
              <w:rPr>
                <w:rFonts w:ascii="Times New Roman" w:hAnsi="Times New Roman" w:cs="Times New Roman"/>
              </w:rPr>
            </w:pPr>
            <w:r w:rsidRPr="0084269E">
              <w:rPr>
                <w:rFonts w:ascii="Times New Roman" w:hAnsi="Times New Roman" w:cs="Times New Roman"/>
              </w:rPr>
              <w:t>„Rack mount“ tipo, montuojamas į standartinę 19“ montavimo spintą. Aukštis ne daugiau nei 1U.</w:t>
            </w:r>
          </w:p>
        </w:tc>
      </w:tr>
      <w:bookmarkEnd w:id="0"/>
      <w:tr w:rsidR="003F438C" w14:paraId="36656835" w14:textId="77777777">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4C9F36" w14:textId="77777777" w:rsidR="003F438C" w:rsidRPr="0084269E" w:rsidRDefault="003F438C">
            <w:pPr>
              <w:pStyle w:val="ListParagraph"/>
              <w:numPr>
                <w:ilvl w:val="0"/>
                <w:numId w:val="1"/>
              </w:numPr>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384B582"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Procesorių tipas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33FC5E"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 xml:space="preserve">X64 architektūros. Turi palaikyti automatinę (pagal patiriamą apkrovą) dažnio ir maitinimo įtampos reguliavimo funkciją. Turi būti aparatinio virtualizavimo (angl. </w:t>
            </w:r>
            <w:r w:rsidRPr="0084269E">
              <w:rPr>
                <w:rFonts w:ascii="Times New Roman" w:hAnsi="Times New Roman" w:cs="Times New Roman"/>
                <w:i/>
              </w:rPr>
              <w:t>hardware-assisted virtualization</w:t>
            </w:r>
            <w:r w:rsidRPr="0084269E">
              <w:rPr>
                <w:rFonts w:ascii="Times New Roman" w:hAnsi="Times New Roman" w:cs="Times New Roman"/>
              </w:rPr>
              <w:t>) palaikymas.</w:t>
            </w:r>
          </w:p>
        </w:tc>
      </w:tr>
      <w:tr w:rsidR="003F438C" w14:paraId="437CEFD4" w14:textId="77777777">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5B8CB9" w14:textId="77777777" w:rsidR="003F438C" w:rsidRPr="0084269E" w:rsidRDefault="003F438C">
            <w:pPr>
              <w:pStyle w:val="ListParagraph"/>
              <w:numPr>
                <w:ilvl w:val="0"/>
                <w:numId w:val="1"/>
              </w:numPr>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27C62"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Procesorių branduolių skaičius ir našumas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DA9A16"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1 vnt. procesorius. Branduolių skaičius tarnybinėje stotyje – 64 branduoliai.</w:t>
            </w:r>
          </w:p>
          <w:p w14:paraId="3E5619B4" w14:textId="1E066CBA"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w:t>
            </w:r>
            <w:r w:rsidRPr="0084269E">
              <w:rPr>
                <w:rFonts w:ascii="Times New Roman" w:hAnsi="Times New Roman" w:cs="Times New Roman"/>
                <w:i/>
              </w:rPr>
              <w:t>SPECrate 2017_int_base</w:t>
            </w:r>
            <w:r w:rsidRPr="0084269E">
              <w:rPr>
                <w:rFonts w:ascii="Times New Roman" w:hAnsi="Times New Roman" w:cs="Times New Roman"/>
              </w:rPr>
              <w:t>“ testo parodytas našumas pagal viešai prieinamo tinklalapio www.spec.org rezultatus – ne mažesnis nei 6</w:t>
            </w:r>
            <w:r w:rsidR="00197435" w:rsidRPr="0084269E">
              <w:rPr>
                <w:rFonts w:ascii="Times New Roman" w:hAnsi="Times New Roman" w:cs="Times New Roman"/>
              </w:rPr>
              <w:t>4</w:t>
            </w:r>
            <w:r w:rsidR="00C531F9" w:rsidRPr="0084269E">
              <w:rPr>
                <w:rFonts w:ascii="Times New Roman" w:hAnsi="Times New Roman" w:cs="Times New Roman"/>
              </w:rPr>
              <w:t>5</w:t>
            </w:r>
            <w:r w:rsidRPr="0084269E">
              <w:rPr>
                <w:rFonts w:ascii="Times New Roman" w:hAnsi="Times New Roman" w:cs="Times New Roman"/>
              </w:rPr>
              <w:t>.</w:t>
            </w:r>
          </w:p>
          <w:p w14:paraId="0824F4D2" w14:textId="616A997F" w:rsidR="003F438C" w:rsidRPr="0084269E" w:rsidRDefault="00626FCC">
            <w:pPr>
              <w:spacing w:line="280" w:lineRule="exact"/>
              <w:jc w:val="both"/>
              <w:rPr>
                <w:rFonts w:ascii="Times New Roman" w:hAnsi="Times New Roman" w:cs="Times New Roman"/>
              </w:rPr>
            </w:pPr>
            <w:bookmarkStart w:id="1" w:name="_Hlk181711776"/>
            <w:r w:rsidRPr="0084269E">
              <w:rPr>
                <w:rFonts w:ascii="Times New Roman" w:hAnsi="Times New Roman" w:cs="Times New Roman"/>
              </w:rPr>
              <w:t>„</w:t>
            </w:r>
            <w:r w:rsidRPr="0084269E">
              <w:rPr>
                <w:rFonts w:ascii="Times New Roman" w:hAnsi="Times New Roman" w:cs="Times New Roman"/>
                <w:i/>
              </w:rPr>
              <w:t>SPECrate 2017_fp_base</w:t>
            </w:r>
            <w:r w:rsidRPr="0084269E">
              <w:rPr>
                <w:rFonts w:ascii="Times New Roman" w:hAnsi="Times New Roman" w:cs="Times New Roman"/>
              </w:rPr>
              <w:t xml:space="preserve">“ testo parodytas našumas pagal viešai prieinamo tinklalapio www.spec.org rezultatus – ne mažesnis nei </w:t>
            </w:r>
            <w:r w:rsidR="00197435" w:rsidRPr="0084269E">
              <w:rPr>
                <w:rFonts w:ascii="Times New Roman" w:hAnsi="Times New Roman" w:cs="Times New Roman"/>
              </w:rPr>
              <w:t>60</w:t>
            </w:r>
            <w:r w:rsidR="00C531F9" w:rsidRPr="0084269E">
              <w:rPr>
                <w:rFonts w:ascii="Times New Roman" w:hAnsi="Times New Roman" w:cs="Times New Roman"/>
              </w:rPr>
              <w:t>2</w:t>
            </w:r>
            <w:r w:rsidRPr="0084269E">
              <w:rPr>
                <w:rFonts w:ascii="Times New Roman" w:hAnsi="Times New Roman" w:cs="Times New Roman"/>
              </w:rPr>
              <w:t>.</w:t>
            </w:r>
          </w:p>
          <w:p w14:paraId="0CD0DB62" w14:textId="5A50BB6B" w:rsidR="003F438C" w:rsidRPr="0084269E" w:rsidRDefault="00C531F9">
            <w:pPr>
              <w:pStyle w:val="Standard"/>
              <w:rPr>
                <w:rFonts w:ascii="Times New Roman" w:hAnsi="Times New Roman" w:cs="Times New Roman"/>
              </w:rPr>
            </w:pPr>
            <w:r w:rsidRPr="0084269E">
              <w:rPr>
                <w:rFonts w:ascii="Times New Roman" w:hAnsi="Times New Roman" w:cs="Times New Roman"/>
              </w:rPr>
              <w:t>Pateikiami našumo rezultatai turi būti išmatuoti siūlomos tarnybinės stoties platformoje su siūlomais procesoriais.</w:t>
            </w:r>
            <w:bookmarkEnd w:id="1"/>
          </w:p>
        </w:tc>
      </w:tr>
      <w:tr w:rsidR="003F438C" w14:paraId="3B6AEA54"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097ED2"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652F9DC"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Operatyvinė atmintis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482FE8"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 xml:space="preserve">Ne mažiau </w:t>
            </w:r>
            <w:r w:rsidRPr="0084269E">
              <w:rPr>
                <w:rFonts w:ascii="Times New Roman" w:hAnsi="Times New Roman" w:cs="Times New Roman"/>
                <w:lang w:val="en-US"/>
              </w:rPr>
              <w:t>768G</w:t>
            </w:r>
            <w:r w:rsidRPr="0084269E">
              <w:rPr>
                <w:rFonts w:ascii="Times New Roman" w:hAnsi="Times New Roman" w:cs="Times New Roman"/>
              </w:rPr>
              <w:t>B, ne prasčiau DDR5-4800 DIMM tipo atminties. Atminties apsaugos technologijų „</w:t>
            </w:r>
            <w:r w:rsidRPr="0084269E">
              <w:rPr>
                <w:rFonts w:ascii="Times New Roman" w:hAnsi="Times New Roman" w:cs="Times New Roman"/>
                <w:i/>
              </w:rPr>
              <w:t>Advanced</w:t>
            </w:r>
            <w:r w:rsidRPr="0084269E">
              <w:rPr>
                <w:rFonts w:ascii="Times New Roman" w:hAnsi="Times New Roman" w:cs="Times New Roman"/>
              </w:rPr>
              <w:t xml:space="preserve"> ECC“, „</w:t>
            </w:r>
            <w:r w:rsidRPr="0084269E">
              <w:rPr>
                <w:rFonts w:ascii="Times New Roman" w:hAnsi="Times New Roman" w:cs="Times New Roman"/>
                <w:i/>
              </w:rPr>
              <w:t>Online spare</w:t>
            </w:r>
            <w:r w:rsidRPr="0084269E">
              <w:rPr>
                <w:rFonts w:ascii="Times New Roman" w:hAnsi="Times New Roman" w:cs="Times New Roman"/>
              </w:rPr>
              <w:t xml:space="preserve">“ ar lygiaverčių palaikymas.  </w:t>
            </w:r>
          </w:p>
          <w:p w14:paraId="6462BFF4" w14:textId="77777777" w:rsidR="003F438C" w:rsidRPr="0084269E" w:rsidRDefault="00626FCC">
            <w:pPr>
              <w:pStyle w:val="ListParagraph"/>
              <w:tabs>
                <w:tab w:val="left" w:pos="279"/>
              </w:tabs>
              <w:ind w:left="0"/>
              <w:rPr>
                <w:rFonts w:ascii="Times New Roman" w:hAnsi="Times New Roman"/>
                <w:szCs w:val="24"/>
              </w:rPr>
            </w:pPr>
            <w:r w:rsidRPr="0084269E">
              <w:rPr>
                <w:rFonts w:ascii="Times New Roman" w:hAnsi="Times New Roman"/>
                <w:szCs w:val="24"/>
              </w:rPr>
              <w:t>Nurodyti operatyvinės atminties modelį.</w:t>
            </w:r>
          </w:p>
        </w:tc>
      </w:tr>
      <w:tr w:rsidR="003F438C" w14:paraId="07F6722F"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FAC6791"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0DF15A"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Laikmena operacinei sistemai</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F0F512" w14:textId="64DEC25F"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Operacinei sistemai skirtas atskiras valdiklis su 2 vnt. M.2 480GB „karšto“ keitimo NVMe SSD diskais, apjungtais į RAID1</w:t>
            </w:r>
            <w:r w:rsidR="00FC460E" w:rsidRPr="0084269E">
              <w:rPr>
                <w:rFonts w:ascii="Times New Roman" w:hAnsi="Times New Roman" w:cs="Times New Roman"/>
              </w:rPr>
              <w:t>.</w:t>
            </w:r>
          </w:p>
        </w:tc>
      </w:tr>
      <w:tr w:rsidR="005F29C2" w14:paraId="5A67DB0F"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D4F8DA" w14:textId="77777777" w:rsidR="005F29C2" w:rsidRPr="0084269E" w:rsidRDefault="005F29C2">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5B940B" w14:textId="4E695D64" w:rsidR="005F29C2" w:rsidRPr="0084269E" w:rsidRDefault="005F29C2">
            <w:pPr>
              <w:pStyle w:val="Standard"/>
              <w:rPr>
                <w:rFonts w:ascii="Times New Roman" w:hAnsi="Times New Roman" w:cs="Times New Roman"/>
              </w:rPr>
            </w:pPr>
            <w:r w:rsidRPr="0084269E">
              <w:rPr>
                <w:rFonts w:ascii="Times New Roman" w:hAnsi="Times New Roman" w:cs="Times New Roman"/>
              </w:rPr>
              <w:t>Duomenų diskų RAID valdiklis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48901F" w14:textId="195CD9DB" w:rsidR="005F29C2" w:rsidRPr="005F29C2" w:rsidRDefault="005F29C2" w:rsidP="005F29C2">
            <w:pPr>
              <w:spacing w:line="280" w:lineRule="exact"/>
              <w:jc w:val="both"/>
              <w:rPr>
                <w:rFonts w:ascii="Times New Roman" w:hAnsi="Times New Roman" w:cs="Times New Roman"/>
              </w:rPr>
            </w:pPr>
            <w:r w:rsidRPr="005F29C2">
              <w:rPr>
                <w:rFonts w:ascii="Times New Roman" w:hAnsi="Times New Roman" w:cs="Times New Roman"/>
              </w:rPr>
              <w:t xml:space="preserve">Aparatinis diskų kontroleris, </w:t>
            </w:r>
            <w:r w:rsidRPr="0084269E">
              <w:rPr>
                <w:rFonts w:ascii="Times New Roman" w:hAnsi="Times New Roman" w:cs="Times New Roman"/>
              </w:rPr>
              <w:t xml:space="preserve">palaikomos </w:t>
            </w:r>
            <w:r w:rsidRPr="005F29C2">
              <w:rPr>
                <w:rFonts w:ascii="Times New Roman" w:hAnsi="Times New Roman" w:cs="Times New Roman"/>
              </w:rPr>
              <w:t xml:space="preserve"> </w:t>
            </w:r>
            <w:r w:rsidRPr="0084269E">
              <w:rPr>
                <w:rFonts w:ascii="Times New Roman" w:hAnsi="Times New Roman" w:cs="Times New Roman"/>
              </w:rPr>
              <w:t>SAS/SATA/</w:t>
            </w:r>
            <w:r w:rsidRPr="005F29C2">
              <w:rPr>
                <w:rFonts w:ascii="Times New Roman" w:hAnsi="Times New Roman" w:cs="Times New Roman"/>
              </w:rPr>
              <w:t>NVMe</w:t>
            </w:r>
            <w:r w:rsidRPr="0084269E">
              <w:rPr>
                <w:rFonts w:ascii="Times New Roman" w:hAnsi="Times New Roman" w:cs="Times New Roman"/>
              </w:rPr>
              <w:t xml:space="preserve"> sąsajos</w:t>
            </w:r>
            <w:r w:rsidRPr="005F29C2">
              <w:rPr>
                <w:rFonts w:ascii="Times New Roman" w:hAnsi="Times New Roman" w:cs="Times New Roman"/>
              </w:rPr>
              <w:t xml:space="preserve">, su ne mažiau kaip </w:t>
            </w:r>
            <w:r w:rsidRPr="0084269E">
              <w:rPr>
                <w:rFonts w:ascii="Times New Roman" w:hAnsi="Times New Roman" w:cs="Times New Roman"/>
              </w:rPr>
              <w:t>4</w:t>
            </w:r>
            <w:r w:rsidRPr="005F29C2">
              <w:rPr>
                <w:rFonts w:ascii="Times New Roman" w:hAnsi="Times New Roman" w:cs="Times New Roman"/>
              </w:rPr>
              <w:t>GB atminties skirtos operacijų spartinimui</w:t>
            </w:r>
            <w:r w:rsidR="00FC460E" w:rsidRPr="0084269E">
              <w:rPr>
                <w:rFonts w:ascii="Times New Roman" w:hAnsi="Times New Roman" w:cs="Times New Roman"/>
              </w:rPr>
              <w:t>.</w:t>
            </w:r>
          </w:p>
          <w:p w14:paraId="584B4376" w14:textId="405A5795" w:rsidR="005F29C2" w:rsidRPr="0084269E" w:rsidRDefault="005F29C2" w:rsidP="005F29C2">
            <w:pPr>
              <w:spacing w:line="280" w:lineRule="exact"/>
              <w:jc w:val="both"/>
              <w:rPr>
                <w:rFonts w:ascii="Times New Roman" w:hAnsi="Times New Roman" w:cs="Times New Roman"/>
              </w:rPr>
            </w:pPr>
            <w:r w:rsidRPr="005F29C2">
              <w:rPr>
                <w:rFonts w:ascii="Times New Roman" w:hAnsi="Times New Roman" w:cs="Times New Roman"/>
              </w:rPr>
              <w:t>Palaikantis RAID 0, 1, 10, 5, 6</w:t>
            </w:r>
            <w:r w:rsidR="00FC460E" w:rsidRPr="0084269E">
              <w:rPr>
                <w:rFonts w:ascii="Times New Roman" w:hAnsi="Times New Roman" w:cs="Times New Roman"/>
              </w:rPr>
              <w:t xml:space="preserve"> lygius.</w:t>
            </w:r>
          </w:p>
        </w:tc>
      </w:tr>
      <w:tr w:rsidR="003F438C" w14:paraId="620E5EF1"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48722DC"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bookmarkStart w:id="2" w:name="_Hlk181712266"/>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5104BA"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Diskai</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2F0CE5" w14:textId="2DCC9696"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Ne mažiau kaip 4</w:t>
            </w:r>
            <w:r w:rsidR="00C531F9" w:rsidRPr="0084269E">
              <w:rPr>
                <w:rFonts w:ascii="Times New Roman" w:hAnsi="Times New Roman" w:cs="Times New Roman"/>
              </w:rPr>
              <w:t xml:space="preserve"> </w:t>
            </w:r>
            <w:r w:rsidRPr="0084269E">
              <w:rPr>
                <w:rFonts w:ascii="Times New Roman" w:hAnsi="Times New Roman" w:cs="Times New Roman"/>
              </w:rPr>
              <w:t>vnt</w:t>
            </w:r>
            <w:r w:rsidR="00C531F9" w:rsidRPr="0084269E">
              <w:rPr>
                <w:rFonts w:ascii="Times New Roman" w:hAnsi="Times New Roman" w:cs="Times New Roman"/>
              </w:rPr>
              <w:t>.</w:t>
            </w:r>
            <w:r w:rsidRPr="0084269E">
              <w:rPr>
                <w:rFonts w:ascii="Times New Roman" w:hAnsi="Times New Roman" w:cs="Times New Roman"/>
              </w:rPr>
              <w:t xml:space="preserve"> 1</w:t>
            </w:r>
            <w:r w:rsidR="00C531F9" w:rsidRPr="0084269E">
              <w:rPr>
                <w:rFonts w:ascii="Times New Roman" w:hAnsi="Times New Roman" w:cs="Times New Roman"/>
              </w:rPr>
              <w:t>.</w:t>
            </w:r>
            <w:r w:rsidRPr="0084269E">
              <w:rPr>
                <w:rFonts w:ascii="Times New Roman" w:hAnsi="Times New Roman" w:cs="Times New Roman"/>
              </w:rPr>
              <w:t>9</w:t>
            </w:r>
            <w:r w:rsidR="005F29C2" w:rsidRPr="0084269E">
              <w:rPr>
                <w:rFonts w:ascii="Times New Roman" w:hAnsi="Times New Roman" w:cs="Times New Roman"/>
              </w:rPr>
              <w:t>2</w:t>
            </w:r>
            <w:r w:rsidRPr="0084269E">
              <w:rPr>
                <w:rFonts w:ascii="Times New Roman" w:hAnsi="Times New Roman" w:cs="Times New Roman"/>
              </w:rPr>
              <w:t>TB NVMe SSD diskai. apjungti į RAID5.</w:t>
            </w:r>
          </w:p>
        </w:tc>
      </w:tr>
      <w:bookmarkEnd w:id="2"/>
      <w:tr w:rsidR="003F438C" w14:paraId="0FD3AA41"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5D34C5"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EBE45A6"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Vaizdo posistemė</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82FA92"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Integruota</w:t>
            </w:r>
          </w:p>
        </w:tc>
      </w:tr>
      <w:tr w:rsidR="003F438C" w14:paraId="74A2A208"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3732B7"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bookmarkStart w:id="3" w:name="_Hlk181712940"/>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EA16BAC"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Tinklo sąsajos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AC937B" w14:textId="51595105" w:rsidR="003F438C" w:rsidRPr="0084269E" w:rsidRDefault="00914149">
            <w:pPr>
              <w:spacing w:line="280" w:lineRule="exact"/>
              <w:jc w:val="both"/>
              <w:rPr>
                <w:rFonts w:ascii="Times New Roman" w:hAnsi="Times New Roman" w:cs="Times New Roman"/>
              </w:rPr>
            </w:pPr>
            <w:r>
              <w:rPr>
                <w:rFonts w:ascii="Times New Roman" w:hAnsi="Times New Roman" w:cs="Times New Roman"/>
                <w:color w:val="000000" w:themeColor="text1"/>
              </w:rPr>
              <w:t>Dubliuojantys vienas kitą</w:t>
            </w:r>
            <w:r w:rsidRPr="00DC0DD1">
              <w:rPr>
                <w:rFonts w:ascii="Times New Roman" w:hAnsi="Times New Roman" w:cs="Times New Roman"/>
                <w:color w:val="000000" w:themeColor="text1"/>
              </w:rPr>
              <w:t xml:space="preserve"> tinklo adapteriai. Ne mažiau kaip 4 vnt. </w:t>
            </w:r>
            <w:r>
              <w:rPr>
                <w:rFonts w:ascii="Times New Roman" w:hAnsi="Times New Roman" w:cs="Times New Roman"/>
                <w:color w:val="000000" w:themeColor="text1"/>
              </w:rPr>
              <w:t>10/</w:t>
            </w:r>
            <w:r w:rsidRPr="00DC0DD1">
              <w:rPr>
                <w:rFonts w:ascii="Times New Roman" w:hAnsi="Times New Roman" w:cs="Times New Roman"/>
                <w:color w:val="000000" w:themeColor="text1"/>
              </w:rPr>
              <w:t>25Gb</w:t>
            </w:r>
            <w:r>
              <w:rPr>
                <w:rFonts w:ascii="Times New Roman" w:hAnsi="Times New Roman" w:cs="Times New Roman"/>
                <w:color w:val="000000" w:themeColor="text1"/>
              </w:rPr>
              <w:t xml:space="preserve"> SFP28</w:t>
            </w:r>
            <w:r w:rsidRPr="00DC0DD1">
              <w:rPr>
                <w:rFonts w:ascii="Times New Roman" w:hAnsi="Times New Roman" w:cs="Times New Roman"/>
                <w:color w:val="000000" w:themeColor="text1"/>
              </w:rPr>
              <w:t xml:space="preserve"> sąsajų. </w:t>
            </w:r>
            <w:r w:rsidRPr="001C43FE">
              <w:rPr>
                <w:rFonts w:ascii="Times New Roman" w:hAnsi="Times New Roman" w:cs="Times New Roman"/>
                <w:color w:val="000000" w:themeColor="text1"/>
                <w:lang w:bidi="en-US"/>
              </w:rPr>
              <w:t>Komplektuojami su SFP28 optiniais imtuvais kiekvienai sąsajai.</w:t>
            </w:r>
          </w:p>
        </w:tc>
      </w:tr>
      <w:bookmarkEnd w:id="3"/>
      <w:tr w:rsidR="003F438C" w14:paraId="20E22466"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E2F10A2"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9DD6EB" w14:textId="77777777" w:rsidR="003F438C" w:rsidRPr="0084269E" w:rsidRDefault="00626FCC">
            <w:pPr>
              <w:pStyle w:val="Standard"/>
              <w:rPr>
                <w:rFonts w:ascii="Times New Roman" w:hAnsi="Times New Roman" w:cs="Times New Roman"/>
              </w:rPr>
            </w:pPr>
            <w:r w:rsidRPr="0084269E">
              <w:rPr>
                <w:rFonts w:ascii="Times New Roman" w:eastAsia="Times New Roman" w:hAnsi="Times New Roman" w:cs="Times New Roman"/>
                <w:lang w:eastAsia="lt-LT"/>
              </w:rPr>
              <w:t>Maitinimo šaltinis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4AB476" w14:textId="77777777" w:rsidR="003F438C" w:rsidRPr="0084269E" w:rsidRDefault="00626FCC">
            <w:pPr>
              <w:pStyle w:val="ListParagraph"/>
              <w:tabs>
                <w:tab w:val="left" w:pos="290"/>
              </w:tabs>
              <w:ind w:left="-5"/>
              <w:rPr>
                <w:rFonts w:ascii="Times New Roman" w:eastAsia="Times New Roman" w:hAnsi="Times New Roman"/>
                <w:szCs w:val="24"/>
                <w:lang w:val="lt-LT" w:eastAsia="lt-LT"/>
              </w:rPr>
            </w:pPr>
            <w:r w:rsidRPr="0084269E">
              <w:rPr>
                <w:rFonts w:ascii="Times New Roman" w:eastAsia="Times New Roman" w:hAnsi="Times New Roman"/>
                <w:szCs w:val="24"/>
                <w:lang w:val="lt-LT" w:eastAsia="lt-LT"/>
              </w:rPr>
              <w:t>Ne mažiau kaip 2 vnt. ne prastesnių parametrų nei:</w:t>
            </w:r>
          </w:p>
          <w:p w14:paraId="44F9EA75" w14:textId="77777777" w:rsidR="003F438C" w:rsidRPr="0084269E" w:rsidRDefault="00626FCC">
            <w:pPr>
              <w:pStyle w:val="ListParagraph"/>
              <w:numPr>
                <w:ilvl w:val="0"/>
                <w:numId w:val="3"/>
              </w:numPr>
              <w:tabs>
                <w:tab w:val="left" w:pos="330"/>
              </w:tabs>
              <w:rPr>
                <w:rFonts w:ascii="Times New Roman" w:eastAsia="Times New Roman" w:hAnsi="Times New Roman"/>
                <w:szCs w:val="24"/>
                <w:lang w:val="lt-LT" w:eastAsia="lt-LT"/>
              </w:rPr>
            </w:pPr>
            <w:r w:rsidRPr="0084269E">
              <w:rPr>
                <w:rFonts w:ascii="Times New Roman" w:eastAsia="Times New Roman" w:hAnsi="Times New Roman"/>
                <w:szCs w:val="24"/>
                <w:lang w:val="lt-LT" w:eastAsia="lt-LT"/>
              </w:rPr>
              <w:t xml:space="preserve">1800 W; </w:t>
            </w:r>
          </w:p>
          <w:p w14:paraId="42A4714E" w14:textId="77777777" w:rsidR="003F438C" w:rsidRPr="0084269E" w:rsidRDefault="00626FCC">
            <w:pPr>
              <w:pStyle w:val="ListParagraph"/>
              <w:numPr>
                <w:ilvl w:val="0"/>
                <w:numId w:val="3"/>
              </w:numPr>
              <w:tabs>
                <w:tab w:val="left" w:pos="330"/>
              </w:tabs>
              <w:rPr>
                <w:rFonts w:ascii="Times New Roman" w:hAnsi="Times New Roman"/>
                <w:szCs w:val="24"/>
              </w:rPr>
            </w:pPr>
            <w:r w:rsidRPr="0084269E">
              <w:rPr>
                <w:rFonts w:ascii="Times New Roman" w:hAnsi="Times New Roman"/>
                <w:szCs w:val="24"/>
              </w:rPr>
              <w:t>Hot-Plug;</w:t>
            </w:r>
          </w:p>
          <w:p w14:paraId="399B9F45" w14:textId="77777777" w:rsidR="003F438C" w:rsidRPr="0084269E" w:rsidRDefault="00626FCC">
            <w:pPr>
              <w:pStyle w:val="ListParagraph"/>
              <w:numPr>
                <w:ilvl w:val="0"/>
                <w:numId w:val="3"/>
              </w:numPr>
              <w:tabs>
                <w:tab w:val="left" w:pos="330"/>
              </w:tabs>
              <w:rPr>
                <w:rFonts w:ascii="Times New Roman" w:eastAsia="Times New Roman" w:hAnsi="Times New Roman"/>
                <w:szCs w:val="24"/>
                <w:lang w:val="lt-LT" w:eastAsia="lt-LT"/>
              </w:rPr>
            </w:pPr>
            <w:r w:rsidRPr="0084269E">
              <w:rPr>
                <w:rFonts w:ascii="Times New Roman" w:eastAsia="Times New Roman" w:hAnsi="Times New Roman"/>
                <w:szCs w:val="24"/>
                <w:lang w:val="lt-LT" w:eastAsia="lt-LT"/>
              </w:rPr>
              <w:t xml:space="preserve">80+ Titanium. </w:t>
            </w:r>
          </w:p>
          <w:p w14:paraId="2239DD0E" w14:textId="77777777" w:rsidR="003F438C" w:rsidRPr="0084269E" w:rsidRDefault="00626FCC">
            <w:pPr>
              <w:spacing w:line="280" w:lineRule="exact"/>
              <w:jc w:val="both"/>
              <w:rPr>
                <w:rFonts w:ascii="Times New Roman" w:hAnsi="Times New Roman" w:cs="Times New Roman"/>
              </w:rPr>
            </w:pPr>
            <w:r w:rsidRPr="0084269E">
              <w:rPr>
                <w:rFonts w:ascii="Times New Roman" w:eastAsia="Times New Roman" w:hAnsi="Times New Roman" w:cs="Times New Roman"/>
                <w:lang w:eastAsia="lt-LT"/>
              </w:rPr>
              <w:t xml:space="preserve">Maitinimo šaltiniai turi būti pritaikyti ~220V maitinimo įtampai. Komplektuojami su maitinimo kabeliais. </w:t>
            </w:r>
          </w:p>
        </w:tc>
      </w:tr>
      <w:tr w:rsidR="003F438C" w14:paraId="09FB6C53"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E9B2D61"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28B14A" w14:textId="5C37CA8E" w:rsidR="003F438C" w:rsidRPr="0084269E" w:rsidRDefault="00C531F9">
            <w:pPr>
              <w:pStyle w:val="Standard"/>
              <w:rPr>
                <w:rFonts w:ascii="Times New Roman" w:hAnsi="Times New Roman" w:cs="Times New Roman"/>
              </w:rPr>
            </w:pPr>
            <w:r w:rsidRPr="0084269E">
              <w:rPr>
                <w:rFonts w:ascii="Times New Roman" w:hAnsi="Times New Roman" w:cs="Times New Roman"/>
              </w:rPr>
              <w:t>Tarnybinės stoties nuotolinio valdymo valdymo adapteris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22DC52"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Nepriklausomas nuo operacinės sistemos, veikiantis be agentų.</w:t>
            </w:r>
          </w:p>
          <w:p w14:paraId="336B27F2"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xml:space="preserve">Turi būti: </w:t>
            </w:r>
          </w:p>
          <w:p w14:paraId="30E82B3C"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lastRenderedPageBreak/>
              <w:t>- Tarnybinės stoties nutolęs valdymas per WEB naršyklę, neinstaliuojant papildomos programinės įrangos, naudojant ne blogesnę kaip WEB 2.0 technologiją;</w:t>
            </w:r>
          </w:p>
          <w:p w14:paraId="55CF58BD"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Tekstinė ir grafinė konsolės;</w:t>
            </w:r>
          </w:p>
          <w:p w14:paraId="0E8C307E"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32CFF7B"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turi būti galimybė saugiai ištrinti tarnybinės stoties diskus bei nuotolinio valdymo adapterio vidinę informaciją;</w:t>
            </w:r>
          </w:p>
          <w:p w14:paraId="6051E3E1"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Virtualus CD - ROM ir KVM palaikymas;</w:t>
            </w:r>
          </w:p>
          <w:p w14:paraId="40A0128B"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- 128bit SSL saugumas;</w:t>
            </w:r>
          </w:p>
          <w:p w14:paraId="57F4363C"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ne blogesnė nei v3 OpenSSL versija;</w:t>
            </w:r>
          </w:p>
          <w:p w14:paraId="4ED19089"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MS Active Directory palaikymas, dviejų faktorių identifikacijos palaikymas naudojant vienkartinius slaptažodžius kartu su Active Directory;</w:t>
            </w:r>
          </w:p>
          <w:p w14:paraId="58A2B175"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Nuotolinis tarnybinės stoties įjungimas/išjungimas;</w:t>
            </w:r>
          </w:p>
          <w:p w14:paraId="747EBF99"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Galimybė apriboti tarnybinės stoties vartojamą elektros galingumą tarnybinių stočių grupėms ir individualiems resursams;</w:t>
            </w:r>
          </w:p>
          <w:p w14:paraId="3D895894" w14:textId="77777777" w:rsidR="00C531F9"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Galimybė prisijungti ne mažiau kaip 15 nutolusių vartotojų vienu metu ir dalintis konsolės seansu;</w:t>
            </w:r>
          </w:p>
          <w:p w14:paraId="2E262F90" w14:textId="5917F351" w:rsidR="003F438C" w:rsidRPr="0084269E" w:rsidRDefault="00C531F9" w:rsidP="00C531F9">
            <w:pPr>
              <w:spacing w:line="280" w:lineRule="exact"/>
              <w:jc w:val="both"/>
              <w:rPr>
                <w:rFonts w:ascii="Times New Roman" w:hAnsi="Times New Roman" w:cs="Times New Roman"/>
              </w:rPr>
            </w:pPr>
            <w:r w:rsidRPr="0084269E">
              <w:rPr>
                <w:rFonts w:ascii="Times New Roman" w:hAnsi="Times New Roman" w:cs="Times New Roman"/>
              </w:rPr>
              <w:t>- Aparatinės dalies temperatūros, CPU, operatyvinės atminties, vidinių diskų būklės stebėjimas ir automatinis SNMP pranešimų siuntimas administratoriui ir gamintojo servisui.</w:t>
            </w:r>
          </w:p>
        </w:tc>
      </w:tr>
      <w:tr w:rsidR="00525EB0" w14:paraId="51DFA36E"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D587E5E" w14:textId="77777777" w:rsidR="00525EB0" w:rsidRPr="0084269E" w:rsidRDefault="00525EB0">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6F4C68B" w14:textId="24559550" w:rsidR="00525EB0" w:rsidRPr="00A616B1" w:rsidRDefault="00525EB0">
            <w:pPr>
              <w:pStyle w:val="Standard"/>
              <w:rPr>
                <w:rFonts w:ascii="Times New Roman" w:hAnsi="Times New Roman" w:cs="Times New Roman"/>
              </w:rPr>
            </w:pPr>
            <w:r w:rsidRPr="00A616B1">
              <w:rPr>
                <w:rFonts w:ascii="Times New Roman" w:hAnsi="Times New Roman" w:cs="Times New Roman"/>
              </w:rPr>
              <w:t>Gamintojo valdymo ir administravimo programinė įranga</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F6BD13" w14:textId="213253B9"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 xml:space="preserve">Perkančioji organizacija naudoja HPE OneView programinę įrangą savo infrastruktūros valdymui. Kartu su siūlomomis tarnybinėmis stotimis turi būti pateiktos HPE OneView Advanced licencijos. Jeigu siūloma aparatinė įranga nepalaiko šios programinės įrangos, gali būti siūlomas alternatyvus sprendimas ir naujoms, ir turimoms tarnybinėms stotims (HPE ProLiant DL380 Gen11 </w:t>
            </w:r>
            <w:r w:rsidRPr="00523AE4">
              <w:rPr>
                <w:rFonts w:ascii="Times New Roman" w:hAnsi="Times New Roman" w:cs="Times New Roman"/>
              </w:rPr>
              <w:t xml:space="preserve">– </w:t>
            </w:r>
            <w:r w:rsidR="00523AE4">
              <w:rPr>
                <w:rFonts w:ascii="Times New Roman" w:hAnsi="Times New Roman" w:cs="Times New Roman"/>
              </w:rPr>
              <w:t>2</w:t>
            </w:r>
            <w:r w:rsidRPr="00523AE4">
              <w:rPr>
                <w:rFonts w:ascii="Times New Roman" w:hAnsi="Times New Roman" w:cs="Times New Roman"/>
              </w:rPr>
              <w:t>0 vnt</w:t>
            </w:r>
            <w:r w:rsidRPr="00A616B1">
              <w:rPr>
                <w:rFonts w:ascii="Times New Roman" w:hAnsi="Times New Roman" w:cs="Times New Roman"/>
              </w:rPr>
              <w:t>.), galintis vykdyti šias funkcijas:</w:t>
            </w:r>
          </w:p>
          <w:p w14:paraId="4EC02EDC"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centralizuotas tarnybinių stočių inventoriaus sekimas;</w:t>
            </w:r>
          </w:p>
          <w:p w14:paraId="3DD2872A"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tarybinių stočių programinės įrangos versijų stebėjimas ir tinkamų versijų rekomendacijos;</w:t>
            </w:r>
          </w:p>
          <w:p w14:paraId="50982D8C"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tarnybinių stočių programinės įrangos atnaujinimas;</w:t>
            </w:r>
          </w:p>
          <w:p w14:paraId="79184526"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tarybinių stočių diskų posistemės konfigūravimas;</w:t>
            </w:r>
          </w:p>
          <w:p w14:paraId="3321B539"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operacinės sistemos diegimas;</w:t>
            </w:r>
          </w:p>
          <w:p w14:paraId="2F320D45"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automatinis gedimų ir incidentų registravimas gamintojo palaikymo portale;</w:t>
            </w:r>
          </w:p>
          <w:p w14:paraId="2E33E76F"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lastRenderedPageBreak/>
              <w:t>•</w:t>
            </w:r>
            <w:r w:rsidRPr="00A616B1">
              <w:rPr>
                <w:rFonts w:ascii="Times New Roman" w:hAnsi="Times New Roman" w:cs="Times New Roman"/>
              </w:rPr>
              <w:tab/>
              <w:t>visų atliekamų veiksmų įrašų archyvas audito tikslais, saugomas visą įrangos naudojimo laikotarpį ir apsaugotas nuo pakeitimų.</w:t>
            </w:r>
          </w:p>
          <w:p w14:paraId="18425F39" w14:textId="77777777" w:rsidR="00A616B1"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integracija su VMware vCenter Lifecycle Manager (vLCM);</w:t>
            </w:r>
          </w:p>
          <w:p w14:paraId="2771C001" w14:textId="454BD5A3" w:rsidR="00525EB0" w:rsidRPr="00A616B1" w:rsidRDefault="00A616B1" w:rsidP="00A616B1">
            <w:pPr>
              <w:spacing w:line="280" w:lineRule="exact"/>
              <w:jc w:val="both"/>
              <w:rPr>
                <w:rFonts w:ascii="Times New Roman" w:hAnsi="Times New Roman" w:cs="Times New Roman"/>
              </w:rPr>
            </w:pPr>
            <w:r w:rsidRPr="00A616B1">
              <w:rPr>
                <w:rFonts w:ascii="Times New Roman" w:hAnsi="Times New Roman" w:cs="Times New Roman"/>
              </w:rPr>
              <w:t>•</w:t>
            </w:r>
            <w:r w:rsidRPr="00A616B1">
              <w:rPr>
                <w:rFonts w:ascii="Times New Roman" w:hAnsi="Times New Roman" w:cs="Times New Roman"/>
              </w:rPr>
              <w:tab/>
              <w:t>REST API palaikymas;</w:t>
            </w:r>
          </w:p>
        </w:tc>
      </w:tr>
      <w:tr w:rsidR="003F438C" w14:paraId="25558FF5"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D776ACC"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948C1E4" w14:textId="77777777" w:rsidR="003F438C" w:rsidRPr="0084269E" w:rsidRDefault="00626FCC">
            <w:pPr>
              <w:pStyle w:val="Standard"/>
              <w:rPr>
                <w:rFonts w:ascii="Times New Roman" w:hAnsi="Times New Roman" w:cs="Times New Roman"/>
              </w:rPr>
            </w:pPr>
            <w:r w:rsidRPr="0084269E">
              <w:rPr>
                <w:rFonts w:ascii="Times New Roman" w:eastAsia="Times New Roman" w:hAnsi="Times New Roman" w:cs="Times New Roman"/>
                <w:lang w:eastAsia="lt-LT"/>
              </w:rPr>
              <w:t>Komplektacija</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4320FE"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 xml:space="preserve">Tarnybinė stotis </w:t>
            </w:r>
            <w:r w:rsidRPr="0084269E">
              <w:rPr>
                <w:rFonts w:ascii="Times New Roman" w:eastAsia="Times New Roman" w:hAnsi="Times New Roman" w:cs="Times New Roman"/>
                <w:lang w:eastAsia="lt-LT"/>
              </w:rPr>
              <w:t xml:space="preserve">komplektuojama su visais tinkamai funkcionuoti užsakovo informacinėje sistemoje reikalingais  </w:t>
            </w:r>
            <w:r w:rsidRPr="0084269E">
              <w:rPr>
                <w:rFonts w:ascii="Times New Roman" w:hAnsi="Times New Roman" w:cs="Times New Roman"/>
              </w:rPr>
              <w:t xml:space="preserve">„Rack mount“ tipo montavimo spintoje </w:t>
            </w:r>
            <w:r w:rsidRPr="0084269E">
              <w:rPr>
                <w:rFonts w:ascii="Times New Roman" w:eastAsia="Times New Roman" w:hAnsi="Times New Roman" w:cs="Times New Roman"/>
                <w:lang w:eastAsia="lt-LT"/>
              </w:rPr>
              <w:t xml:space="preserve"> bėgiais, kabelių rinkiniais, jų valdymo alkūne. </w:t>
            </w:r>
          </w:p>
        </w:tc>
      </w:tr>
      <w:tr w:rsidR="003F438C" w14:paraId="0AD89790"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80821E"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30CAA1E"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Surinkimo reikalavimai</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7E705FC"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 xml:space="preserve">Siūloma įranga turi būti nauja ir ankščiau nenaudota, gamykliškai atnaujinti (angl. </w:t>
            </w:r>
            <w:r w:rsidRPr="0084269E">
              <w:rPr>
                <w:rFonts w:ascii="Times New Roman" w:hAnsi="Times New Roman" w:cs="Times New Roman"/>
                <w:i/>
              </w:rPr>
              <w:t>Renewed, Refurbished, Remarketed</w:t>
            </w:r>
            <w:r w:rsidRPr="0084269E">
              <w:rPr>
                <w:rFonts w:ascii="Times New Roman" w:hAnsi="Times New Roman" w:cs="Times New Roman"/>
              </w:rPr>
              <w:t>) komponentai neleistini.</w:t>
            </w:r>
          </w:p>
          <w:p w14:paraId="14DD5A29"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Visos komplektuojančios tarnybinės stoties dalys privalo būti komplektuojamos tarnybinės stoties gamintojo arba kelių gamintojų sertifikuota bendras darbui ir pažymėtos gamintojo gamykliniais kodais.</w:t>
            </w:r>
          </w:p>
        </w:tc>
      </w:tr>
      <w:tr w:rsidR="003F438C" w14:paraId="0CBD9034"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3B196C"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04B2139"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Pagrindinės charakteristikos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464B24"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Pateikti nuorodą į viešai prieinamą informaciją gamintojo interneto svetainėje, kurioje pateikiama informacija apie siūlomos prekės pagrindines charakteristikas ir atitikimą techninės specifikacijos reikalavimams.</w:t>
            </w:r>
          </w:p>
        </w:tc>
      </w:tr>
      <w:tr w:rsidR="003F438C" w14:paraId="27E7ACCA"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F51D290"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bookmarkStart w:id="4" w:name="_Hlk181713373"/>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07B694"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Garantinis aptarnavimas</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BA8DEA" w14:textId="193EB90B" w:rsidR="005F29C2" w:rsidRPr="005F29C2" w:rsidRDefault="005F29C2" w:rsidP="005F29C2">
            <w:pPr>
              <w:spacing w:line="280" w:lineRule="exact"/>
              <w:jc w:val="both"/>
              <w:rPr>
                <w:rFonts w:ascii="Times New Roman" w:hAnsi="Times New Roman" w:cs="Times New Roman"/>
              </w:rPr>
            </w:pPr>
            <w:r w:rsidRPr="005F29C2">
              <w:rPr>
                <w:rFonts w:ascii="Times New Roman" w:hAnsi="Times New Roman" w:cs="Times New Roman"/>
              </w:rPr>
              <w:t xml:space="preserve">Tarnybinėms stotims ir visiems pateiktiems techniniams ir programiniams komponentams turi būti taikoma ne mažiau kaip </w:t>
            </w:r>
            <w:r w:rsidRPr="0084269E">
              <w:rPr>
                <w:rFonts w:ascii="Times New Roman" w:hAnsi="Times New Roman" w:cs="Times New Roman"/>
              </w:rPr>
              <w:t>5</w:t>
            </w:r>
            <w:r w:rsidRPr="005F29C2">
              <w:rPr>
                <w:rFonts w:ascii="Times New Roman" w:hAnsi="Times New Roman" w:cs="Times New Roman"/>
              </w:rPr>
              <w:t xml:space="preserve"> metų su sekančios darbo dienos reakcijos laiku gamintojo garantinė priežiūra įrangos eksploatavimo vietoje. Garantinė priežiūra turi būti atliekama paties įrangos gamintojo arba jo autorizuoto aptarnavimo atstovo.</w:t>
            </w:r>
          </w:p>
          <w:p w14:paraId="35E3245F" w14:textId="77777777" w:rsidR="005F29C2" w:rsidRPr="005F29C2" w:rsidRDefault="005F29C2" w:rsidP="005F29C2">
            <w:pPr>
              <w:spacing w:line="280" w:lineRule="exact"/>
              <w:jc w:val="both"/>
              <w:rPr>
                <w:rFonts w:ascii="Times New Roman" w:hAnsi="Times New Roman" w:cs="Times New Roman"/>
              </w:rPr>
            </w:pPr>
            <w:r w:rsidRPr="005F29C2">
              <w:rPr>
                <w:rFonts w:ascii="Times New Roman" w:hAnsi="Times New Roman" w:cs="Times New Roman"/>
              </w:rPr>
              <w:t>Garantijos laikotarpio metu įrangos būsena turi būti nuolat stebima iš gamintojo techninio centro (tiekėjui sukonfigūravus stebėjimą pagal Perkančiosios organizacijos leidimą). Turi būti gamintojo priešlaikinė garantija („Pre-Failure Warranty“) procesoriui, operatyvinei atminčiai ir diskams.</w:t>
            </w:r>
          </w:p>
          <w:p w14:paraId="65F72C99" w14:textId="77777777" w:rsidR="005F29C2" w:rsidRPr="005F29C2" w:rsidRDefault="005F29C2" w:rsidP="005F29C2">
            <w:pPr>
              <w:spacing w:line="280" w:lineRule="exact"/>
              <w:jc w:val="both"/>
              <w:rPr>
                <w:rFonts w:ascii="Times New Roman" w:hAnsi="Times New Roman" w:cs="Times New Roman"/>
              </w:rPr>
            </w:pPr>
            <w:r w:rsidRPr="005F29C2">
              <w:rPr>
                <w:rFonts w:ascii="Times New Roman" w:hAnsi="Times New Roman" w:cs="Times New Roman"/>
              </w:rPr>
              <w:t>Garantinio  aptarnavimo metu turi būti nemokamai atliekami remonto darbai ir nemokamai keičiami sugedę komponentai. Sugedus diskams, diskai negrąžinami.</w:t>
            </w:r>
          </w:p>
          <w:p w14:paraId="1A14B81B" w14:textId="5676CC7D" w:rsidR="003F438C" w:rsidRPr="0084269E" w:rsidRDefault="005F29C2" w:rsidP="005F29C2">
            <w:pPr>
              <w:spacing w:line="280" w:lineRule="exact"/>
              <w:jc w:val="both"/>
              <w:rPr>
                <w:rFonts w:ascii="Times New Roman" w:hAnsi="Times New Roman" w:cs="Times New Roman"/>
              </w:rPr>
            </w:pPr>
            <w:r w:rsidRPr="0084269E">
              <w:rPr>
                <w:rFonts w:ascii="Times New Roman" w:hAnsi="Times New Roman" w:cs="Times New Roman"/>
                <w:bCs/>
              </w:rPr>
              <w:t>Tiekėjas turi pateikti nuorodą į gamintojo internetinę prieigą, kuri įgalina naudojant produkto kodą ir serijinį numerį patikrinti suteiktą gamintojo garantiją internetiniame puslapyje.</w:t>
            </w:r>
          </w:p>
        </w:tc>
      </w:tr>
      <w:bookmarkEnd w:id="4"/>
      <w:tr w:rsidR="003F438C" w14:paraId="3636A333" w14:textId="77777777">
        <w:trPr>
          <w:trHeight w:val="594"/>
        </w:trPr>
        <w:tc>
          <w:tcPr>
            <w:tcW w:w="83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DC9812" w14:textId="77777777" w:rsidR="003F438C" w:rsidRPr="0084269E" w:rsidRDefault="003F438C">
            <w:pPr>
              <w:pStyle w:val="ListParagraph"/>
              <w:numPr>
                <w:ilvl w:val="0"/>
                <w:numId w:val="1"/>
              </w:numPr>
              <w:ind w:left="397"/>
              <w:jc w:val="center"/>
              <w:rPr>
                <w:rFonts w:ascii="Times New Roman" w:eastAsia="Times New Roman" w:hAnsi="Times New Roman"/>
                <w:szCs w:val="24"/>
                <w:lang w:val="lt-LT" w:eastAsia="lt-LT"/>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2C2F0D0" w14:textId="77777777" w:rsidR="003F438C" w:rsidRPr="0084269E" w:rsidRDefault="00626FCC">
            <w:pPr>
              <w:pStyle w:val="Standard"/>
              <w:rPr>
                <w:rFonts w:ascii="Times New Roman" w:hAnsi="Times New Roman" w:cs="Times New Roman"/>
              </w:rPr>
            </w:pPr>
            <w:r w:rsidRPr="0084269E">
              <w:rPr>
                <w:rFonts w:ascii="Times New Roman" w:hAnsi="Times New Roman" w:cs="Times New Roman"/>
              </w:rPr>
              <w:t>Gamintojo kodai</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B9D2238" w14:textId="77777777" w:rsidR="003F438C" w:rsidRPr="0084269E" w:rsidRDefault="00626FCC">
            <w:pPr>
              <w:spacing w:line="280" w:lineRule="exact"/>
              <w:jc w:val="both"/>
              <w:rPr>
                <w:rFonts w:ascii="Times New Roman" w:hAnsi="Times New Roman" w:cs="Times New Roman"/>
              </w:rPr>
            </w:pPr>
            <w:r w:rsidRPr="0084269E">
              <w:rPr>
                <w:rFonts w:ascii="Times New Roman" w:hAnsi="Times New Roman" w:cs="Times New Roman"/>
              </w:rPr>
              <w:t>Pateikiamas komplektuojamų komponentų sąrašas su gamintojo kodais, kiekiais ir pavadinimais.</w:t>
            </w:r>
          </w:p>
        </w:tc>
      </w:tr>
    </w:tbl>
    <w:p w14:paraId="691FA1BC" w14:textId="77777777" w:rsidR="003F438C" w:rsidRDefault="00626FCC">
      <w:pPr>
        <w:spacing w:line="276" w:lineRule="auto"/>
      </w:pPr>
      <w:r>
        <w:rPr>
          <w:rFonts w:ascii="Times New Roman" w:eastAsia="Arial" w:hAnsi="Times New Roman" w:cs="Times New Roman"/>
          <w:b/>
          <w:bCs/>
          <w:i/>
          <w:color w:val="000000"/>
          <w:sz w:val="20"/>
          <w:szCs w:val="20"/>
          <w:lang w:eastAsia="lt-LT"/>
        </w:rPr>
        <w:t>Pastaba:</w:t>
      </w:r>
      <w:r>
        <w:rPr>
          <w:rFonts w:ascii="Times New Roman" w:eastAsia="Arial" w:hAnsi="Times New Roman" w:cs="Times New Roman"/>
          <w:i/>
          <w:color w:val="000000"/>
          <w:sz w:val="20"/>
          <w:szCs w:val="20"/>
          <w:lang w:eastAsia="lt-LT"/>
        </w:rPr>
        <w:t xml:space="preserve">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7D8C8AB3" w14:textId="77777777" w:rsidR="003F438C" w:rsidRDefault="00626FCC">
      <w:pPr>
        <w:spacing w:line="276" w:lineRule="auto"/>
      </w:pPr>
      <w:r>
        <w:rPr>
          <w:i/>
          <w:iCs/>
          <w:sz w:val="22"/>
          <w:szCs w:val="22"/>
        </w:rPr>
        <w:t>Siūlomos Įrangos gamintojas negali būti iš šalių sąrašo, patvirtinto LR Vyriausybės 2022-03-30 Nutarimu Nr. 280.</w:t>
      </w:r>
    </w:p>
    <w:sectPr w:rsidR="003F438C">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3AF6B" w14:textId="77777777" w:rsidR="007D69AB" w:rsidRDefault="007D69AB">
      <w:r>
        <w:separator/>
      </w:r>
    </w:p>
  </w:endnote>
  <w:endnote w:type="continuationSeparator" w:id="0">
    <w:p w14:paraId="4A686E5F" w14:textId="77777777" w:rsidR="007D69AB" w:rsidRDefault="007D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Liberation Sans">
    <w:altName w:val="Arial"/>
    <w:charset w:val="00"/>
    <w:family w:val="swiss"/>
    <w:pitch w:val="variable"/>
  </w:font>
  <w:font w:name="TimesLT">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70C6A" w14:textId="77777777" w:rsidR="007D69AB" w:rsidRDefault="007D69AB">
      <w:r>
        <w:rPr>
          <w:color w:val="000000"/>
        </w:rPr>
        <w:separator/>
      </w:r>
    </w:p>
  </w:footnote>
  <w:footnote w:type="continuationSeparator" w:id="0">
    <w:p w14:paraId="601DD050" w14:textId="77777777" w:rsidR="007D69AB" w:rsidRDefault="007D6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51C40"/>
    <w:multiLevelType w:val="multilevel"/>
    <w:tmpl w:val="EFF6488E"/>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1" w15:restartNumberingAfterBreak="0">
    <w:nsid w:val="79102CB0"/>
    <w:multiLevelType w:val="multilevel"/>
    <w:tmpl w:val="3D7C3F5A"/>
    <w:styleLink w:val="WWNum7"/>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824349">
    <w:abstractNumId w:val="1"/>
  </w:num>
  <w:num w:numId="2" w16cid:durableId="1614436152">
    <w:abstractNumId w:val="1"/>
    <w:lvlOverride w:ilvl="0">
      <w:startOverride w:val="1"/>
    </w:lvlOverride>
  </w:num>
  <w:num w:numId="3" w16cid:durableId="1924337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8C"/>
    <w:rsid w:val="000C03E5"/>
    <w:rsid w:val="00197435"/>
    <w:rsid w:val="002065BC"/>
    <w:rsid w:val="003F438C"/>
    <w:rsid w:val="004D0EEA"/>
    <w:rsid w:val="00523AE4"/>
    <w:rsid w:val="00525EB0"/>
    <w:rsid w:val="00540F82"/>
    <w:rsid w:val="0059578F"/>
    <w:rsid w:val="005F29C2"/>
    <w:rsid w:val="00626FCC"/>
    <w:rsid w:val="00630F23"/>
    <w:rsid w:val="00704DB6"/>
    <w:rsid w:val="007D4849"/>
    <w:rsid w:val="007D69AB"/>
    <w:rsid w:val="0084269E"/>
    <w:rsid w:val="00914149"/>
    <w:rsid w:val="00A616B1"/>
    <w:rsid w:val="00BE0DC9"/>
    <w:rsid w:val="00C531F9"/>
    <w:rsid w:val="00E5720D"/>
    <w:rsid w:val="00EE0285"/>
    <w:rsid w:val="00FC4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51EE"/>
  <w15:docId w15:val="{EBF969AF-E708-4B8F-BCF8-927879D4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rPr>
      <w:rFonts w:ascii="TimesLT" w:eastAsia="TimesLT" w:hAnsi="TimesLT" w:cs="Times New Roman"/>
      <w:szCs w:val="20"/>
      <w:lang w:val="en-US" w:eastAsia="en-US"/>
    </w:rPr>
  </w:style>
  <w:style w:type="paragraph" w:customStyle="1" w:styleId="TableContents">
    <w:name w:val="Table Contents"/>
    <w:basedOn w:val="Standard"/>
    <w:pPr>
      <w:suppressLineNumbers/>
    </w:pPr>
  </w:style>
  <w:style w:type="character" w:customStyle="1" w:styleId="ListLabel7">
    <w:name w:val="ListLabel 7"/>
    <w:rPr>
      <w:rFonts w:ascii="Times New Roman" w:eastAsia="Times New Roman" w:hAnsi="Times New Roman" w:cs="Times New Roman"/>
      <w:b w:val="0"/>
    </w:rPr>
  </w:style>
  <w:style w:type="character" w:styleId="FollowedHyperlink">
    <w:name w:val="FollowedHyperlink"/>
    <w:basedOn w:val="DefaultParagraphFont"/>
    <w:rPr>
      <w:color w:val="954F72"/>
      <w:u w:val="single"/>
    </w:rPr>
  </w:style>
  <w:style w:type="character" w:styleId="Hyperlink">
    <w:name w:val="Hyperlink"/>
    <w:basedOn w:val="DefaultParagraphFont"/>
    <w:rPr>
      <w:color w:val="0563C1"/>
      <w:u w:val="single"/>
    </w:rPr>
  </w:style>
  <w:style w:type="character" w:customStyle="1" w:styleId="rynqvb">
    <w:name w:val="rynqvb"/>
    <w:basedOn w:val="DefaultParagraphFont"/>
  </w:style>
  <w:style w:type="character" w:customStyle="1" w:styleId="ListParagraphChar">
    <w:name w:val="List Paragraph Char"/>
    <w:rPr>
      <w:rFonts w:ascii="TimesLT" w:eastAsia="TimesLT" w:hAnsi="TimesLT" w:cs="Times New Roman"/>
      <w:szCs w:val="20"/>
      <w:lang w:val="en-US" w:eastAsia="en-US"/>
    </w:rPr>
  </w:style>
  <w:style w:type="paragraph" w:styleId="Footer">
    <w:name w:val="footer"/>
    <w:basedOn w:val="Normal"/>
    <w:pPr>
      <w:tabs>
        <w:tab w:val="center" w:pos="4819"/>
        <w:tab w:val="right" w:pos="9638"/>
      </w:tabs>
      <w:suppressAutoHyphens w:val="0"/>
      <w:jc w:val="center"/>
      <w:textAlignment w:val="auto"/>
    </w:pPr>
    <w:rPr>
      <w:rFonts w:ascii="Times New Roman" w:eastAsia="Times New Roman" w:hAnsi="Times New Roman" w:cs="Times New Roman"/>
      <w:kern w:val="0"/>
      <w:szCs w:val="20"/>
      <w:lang w:eastAsia="lt-LT" w:bidi="ar-SA"/>
    </w:rPr>
  </w:style>
  <w:style w:type="character" w:customStyle="1" w:styleId="FooterChar">
    <w:name w:val="Footer Char"/>
    <w:basedOn w:val="DefaultParagraphFont"/>
    <w:rPr>
      <w:rFonts w:ascii="Times New Roman" w:eastAsia="Times New Roman" w:hAnsi="Times New Roman" w:cs="Times New Roman"/>
      <w:kern w:val="0"/>
      <w:szCs w:val="20"/>
      <w:lang w:eastAsia="lt-LT" w:bidi="ar-SA"/>
    </w:rPr>
  </w:style>
  <w:style w:type="numbering" w:customStyle="1" w:styleId="WWNum7">
    <w:name w:val="WWNum7"/>
    <w:basedOn w:val="NoList"/>
    <w:pPr>
      <w:numPr>
        <w:numId w:val="1"/>
      </w:numPr>
    </w:pPr>
  </w:style>
  <w:style w:type="paragraph" w:styleId="Revision">
    <w:name w:val="Revision"/>
    <w:hidden/>
    <w:uiPriority w:val="99"/>
    <w:semiHidden/>
    <w:rsid w:val="004D0EEA"/>
    <w:pPr>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3D5F1-5730-488F-B985-B0934412BAC7}">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2.xml><?xml version="1.0" encoding="utf-8"?>
<ds:datastoreItem xmlns:ds="http://schemas.openxmlformats.org/officeDocument/2006/customXml" ds:itemID="{9173F7E5-6B21-4D23-8897-757044187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8D79D-1716-49F3-8FE7-9F6C57EF1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4332</Words>
  <Characters>2470</Characters>
  <DocSecurity>0</DocSecurity>
  <Lines>20</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2024-11-11T12:50:00Z</dcterms:created>
  <dcterms:modified xsi:type="dcterms:W3CDTF">2024-11-13T10:04:00Z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etDate">
    <vt:lpwstr>2024-11-11T12:50:53Z</vt:lpwstr>
  </property>
  <property fmtid="{D5CDD505-2E9C-101B-9397-08002B2CF9AE}" pid="4" name="MSIP_Label_8dbef4c5-c818-41ba-ac89-c164c445b051_Method">
    <vt:lpwstr>Standard</vt:lpwstr>
  </property>
  <property fmtid="{D5CDD505-2E9C-101B-9397-08002B2CF9AE}" pid="5" name="MSIP_Label_8dbef4c5-c818-41ba-ac89-c164c445b051_Name">
    <vt:lpwstr>8dbef4c5-c818-41ba-ac89-c164c445b051</vt:lpwstr>
  </property>
  <property fmtid="{D5CDD505-2E9C-101B-9397-08002B2CF9AE}" pid="6" name="MSIP_Label_8dbef4c5-c818-41ba-ac89-c164c445b051_SiteId">
    <vt:lpwstr>95924808-3044-4177-9c1b-713746ffab95</vt:lpwstr>
  </property>
  <property fmtid="{D5CDD505-2E9C-101B-9397-08002B2CF9AE}" pid="7" name="MSIP_Label_8dbef4c5-c818-41ba-ac89-c164c445b051_ActionId">
    <vt:lpwstr>4f462083-a0c1-4a3b-ac95-0d6e22edf25e</vt:lpwstr>
  </property>
  <property fmtid="{D5CDD505-2E9C-101B-9397-08002B2CF9AE}" pid="8" name="MSIP_Label_8dbef4c5-c818-41ba-ac89-c164c445b051_ContentBits">
    <vt:lpwstr>0</vt:lpwstr>
  </property>
  <property fmtid="{D5CDD505-2E9C-101B-9397-08002B2CF9AE}" pid="9" name="ContentTypeId">
    <vt:lpwstr>0x010100103B2D2286434A40B6337713252B3D2B</vt:lpwstr>
  </property>
  <property fmtid="{D5CDD505-2E9C-101B-9397-08002B2CF9AE}" pid="10" name="MediaServiceImageTags">
    <vt:lpwstr/>
  </property>
</Properties>
</file>