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19EFBC6C"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r w:rsidR="00646D84" w:rsidRPr="006C74A2">
        <w:rPr>
          <w:caps/>
          <w:color w:val="FF0000"/>
          <w:szCs w:val="24"/>
        </w:rPr>
        <w:t>(projektas)</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5"/>
        <w:gridCol w:w="2325"/>
        <w:gridCol w:w="2493"/>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7F34BBB5" w:rsidR="00EE3697" w:rsidRPr="006C74A2" w:rsidRDefault="00D20EE8" w:rsidP="00EF2BB2">
            <w:pPr>
              <w:jc w:val="center"/>
              <w:rPr>
                <w:b/>
                <w:kern w:val="2"/>
                <w:szCs w:val="24"/>
              </w:rPr>
            </w:pPr>
            <w:r w:rsidRPr="006C74A2">
              <w:rPr>
                <w:b/>
                <w:kern w:val="2"/>
                <w:szCs w:val="24"/>
              </w:rPr>
              <w:t>„Vienkartinės medicinos pagalbos priemonės Anesteziologijos ir Reanimatologijos centre atliekamoms procedūroms (II d.), 937</w:t>
            </w:r>
            <w:r w:rsidR="00437EB8">
              <w:rPr>
                <w:b/>
                <w:kern w:val="2"/>
                <w:szCs w:val="24"/>
              </w:rPr>
              <w:t>8</w:t>
            </w:r>
            <w:r w:rsidRPr="006C74A2">
              <w:rPr>
                <w:b/>
                <w:kern w:val="2"/>
                <w:szCs w:val="24"/>
              </w:rPr>
              <w:t xml:space="preserve">” </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6F94872" w:rsidR="00EE3697" w:rsidRPr="006C74A2" w:rsidRDefault="00EE3697" w:rsidP="00EE3697">
            <w:pPr>
              <w:jc w:val="center"/>
              <w:rPr>
                <w:kern w:val="2"/>
                <w:szCs w:val="24"/>
              </w:rPr>
            </w:pPr>
            <w:r w:rsidRPr="006C74A2">
              <w:rPr>
                <w:szCs w:val="24"/>
              </w:rPr>
              <w:t>Santariškių g. 2, LT-</w:t>
            </w:r>
            <w:r w:rsidR="004013D5">
              <w:rPr>
                <w:szCs w:val="24"/>
              </w:rPr>
              <w:t>08406</w:t>
            </w:r>
            <w:r w:rsidRPr="006C74A2">
              <w:rPr>
                <w:szCs w:val="24"/>
              </w:rPr>
              <w:t xml:space="preserve"> 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28001390" w:rsidR="00EE3697" w:rsidRPr="006C74A2" w:rsidRDefault="00925D12" w:rsidP="00EE3697">
            <w:pPr>
              <w:jc w:val="center"/>
              <w:rPr>
                <w:kern w:val="2"/>
                <w:szCs w:val="24"/>
              </w:rPr>
            </w:pPr>
            <w:r>
              <w:rPr>
                <w:szCs w:val="24"/>
              </w:rPr>
              <w:t>+370 5</w:t>
            </w:r>
            <w:r w:rsidR="00EE3697" w:rsidRPr="006C74A2">
              <w:rPr>
                <w:szCs w:val="24"/>
              </w:rPr>
              <w:t xml:space="preserve">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7650E80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w:t>
            </w:r>
            <w:r w:rsidR="00894AD8">
              <w:rPr>
                <w:b/>
                <w:bCs/>
                <w:kern w:val="2"/>
                <w:szCs w:val="24"/>
              </w:rPr>
              <w:t>SABIS</w:t>
            </w:r>
            <w:r w:rsidRPr="006C74A2">
              <w:rPr>
                <w:b/>
                <w:bCs/>
                <w:kern w:val="2"/>
                <w:szCs w:val="24"/>
              </w:rPr>
              <w:t>“ priėmimą</w:t>
            </w:r>
          </w:p>
        </w:tc>
        <w:tc>
          <w:tcPr>
            <w:tcW w:w="6831" w:type="dxa"/>
            <w:gridSpan w:val="2"/>
            <w:vAlign w:val="center"/>
          </w:tcPr>
          <w:p w14:paraId="35BE17D7" w14:textId="019907B0"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2.1.1. Už sutarties vykdymą ir prekių priėmimą atsakingas asmuo – Farmacinės veiklos skyriaus vyr. specialistė Dalė Vėžauskienė</w:t>
            </w:r>
            <w:r w:rsidRPr="006C74A2">
              <w:rPr>
                <w:iCs/>
              </w:rPr>
              <w:t>, tel. +370 69771760, dale.vezauskiene</w:t>
            </w:r>
            <w:hyperlink r:id="rId10" w:history="1">
              <w:r w:rsidRPr="00817CFF">
                <w:rPr>
                  <w:rStyle w:val="Hyperlink"/>
                  <w:iCs/>
                </w:rPr>
                <w:t>@santa.lt</w:t>
              </w:r>
            </w:hyperlink>
          </w:p>
          <w:p w14:paraId="58A57616" w14:textId="77777777" w:rsidR="00E02AE0" w:rsidRPr="00817CFF" w:rsidRDefault="00E02AE0" w:rsidP="00E02AE0">
            <w:pPr>
              <w:pStyle w:val="a"/>
              <w:numPr>
                <w:ilvl w:val="0"/>
                <w:numId w:val="0"/>
              </w:numPr>
              <w:tabs>
                <w:tab w:val="left" w:pos="426"/>
              </w:tabs>
              <w:ind w:right="423"/>
              <w:rPr>
                <w:rStyle w:val="Hyperlink"/>
                <w:color w:val="auto"/>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795D2DE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anesteziologijos ir reanimatologijos centre 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148EA4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w:t>
            </w:r>
            <w:proofErr w:type="spellStart"/>
            <w:r w:rsidRPr="00233811">
              <w:rPr>
                <w:kern w:val="2"/>
                <w:szCs w:val="24"/>
              </w:rPr>
              <w:t>perdirbamumą</w:t>
            </w:r>
            <w:proofErr w:type="spellEnd"/>
            <w:r w:rsidRPr="00233811">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777777" w:rsidR="001608C2" w:rsidRPr="006C74A2" w:rsidRDefault="001608C2" w:rsidP="001608C2">
            <w:pPr>
              <w:jc w:val="both"/>
              <w:rPr>
                <w:kern w:val="2"/>
                <w:szCs w:val="24"/>
              </w:rPr>
            </w:pPr>
            <w:r w:rsidRPr="006C74A2">
              <w:rPr>
                <w:kern w:val="2"/>
                <w:szCs w:val="24"/>
              </w:rPr>
              <w:t xml:space="preserve">5.2.1. Pradinės Sutarties vertė yra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be PVM. </w:t>
            </w:r>
          </w:p>
          <w:p w14:paraId="426232A4" w14:textId="77777777" w:rsidR="001608C2" w:rsidRPr="006C74A2" w:rsidRDefault="001608C2" w:rsidP="001608C2">
            <w:pPr>
              <w:jc w:val="both"/>
              <w:rPr>
                <w:kern w:val="2"/>
                <w:szCs w:val="24"/>
              </w:rPr>
            </w:pPr>
            <w:r w:rsidRPr="006C74A2">
              <w:rPr>
                <w:kern w:val="2"/>
                <w:szCs w:val="24"/>
              </w:rPr>
              <w:t xml:space="preserve">PVM sudaro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w:t>
            </w:r>
          </w:p>
          <w:p w14:paraId="4C3D95FE" w14:textId="77777777" w:rsidR="001608C2" w:rsidRPr="006C74A2" w:rsidRDefault="001608C2" w:rsidP="001608C2">
            <w:pPr>
              <w:jc w:val="both"/>
              <w:rPr>
                <w:kern w:val="2"/>
                <w:szCs w:val="24"/>
              </w:rPr>
            </w:pPr>
            <w:r w:rsidRPr="006C74A2">
              <w:rPr>
                <w:kern w:val="2"/>
                <w:szCs w:val="24"/>
              </w:rPr>
              <w:t>Sutarties kaina yra [</w:t>
            </w:r>
            <w:r w:rsidRPr="006C74A2">
              <w:rPr>
                <w:color w:val="4472C4" w:themeColor="accent1"/>
                <w:kern w:val="2"/>
                <w:szCs w:val="24"/>
              </w:rPr>
              <w:t>nurodyti sumą skaičiais</w:t>
            </w:r>
            <w:r w:rsidRPr="006C74A2">
              <w:rPr>
                <w:kern w:val="2"/>
                <w:szCs w:val="24"/>
              </w:rPr>
              <w:t>] Eur, [</w:t>
            </w:r>
            <w:r w:rsidRPr="006C74A2">
              <w:rPr>
                <w:color w:val="4472C4" w:themeColor="accent1"/>
                <w:kern w:val="2"/>
                <w:szCs w:val="24"/>
              </w:rPr>
              <w:t>nurodyti sumą žodžiais</w:t>
            </w:r>
            <w:r w:rsidRPr="006C74A2">
              <w:rPr>
                <w:kern w:val="2"/>
                <w:szCs w:val="24"/>
              </w:rPr>
              <w:t>]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817CF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paslaugų kainų pokytis (k), apskaičiuotas kaip nustatyta 5.3.3.4 </w:t>
            </w:r>
            <w:r w:rsidRPr="006C74A2">
              <w:rPr>
                <w:szCs w:val="24"/>
              </w:rPr>
              <w:lastRenderedPageBreak/>
              <w:t>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7616AC"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 xml:space="preserve">kiekio </w:t>
            </w:r>
            <w:r w:rsidRPr="006C74A2">
              <w:rPr>
                <w:b/>
                <w:bCs/>
                <w:kern w:val="2"/>
                <w:szCs w:val="24"/>
                <w:u w:val="single"/>
              </w:rPr>
              <w:lastRenderedPageBreak/>
              <w:t>(apimties)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lastRenderedPageBreak/>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2F7137BE"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r w:rsidR="00817CFF">
              <w:rPr>
                <w:kern w:val="2"/>
                <w:szCs w:val="24"/>
              </w:rPr>
              <w:t>Prekių galiojimo terminas</w:t>
            </w:r>
            <w:r w:rsidRPr="006C74A2">
              <w:rPr>
                <w:kern w:val="2"/>
                <w:szCs w:val="24"/>
              </w:rPr>
              <w:t>, skaičiuojamas nuo Prekių perdavimo–priėmimo akto ar Sąskaitos (kai Prekių perdavimo–priėmimo aktas nėra pasirašomas) pasirašymo dienos, bet kokiu atveju</w:t>
            </w:r>
            <w:r w:rsidR="00817CFF">
              <w:rPr>
                <w:kern w:val="2"/>
                <w:szCs w:val="24"/>
              </w:rPr>
              <w:t xml:space="preserve"> </w:t>
            </w:r>
            <w:r w:rsidRPr="006C74A2">
              <w:rPr>
                <w:kern w:val="2"/>
                <w:szCs w:val="24"/>
              </w:rPr>
              <w:t xml:space="preserve">turi būti ne trumpesnis nei 70% </w:t>
            </w:r>
            <w:r w:rsidR="00817CFF">
              <w:rPr>
                <w:kern w:val="2"/>
                <w:szCs w:val="24"/>
              </w:rPr>
              <w:t>viso</w:t>
            </w:r>
            <w:r w:rsidRPr="006C74A2">
              <w:rPr>
                <w:kern w:val="2"/>
                <w:szCs w:val="24"/>
              </w:rPr>
              <w:t xml:space="preserve"> </w:t>
            </w:r>
            <w:r w:rsidR="00817CFF">
              <w:rPr>
                <w:kern w:val="2"/>
                <w:szCs w:val="24"/>
              </w:rPr>
              <w:t xml:space="preserve">prekės </w:t>
            </w:r>
            <w:r w:rsidRPr="006C74A2">
              <w:rPr>
                <w:kern w:val="2"/>
                <w:szCs w:val="24"/>
              </w:rPr>
              <w:t>galiojimo termino.</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lastRenderedPageBreak/>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817CF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817CF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817CFF" w:rsidRDefault="007029A5" w:rsidP="007029A5">
            <w:pPr>
              <w:rPr>
                <w:b/>
                <w:bCs/>
                <w:kern w:val="2"/>
                <w:szCs w:val="24"/>
              </w:rPr>
            </w:pPr>
            <w:r w:rsidRPr="00817CF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 xml:space="preserve">Jei Tiekėjas nevykdo savo sutartinių įsipareigojimų ar vykdo juos netinkamai (išskyrus 9.2 punkte numatytus atvejus), Pirkėjas </w:t>
            </w:r>
            <w:r w:rsidRPr="006C74A2">
              <w:rPr>
                <w:kern w:val="2"/>
                <w:szCs w:val="24"/>
              </w:rPr>
              <w:lastRenderedPageBreak/>
              <w:t>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0347B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0347B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7616AC">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lastRenderedPageBreak/>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817CFF">
              <w:rPr>
                <w:color w:val="000000"/>
                <w:kern w:val="2"/>
                <w:szCs w:val="24"/>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7616AC">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C74A2">
              <w:rPr>
                <w:color w:val="000000"/>
                <w:bdr w:val="none" w:sz="0" w:space="0" w:color="auto" w:frame="1"/>
              </w:rPr>
              <w:t>Voluntary</w:t>
            </w:r>
            <w:proofErr w:type="spellEnd"/>
            <w:r w:rsidRPr="006C74A2">
              <w:rPr>
                <w:color w:val="000000"/>
                <w:bdr w:val="none" w:sz="0" w:space="0" w:color="auto" w:frame="1"/>
              </w:rPr>
              <w:t xml:space="preserve"> Standard </w:t>
            </w:r>
            <w:proofErr w:type="spellStart"/>
            <w:r w:rsidRPr="006C74A2">
              <w:rPr>
                <w:color w:val="000000"/>
                <w:bdr w:val="none" w:sz="0" w:space="0" w:color="auto" w:frame="1"/>
              </w:rPr>
              <w:t>for</w:t>
            </w:r>
            <w:proofErr w:type="spellEnd"/>
            <w:r w:rsidRPr="006C74A2">
              <w:rPr>
                <w:color w:val="000000"/>
                <w:bdr w:val="none" w:sz="0" w:space="0" w:color="auto" w:frame="1"/>
              </w:rPr>
              <w:t xml:space="preserve"> </w:t>
            </w:r>
            <w:proofErr w:type="spellStart"/>
            <w:r w:rsidRPr="006C74A2">
              <w:rPr>
                <w:color w:val="000000"/>
                <w:bdr w:val="none" w:sz="0" w:space="0" w:color="auto" w:frame="1"/>
              </w:rPr>
              <w:t>Repulping</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Recycling</w:t>
            </w:r>
            <w:proofErr w:type="spellEnd"/>
            <w:r w:rsidRPr="006C74A2">
              <w:rPr>
                <w:color w:val="000000"/>
                <w:bdr w:val="none" w:sz="0" w:space="0" w:color="auto" w:frame="1"/>
              </w:rPr>
              <w:t xml:space="preserve"> </w:t>
            </w:r>
            <w:proofErr w:type="spellStart"/>
            <w:r w:rsidRPr="006C74A2">
              <w:rPr>
                <w:color w:val="000000"/>
                <w:bdr w:val="none" w:sz="0" w:space="0" w:color="auto" w:frame="1"/>
              </w:rPr>
              <w:t>Corrugated</w:t>
            </w:r>
            <w:proofErr w:type="spellEnd"/>
            <w:r w:rsidRPr="006C74A2">
              <w:rPr>
                <w:color w:val="000000"/>
                <w:bdr w:val="none" w:sz="0" w:space="0" w:color="auto" w:frame="1"/>
              </w:rPr>
              <w:t xml:space="preserve"> </w:t>
            </w:r>
            <w:proofErr w:type="spellStart"/>
            <w:r w:rsidRPr="006C74A2">
              <w:rPr>
                <w:color w:val="000000"/>
                <w:bdr w:val="none" w:sz="0" w:space="0" w:color="auto" w:frame="1"/>
              </w:rPr>
              <w:t>Fiberboard</w:t>
            </w:r>
            <w:proofErr w:type="spellEnd"/>
            <w:r w:rsidRPr="006C74A2">
              <w:rPr>
                <w:color w:val="000000"/>
                <w:bdr w:val="none" w:sz="0" w:space="0" w:color="auto" w:frame="1"/>
              </w:rPr>
              <w:t xml:space="preserve"> </w:t>
            </w:r>
            <w:proofErr w:type="spellStart"/>
            <w:r w:rsidRPr="006C74A2">
              <w:rPr>
                <w:color w:val="000000"/>
                <w:bdr w:val="none" w:sz="0" w:space="0" w:color="auto" w:frame="1"/>
              </w:rPr>
              <w:t>Treated</w:t>
            </w:r>
            <w:proofErr w:type="spellEnd"/>
            <w:r w:rsidRPr="006C74A2">
              <w:rPr>
                <w:color w:val="000000"/>
                <w:bdr w:val="none" w:sz="0" w:space="0" w:color="auto" w:frame="1"/>
              </w:rPr>
              <w:t xml:space="preserve"> to </w:t>
            </w:r>
            <w:proofErr w:type="spellStart"/>
            <w:r w:rsidRPr="006C74A2">
              <w:rPr>
                <w:color w:val="000000"/>
                <w:bdr w:val="none" w:sz="0" w:space="0" w:color="auto" w:frame="1"/>
              </w:rPr>
              <w:t>Improve</w:t>
            </w:r>
            <w:proofErr w:type="spellEnd"/>
            <w:r w:rsidRPr="006C74A2">
              <w:rPr>
                <w:color w:val="000000"/>
                <w:bdr w:val="none" w:sz="0" w:space="0" w:color="auto" w:frame="1"/>
              </w:rPr>
              <w:t xml:space="preserve"> </w:t>
            </w:r>
            <w:proofErr w:type="spellStart"/>
            <w:r w:rsidRPr="006C74A2">
              <w:rPr>
                <w:color w:val="000000"/>
                <w:bdr w:val="none" w:sz="0" w:space="0" w:color="auto" w:frame="1"/>
              </w:rPr>
              <w:t>Its</w:t>
            </w:r>
            <w:proofErr w:type="spellEnd"/>
            <w:r w:rsidRPr="006C74A2">
              <w:rPr>
                <w:color w:val="000000"/>
                <w:bdr w:val="none" w:sz="0" w:space="0" w:color="auto" w:frame="1"/>
              </w:rPr>
              <w:t xml:space="preserve"> </w:t>
            </w:r>
            <w:proofErr w:type="spellStart"/>
            <w:r w:rsidRPr="006C74A2">
              <w:rPr>
                <w:color w:val="000000"/>
                <w:bdr w:val="none" w:sz="0" w:space="0" w:color="auto" w:frame="1"/>
              </w:rPr>
              <w:t>Performance</w:t>
            </w:r>
            <w:proofErr w:type="spellEnd"/>
            <w:r w:rsidRPr="006C74A2">
              <w:rPr>
                <w:color w:val="000000"/>
                <w:bdr w:val="none" w:sz="0" w:space="0" w:color="auto" w:frame="1"/>
              </w:rPr>
              <w:t xml:space="preserve"> </w:t>
            </w:r>
            <w:proofErr w:type="spellStart"/>
            <w:r w:rsidRPr="006C74A2">
              <w:rPr>
                <w:color w:val="000000"/>
                <w:bdr w:val="none" w:sz="0" w:space="0" w:color="auto" w:frame="1"/>
              </w:rPr>
              <w:t>in</w:t>
            </w:r>
            <w:proofErr w:type="spellEnd"/>
            <w:r w:rsidRPr="006C74A2">
              <w:rPr>
                <w:color w:val="000000"/>
                <w:bdr w:val="none" w:sz="0" w:space="0" w:color="auto" w:frame="1"/>
              </w:rPr>
              <w:t xml:space="preserve"> </w:t>
            </w:r>
            <w:proofErr w:type="spellStart"/>
            <w:r w:rsidRPr="006C74A2">
              <w:rPr>
                <w:color w:val="000000"/>
                <w:bdr w:val="none" w:sz="0" w:space="0" w:color="auto" w:frame="1"/>
              </w:rPr>
              <w:t>the</w:t>
            </w:r>
            <w:proofErr w:type="spellEnd"/>
            <w:r w:rsidRPr="006C74A2">
              <w:rPr>
                <w:color w:val="000000"/>
                <w:bdr w:val="none" w:sz="0" w:space="0" w:color="auto" w:frame="1"/>
              </w:rPr>
              <w:t xml:space="preserve"> </w:t>
            </w:r>
            <w:proofErr w:type="spellStart"/>
            <w:r w:rsidRPr="006C74A2">
              <w:rPr>
                <w:color w:val="000000"/>
                <w:bdr w:val="none" w:sz="0" w:space="0" w:color="auto" w:frame="1"/>
              </w:rPr>
              <w:t>Presence</w:t>
            </w:r>
            <w:proofErr w:type="spellEnd"/>
            <w:r w:rsidRPr="006C74A2">
              <w:rPr>
                <w:color w:val="000000"/>
                <w:bdr w:val="none" w:sz="0" w:space="0" w:color="auto" w:frame="1"/>
              </w:rPr>
              <w:t xml:space="preserve"> </w:t>
            </w:r>
            <w:proofErr w:type="spellStart"/>
            <w:r w:rsidRPr="006C74A2">
              <w:rPr>
                <w:color w:val="000000"/>
                <w:bdr w:val="none" w:sz="0" w:space="0" w:color="auto" w:frame="1"/>
              </w:rPr>
              <w:t>of</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Vapor</w:t>
            </w:r>
            <w:proofErr w:type="spellEnd"/>
            <w:r w:rsidRPr="006C74A2">
              <w:rPr>
                <w:color w:val="000000"/>
                <w:bdr w:val="none" w:sz="0" w:space="0" w:color="auto" w:frame="1"/>
              </w:rPr>
              <w:t xml:space="preserve">, standartas </w:t>
            </w:r>
            <w:proofErr w:type="spellStart"/>
            <w:r w:rsidRPr="006C74A2">
              <w:rPr>
                <w:color w:val="000000"/>
                <w:bdr w:val="none" w:sz="0" w:space="0" w:color="auto" w:frame="1"/>
              </w:rPr>
              <w:t>RecyClass</w:t>
            </w:r>
            <w:proofErr w:type="spellEnd"/>
            <w:r w:rsidRPr="006C74A2">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7616AC">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7616AC">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7616AC">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lastRenderedPageBreak/>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7616AC">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1"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t>14. SUTARTIES PRIEDAI</w:t>
            </w:r>
          </w:p>
        </w:tc>
      </w:tr>
      <w:tr w:rsidR="007029A5" w:rsidRPr="006C74A2" w14:paraId="17C7A2C3" w14:textId="77777777" w:rsidTr="007616AC">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3"/>
          <w:headerReference w:type="default" r:id="rId14"/>
          <w:footerReference w:type="even" r:id="rId15"/>
          <w:footerReference w:type="default" r:id="rId16"/>
          <w:headerReference w:type="first" r:id="rId17"/>
          <w:footerReference w:type="first" r:id="rId18"/>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shd w:val="clear" w:color="auto" w:fill="auto"/>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shd w:val="clear" w:color="auto" w:fill="auto"/>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25"/>
        <w:gridCol w:w="1954"/>
        <w:gridCol w:w="953"/>
        <w:gridCol w:w="797"/>
        <w:gridCol w:w="1561"/>
        <w:gridCol w:w="943"/>
        <w:gridCol w:w="851"/>
        <w:gridCol w:w="617"/>
        <w:gridCol w:w="714"/>
        <w:gridCol w:w="8"/>
        <w:gridCol w:w="1210"/>
        <w:gridCol w:w="1843"/>
      </w:tblGrid>
      <w:tr w:rsidR="00D9186E" w:rsidRPr="006C74A2" w14:paraId="144E06A4" w14:textId="77777777" w:rsidTr="00171060">
        <w:trPr>
          <w:cantSplit/>
          <w:trHeight w:val="2184"/>
        </w:trPr>
        <w:tc>
          <w:tcPr>
            <w:tcW w:w="916" w:type="dxa"/>
            <w:shd w:val="clear" w:color="auto" w:fill="auto"/>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25" w:type="dxa"/>
            <w:shd w:val="clear" w:color="auto" w:fill="auto"/>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54" w:type="dxa"/>
            <w:shd w:val="clear" w:color="auto" w:fill="auto"/>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953" w:type="dxa"/>
            <w:shd w:val="clear" w:color="auto" w:fill="auto"/>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shd w:val="clear" w:color="auto" w:fill="auto"/>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61"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shd w:val="clear" w:color="auto" w:fill="auto"/>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851" w:type="dxa"/>
            <w:shd w:val="clear" w:color="auto" w:fill="auto"/>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shd w:val="clear" w:color="auto" w:fill="auto"/>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14" w:type="dxa"/>
            <w:shd w:val="clear" w:color="auto" w:fill="auto"/>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218" w:type="dxa"/>
            <w:gridSpan w:val="2"/>
            <w:shd w:val="clear" w:color="auto" w:fill="auto"/>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1843" w:type="dxa"/>
            <w:shd w:val="clear" w:color="auto" w:fill="auto"/>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D9186E" w:rsidRPr="006C74A2" w14:paraId="05611D27" w14:textId="77777777" w:rsidTr="00171060">
        <w:trPr>
          <w:trHeight w:val="562"/>
        </w:trPr>
        <w:tc>
          <w:tcPr>
            <w:tcW w:w="916" w:type="dxa"/>
            <w:shd w:val="clear" w:color="auto" w:fill="auto"/>
            <w:noWrap/>
          </w:tcPr>
          <w:p w14:paraId="10618B50" w14:textId="77777777" w:rsidR="00D9186E" w:rsidRPr="006C74A2" w:rsidRDefault="00D9186E" w:rsidP="00171060">
            <w:pPr>
              <w:rPr>
                <w:color w:val="000000"/>
                <w:szCs w:val="24"/>
                <w:lang w:eastAsia="lt-LT"/>
              </w:rPr>
            </w:pPr>
          </w:p>
        </w:tc>
        <w:tc>
          <w:tcPr>
            <w:tcW w:w="1525" w:type="dxa"/>
            <w:shd w:val="clear" w:color="auto" w:fill="auto"/>
          </w:tcPr>
          <w:p w14:paraId="092A255A" w14:textId="77777777" w:rsidR="00D9186E" w:rsidRPr="006C74A2" w:rsidRDefault="00D9186E" w:rsidP="00171060">
            <w:pPr>
              <w:rPr>
                <w:color w:val="000000"/>
                <w:szCs w:val="24"/>
                <w:lang w:eastAsia="lt-LT"/>
              </w:rPr>
            </w:pPr>
          </w:p>
        </w:tc>
        <w:tc>
          <w:tcPr>
            <w:tcW w:w="1954" w:type="dxa"/>
            <w:shd w:val="clear" w:color="auto" w:fill="auto"/>
          </w:tcPr>
          <w:p w14:paraId="30E7A465" w14:textId="77777777" w:rsidR="00D9186E" w:rsidRPr="006C74A2" w:rsidRDefault="00D9186E" w:rsidP="00171060">
            <w:pPr>
              <w:rPr>
                <w:color w:val="000000"/>
                <w:szCs w:val="24"/>
                <w:lang w:eastAsia="lt-LT"/>
              </w:rPr>
            </w:pPr>
          </w:p>
        </w:tc>
        <w:tc>
          <w:tcPr>
            <w:tcW w:w="953" w:type="dxa"/>
            <w:shd w:val="clear" w:color="auto" w:fill="auto"/>
            <w:noWrap/>
            <w:vAlign w:val="center"/>
          </w:tcPr>
          <w:p w14:paraId="419A8118" w14:textId="77777777" w:rsidR="00D9186E" w:rsidRPr="006C74A2" w:rsidRDefault="00D9186E" w:rsidP="00171060">
            <w:pPr>
              <w:jc w:val="center"/>
              <w:rPr>
                <w:color w:val="000000"/>
                <w:szCs w:val="24"/>
                <w:lang w:eastAsia="lt-LT"/>
              </w:rPr>
            </w:pPr>
          </w:p>
        </w:tc>
        <w:tc>
          <w:tcPr>
            <w:tcW w:w="797" w:type="dxa"/>
            <w:shd w:val="clear" w:color="auto" w:fill="auto"/>
            <w:noWrap/>
            <w:vAlign w:val="center"/>
          </w:tcPr>
          <w:p w14:paraId="5F575DB8" w14:textId="77777777" w:rsidR="00D9186E" w:rsidRPr="006C74A2" w:rsidRDefault="00D9186E" w:rsidP="00171060">
            <w:pPr>
              <w:jc w:val="center"/>
              <w:rPr>
                <w:color w:val="000000"/>
                <w:szCs w:val="24"/>
                <w:lang w:eastAsia="lt-LT"/>
              </w:rPr>
            </w:pPr>
          </w:p>
        </w:tc>
        <w:tc>
          <w:tcPr>
            <w:tcW w:w="1561" w:type="dxa"/>
          </w:tcPr>
          <w:p w14:paraId="35B33A2E" w14:textId="77777777" w:rsidR="00D9186E" w:rsidRPr="006C74A2" w:rsidRDefault="00D9186E" w:rsidP="00171060">
            <w:pPr>
              <w:rPr>
                <w:color w:val="000000"/>
                <w:szCs w:val="24"/>
                <w:lang w:eastAsia="lt-LT"/>
              </w:rPr>
            </w:pPr>
          </w:p>
        </w:tc>
        <w:tc>
          <w:tcPr>
            <w:tcW w:w="943" w:type="dxa"/>
            <w:shd w:val="clear" w:color="auto" w:fill="auto"/>
            <w:noWrap/>
            <w:vAlign w:val="center"/>
          </w:tcPr>
          <w:p w14:paraId="37CBC47D" w14:textId="77777777" w:rsidR="00D9186E" w:rsidRPr="006C74A2" w:rsidRDefault="00D9186E" w:rsidP="00171060">
            <w:pPr>
              <w:rPr>
                <w:color w:val="000000"/>
                <w:szCs w:val="24"/>
                <w:lang w:eastAsia="lt-LT"/>
              </w:rPr>
            </w:pPr>
          </w:p>
        </w:tc>
        <w:tc>
          <w:tcPr>
            <w:tcW w:w="851" w:type="dxa"/>
            <w:shd w:val="clear" w:color="auto" w:fill="auto"/>
            <w:noWrap/>
            <w:vAlign w:val="center"/>
          </w:tcPr>
          <w:p w14:paraId="1F3DB7B8" w14:textId="77777777" w:rsidR="00D9186E" w:rsidRPr="006C74A2" w:rsidRDefault="00D9186E" w:rsidP="00171060">
            <w:pPr>
              <w:jc w:val="center"/>
              <w:rPr>
                <w:color w:val="000000"/>
                <w:szCs w:val="24"/>
                <w:lang w:eastAsia="lt-LT"/>
              </w:rPr>
            </w:pPr>
          </w:p>
        </w:tc>
        <w:tc>
          <w:tcPr>
            <w:tcW w:w="617" w:type="dxa"/>
            <w:shd w:val="clear" w:color="auto" w:fill="auto"/>
            <w:noWrap/>
            <w:vAlign w:val="center"/>
          </w:tcPr>
          <w:p w14:paraId="1DBDCC30" w14:textId="77777777" w:rsidR="00D9186E" w:rsidRPr="006C74A2" w:rsidRDefault="00D9186E" w:rsidP="00171060">
            <w:pPr>
              <w:jc w:val="center"/>
              <w:rPr>
                <w:color w:val="000000"/>
                <w:szCs w:val="24"/>
                <w:lang w:eastAsia="lt-LT"/>
              </w:rPr>
            </w:pPr>
          </w:p>
        </w:tc>
        <w:tc>
          <w:tcPr>
            <w:tcW w:w="714" w:type="dxa"/>
            <w:shd w:val="clear" w:color="auto" w:fill="auto"/>
            <w:noWrap/>
            <w:vAlign w:val="center"/>
          </w:tcPr>
          <w:p w14:paraId="154F05B6" w14:textId="77777777" w:rsidR="00D9186E" w:rsidRPr="006C74A2" w:rsidRDefault="00D9186E" w:rsidP="00171060">
            <w:pPr>
              <w:jc w:val="center"/>
              <w:rPr>
                <w:color w:val="000000"/>
                <w:szCs w:val="24"/>
                <w:lang w:eastAsia="lt-LT"/>
              </w:rPr>
            </w:pPr>
          </w:p>
        </w:tc>
        <w:tc>
          <w:tcPr>
            <w:tcW w:w="1218" w:type="dxa"/>
            <w:gridSpan w:val="2"/>
            <w:shd w:val="clear" w:color="auto" w:fill="auto"/>
            <w:noWrap/>
            <w:vAlign w:val="center"/>
          </w:tcPr>
          <w:p w14:paraId="139ADA68" w14:textId="77777777" w:rsidR="00D9186E" w:rsidRPr="006C74A2" w:rsidRDefault="00D9186E" w:rsidP="00171060">
            <w:pPr>
              <w:jc w:val="center"/>
              <w:rPr>
                <w:color w:val="000000"/>
                <w:szCs w:val="24"/>
                <w:lang w:eastAsia="lt-LT"/>
              </w:rPr>
            </w:pPr>
          </w:p>
        </w:tc>
        <w:tc>
          <w:tcPr>
            <w:tcW w:w="1843" w:type="dxa"/>
            <w:tcBorders>
              <w:bottom w:val="single" w:sz="4" w:space="0" w:color="auto"/>
            </w:tcBorders>
            <w:shd w:val="clear" w:color="auto" w:fill="auto"/>
            <w:noWrap/>
            <w:vAlign w:val="bottom"/>
            <w:hideMark/>
          </w:tcPr>
          <w:p w14:paraId="36B97F9B" w14:textId="77777777" w:rsidR="00D9186E" w:rsidRPr="006C74A2" w:rsidRDefault="00D9186E" w:rsidP="00171060">
            <w:pPr>
              <w:rPr>
                <w:color w:val="000000"/>
                <w:szCs w:val="24"/>
                <w:lang w:eastAsia="lt-LT"/>
              </w:rPr>
            </w:pPr>
            <w:r w:rsidRPr="006C74A2">
              <w:rPr>
                <w:color w:val="000000"/>
                <w:szCs w:val="24"/>
                <w:lang w:eastAsia="lt-LT"/>
              </w:rPr>
              <w:t> </w:t>
            </w:r>
          </w:p>
        </w:tc>
      </w:tr>
      <w:tr w:rsidR="00D9186E" w:rsidRPr="006C74A2" w14:paraId="2DA4716C" w14:textId="77777777" w:rsidTr="00171060">
        <w:trPr>
          <w:trHeight w:val="448"/>
        </w:trPr>
        <w:tc>
          <w:tcPr>
            <w:tcW w:w="10839"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210" w:type="dxa"/>
            <w:tcBorders>
              <w:right w:val="single" w:sz="4" w:space="0" w:color="auto"/>
            </w:tcBorders>
            <w:shd w:val="clear" w:color="auto" w:fill="auto"/>
            <w:noWrap/>
            <w:vAlign w:val="center"/>
          </w:tcPr>
          <w:p w14:paraId="3EC85FA6" w14:textId="77777777" w:rsidR="00D9186E" w:rsidRPr="006C74A2" w:rsidRDefault="00D9186E" w:rsidP="00171060">
            <w:pPr>
              <w:jc w:val="center"/>
              <w:rPr>
                <w:color w:val="000000"/>
                <w:szCs w:val="24"/>
                <w:lang w:eastAsia="lt-LT"/>
              </w:rPr>
            </w:pPr>
          </w:p>
        </w:tc>
        <w:tc>
          <w:tcPr>
            <w:tcW w:w="1843" w:type="dxa"/>
            <w:tcBorders>
              <w:top w:val="single" w:sz="4" w:space="0" w:color="auto"/>
              <w:left w:val="single" w:sz="4" w:space="0" w:color="auto"/>
              <w:bottom w:val="nil"/>
              <w:right w:val="nil"/>
            </w:tcBorders>
            <w:shd w:val="clear" w:color="auto" w:fill="auto"/>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171060">
        <w:trPr>
          <w:trHeight w:val="398"/>
        </w:trPr>
        <w:tc>
          <w:tcPr>
            <w:tcW w:w="10839"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210" w:type="dxa"/>
            <w:tcBorders>
              <w:right w:val="single" w:sz="4" w:space="0" w:color="auto"/>
            </w:tcBorders>
            <w:shd w:val="clear" w:color="auto" w:fill="auto"/>
            <w:noWrap/>
            <w:vAlign w:val="center"/>
          </w:tcPr>
          <w:p w14:paraId="4F5675C4"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171060">
        <w:trPr>
          <w:trHeight w:val="419"/>
        </w:trPr>
        <w:tc>
          <w:tcPr>
            <w:tcW w:w="10839"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210" w:type="dxa"/>
            <w:tcBorders>
              <w:right w:val="single" w:sz="4" w:space="0" w:color="auto"/>
            </w:tcBorders>
            <w:shd w:val="clear" w:color="auto" w:fill="auto"/>
            <w:noWrap/>
            <w:vAlign w:val="center"/>
          </w:tcPr>
          <w:p w14:paraId="34F1B023" w14:textId="77777777" w:rsidR="00D9186E" w:rsidRPr="006C74A2" w:rsidRDefault="00D9186E" w:rsidP="00171060">
            <w:pPr>
              <w:jc w:val="center"/>
              <w:rPr>
                <w:color w:val="000000"/>
                <w:szCs w:val="24"/>
                <w:lang w:eastAsia="lt-LT"/>
              </w:rPr>
            </w:pPr>
          </w:p>
        </w:tc>
        <w:tc>
          <w:tcPr>
            <w:tcW w:w="1843" w:type="dxa"/>
            <w:tcBorders>
              <w:top w:val="nil"/>
              <w:left w:val="single" w:sz="4" w:space="0" w:color="auto"/>
              <w:bottom w:val="nil"/>
              <w:right w:val="nil"/>
            </w:tcBorders>
            <w:shd w:val="clear" w:color="auto" w:fill="auto"/>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17CF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817CF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5C695" w14:textId="77777777" w:rsidR="001B597E" w:rsidRDefault="001B597E">
      <w:r>
        <w:separator/>
      </w:r>
    </w:p>
  </w:endnote>
  <w:endnote w:type="continuationSeparator" w:id="0">
    <w:p w14:paraId="2C2D6F7F" w14:textId="77777777" w:rsidR="001B597E" w:rsidRDefault="001B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9CE67" w14:textId="77777777" w:rsidR="001B597E" w:rsidRDefault="001B597E">
      <w:r>
        <w:separator/>
      </w:r>
    </w:p>
  </w:footnote>
  <w:footnote w:type="continuationSeparator" w:id="0">
    <w:p w14:paraId="1D4B4C83" w14:textId="77777777" w:rsidR="001B597E" w:rsidRDefault="001B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347B0"/>
    <w:rsid w:val="000419C9"/>
    <w:rsid w:val="000B2476"/>
    <w:rsid w:val="000D52AC"/>
    <w:rsid w:val="000E6307"/>
    <w:rsid w:val="00132B43"/>
    <w:rsid w:val="00142629"/>
    <w:rsid w:val="001608C2"/>
    <w:rsid w:val="001659B6"/>
    <w:rsid w:val="00171060"/>
    <w:rsid w:val="001740E3"/>
    <w:rsid w:val="001A0C2E"/>
    <w:rsid w:val="001B597E"/>
    <w:rsid w:val="001F2A74"/>
    <w:rsid w:val="001F3581"/>
    <w:rsid w:val="00233811"/>
    <w:rsid w:val="00242706"/>
    <w:rsid w:val="00271053"/>
    <w:rsid w:val="0028363D"/>
    <w:rsid w:val="002859F6"/>
    <w:rsid w:val="002B362D"/>
    <w:rsid w:val="002D586C"/>
    <w:rsid w:val="002E3A58"/>
    <w:rsid w:val="00324AAC"/>
    <w:rsid w:val="00327C7C"/>
    <w:rsid w:val="003418F0"/>
    <w:rsid w:val="003969E1"/>
    <w:rsid w:val="003C177C"/>
    <w:rsid w:val="003D0A58"/>
    <w:rsid w:val="004012E3"/>
    <w:rsid w:val="00401327"/>
    <w:rsid w:val="004013D5"/>
    <w:rsid w:val="004346C8"/>
    <w:rsid w:val="00437EB8"/>
    <w:rsid w:val="00466E54"/>
    <w:rsid w:val="00480D2C"/>
    <w:rsid w:val="004A050D"/>
    <w:rsid w:val="004B1A85"/>
    <w:rsid w:val="004D1507"/>
    <w:rsid w:val="00505D38"/>
    <w:rsid w:val="00551FA8"/>
    <w:rsid w:val="005B4EF0"/>
    <w:rsid w:val="005B6381"/>
    <w:rsid w:val="005F65D3"/>
    <w:rsid w:val="005F6B4C"/>
    <w:rsid w:val="00646D84"/>
    <w:rsid w:val="006B5110"/>
    <w:rsid w:val="006C74A2"/>
    <w:rsid w:val="006D57AB"/>
    <w:rsid w:val="006F5BA7"/>
    <w:rsid w:val="007029A5"/>
    <w:rsid w:val="007616AC"/>
    <w:rsid w:val="007B2F02"/>
    <w:rsid w:val="007D2C2F"/>
    <w:rsid w:val="007E70D1"/>
    <w:rsid w:val="00802B8D"/>
    <w:rsid w:val="00805C9A"/>
    <w:rsid w:val="00817CFF"/>
    <w:rsid w:val="0083391E"/>
    <w:rsid w:val="008615B9"/>
    <w:rsid w:val="00881857"/>
    <w:rsid w:val="008873A0"/>
    <w:rsid w:val="00887B56"/>
    <w:rsid w:val="00892B93"/>
    <w:rsid w:val="00894AD8"/>
    <w:rsid w:val="00896D87"/>
    <w:rsid w:val="008A17CD"/>
    <w:rsid w:val="00925D12"/>
    <w:rsid w:val="00960ED5"/>
    <w:rsid w:val="009632BE"/>
    <w:rsid w:val="00974E7F"/>
    <w:rsid w:val="0099654E"/>
    <w:rsid w:val="009A7251"/>
    <w:rsid w:val="009E589E"/>
    <w:rsid w:val="009E65BD"/>
    <w:rsid w:val="00A2147F"/>
    <w:rsid w:val="00A30F41"/>
    <w:rsid w:val="00A61408"/>
    <w:rsid w:val="00AF2D88"/>
    <w:rsid w:val="00AF4AF4"/>
    <w:rsid w:val="00B16690"/>
    <w:rsid w:val="00B273D3"/>
    <w:rsid w:val="00B6451E"/>
    <w:rsid w:val="00B90CB5"/>
    <w:rsid w:val="00BA0145"/>
    <w:rsid w:val="00BA236F"/>
    <w:rsid w:val="00BE497C"/>
    <w:rsid w:val="00C17984"/>
    <w:rsid w:val="00C32B2D"/>
    <w:rsid w:val="00C36C7A"/>
    <w:rsid w:val="00C516DE"/>
    <w:rsid w:val="00C7081A"/>
    <w:rsid w:val="00C735AD"/>
    <w:rsid w:val="00C91E72"/>
    <w:rsid w:val="00CA3901"/>
    <w:rsid w:val="00CB22C2"/>
    <w:rsid w:val="00CD02A6"/>
    <w:rsid w:val="00CD4094"/>
    <w:rsid w:val="00D20EE8"/>
    <w:rsid w:val="00D81341"/>
    <w:rsid w:val="00D9186E"/>
    <w:rsid w:val="00D96FD2"/>
    <w:rsid w:val="00DD4D35"/>
    <w:rsid w:val="00DE1404"/>
    <w:rsid w:val="00E02AE0"/>
    <w:rsid w:val="00E068EA"/>
    <w:rsid w:val="00E24878"/>
    <w:rsid w:val="00E265FD"/>
    <w:rsid w:val="00EA3F9D"/>
    <w:rsid w:val="00EE3697"/>
    <w:rsid w:val="00EF2BB2"/>
    <w:rsid w:val="00F038A5"/>
    <w:rsid w:val="00F130C8"/>
    <w:rsid w:val="00F528BE"/>
    <w:rsid w:val="00F74272"/>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bignevas.marti&#353;evskis@santa.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6786A"/>
    <w:rsid w:val="00133535"/>
    <w:rsid w:val="00151BE0"/>
    <w:rsid w:val="001770A8"/>
    <w:rsid w:val="001A46B6"/>
    <w:rsid w:val="0023032B"/>
    <w:rsid w:val="00324AAC"/>
    <w:rsid w:val="003D196A"/>
    <w:rsid w:val="00480D2C"/>
    <w:rsid w:val="004A0F25"/>
    <w:rsid w:val="004F191C"/>
    <w:rsid w:val="00511FE7"/>
    <w:rsid w:val="007B2F02"/>
    <w:rsid w:val="007E70D1"/>
    <w:rsid w:val="00825A10"/>
    <w:rsid w:val="0089742A"/>
    <w:rsid w:val="008B3528"/>
    <w:rsid w:val="00906F92"/>
    <w:rsid w:val="00956454"/>
    <w:rsid w:val="00974E7F"/>
    <w:rsid w:val="00980C67"/>
    <w:rsid w:val="00AF4AF4"/>
    <w:rsid w:val="00B6360D"/>
    <w:rsid w:val="00BC0F15"/>
    <w:rsid w:val="00C1794C"/>
    <w:rsid w:val="00C205B3"/>
    <w:rsid w:val="00CE2A41"/>
    <w:rsid w:val="00CF0B0C"/>
    <w:rsid w:val="00D57B1F"/>
    <w:rsid w:val="00DD4D35"/>
    <w:rsid w:val="00E3744F"/>
    <w:rsid w:val="00E65CDC"/>
    <w:rsid w:val="00E768A4"/>
    <w:rsid w:val="00EE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64281</Words>
  <Characters>36641</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4</cp:revision>
  <dcterms:created xsi:type="dcterms:W3CDTF">2024-12-12T11:50:00Z</dcterms:created>
  <dcterms:modified xsi:type="dcterms:W3CDTF">2024-12-12T13:05:00Z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